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p>
    <w:p>
      <w:pPr>
        <w:ind w:left="40"/>
        <w:spacing w:after="0"/>
        <w:rPr>
          <w:sz w:val="20"/>
          <w:szCs w:val="20"/>
          <w:color w:val="auto"/>
        </w:rPr>
      </w:pPr>
      <w:r>
        <w:rPr>
          <w:rFonts w:ascii="Arial" w:cs="Arial" w:eastAsia="Arial" w:hAnsi="Arial"/>
          <w:sz w:val="12"/>
          <w:szCs w:val="12"/>
          <w:b w:val="1"/>
          <w:bCs w:val="1"/>
          <w:i w:val="1"/>
          <w:iCs w:val="1"/>
          <w:color w:val="FFFFFF"/>
        </w:rPr>
        <w:t>PROSPECTUS</w:t>
      </w:r>
    </w:p>
    <w:p>
      <w:pPr>
        <w:spacing w:after="0" w:line="20" w:lineRule="exact"/>
        <w:rPr>
          <w:sz w:val="24"/>
          <w:szCs w:val="24"/>
          <w:color w:val="auto"/>
        </w:rPr>
      </w:pPr>
      <w:r>
        <w:rPr>
          <w:sz w:val="24"/>
          <w:szCs w:val="24"/>
          <w:color w:val="auto"/>
        </w:rPr>
        <w:br w:type="column"/>
      </w:r>
    </w:p>
    <w:p>
      <w:pPr>
        <w:jc w:val="right"/>
        <w:ind w:right="100"/>
        <w:spacing w:after="0"/>
        <w:rPr>
          <w:sz w:val="20"/>
          <w:szCs w:val="20"/>
          <w:color w:val="auto"/>
        </w:rPr>
      </w:pPr>
      <w:r>
        <w:rPr>
          <w:rFonts w:ascii="Arial" w:cs="Arial" w:eastAsia="Arial" w:hAnsi="Arial"/>
          <w:sz w:val="12"/>
          <w:szCs w:val="12"/>
          <w:color w:val="FFFFFF"/>
        </w:rPr>
        <w:t>Filed Pursuant to Rule 424(b)(4)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-5198110</wp:posOffset>
            </wp:positionH>
            <wp:positionV relativeFrom="paragraph">
              <wp:posOffset>-508000</wp:posOffset>
            </wp:positionV>
            <wp:extent cx="6786880" cy="10013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86880" cy="10013950"/>
                    </a:xfrm>
                    <a:prstGeom prst="rect">
                      <a:avLst/>
                    </a:prstGeom>
                    <a:noFill/>
                  </pic:spPr>
                </pic:pic>
              </a:graphicData>
            </a:graphic>
          </wp:anchor>
        </w:drawing>
      </w:r>
    </w:p>
    <w:p>
      <w:pPr>
        <w:jc w:val="right"/>
        <w:ind w:right="100"/>
        <w:spacing w:after="0"/>
        <w:rPr>
          <w:sz w:val="20"/>
          <w:szCs w:val="20"/>
          <w:color w:val="auto"/>
        </w:rPr>
      </w:pPr>
      <w:r>
        <w:rPr>
          <w:rFonts w:ascii="Arial" w:cs="Arial" w:eastAsia="Arial" w:hAnsi="Arial"/>
          <w:sz w:val="14"/>
          <w:szCs w:val="14"/>
          <w:color w:val="FFFFFF"/>
        </w:rPr>
        <w:t>Registration No. 333-236674</w:t>
      </w:r>
    </w:p>
    <w:p>
      <w:pPr>
        <w:spacing w:after="0" w:line="19" w:lineRule="exact"/>
        <w:rPr>
          <w:sz w:val="24"/>
          <w:szCs w:val="24"/>
          <w:color w:val="auto"/>
        </w:rPr>
      </w:pPr>
    </w:p>
    <w:p>
      <w:pPr>
        <w:sectPr>
          <w:pgSz w:w="11900" w:h="16838" w:orient="portrait"/>
          <w:cols w:equalWidth="0" w:num="2">
            <w:col w:w="6880" w:space="720"/>
            <w:col w:w="1920"/>
          </w:cols>
          <w:pgMar w:left="1200" w:top="1247" w:right="1179" w:bottom="679" w:gutter="0" w:footer="0" w:header="0"/>
        </w:sectPr>
      </w:pPr>
    </w:p>
    <w:p>
      <w:pPr>
        <w:jc w:val="center"/>
        <w:ind w:right="2680"/>
        <w:spacing w:after="0"/>
        <w:rPr>
          <w:sz w:val="20"/>
          <w:szCs w:val="20"/>
          <w:color w:val="auto"/>
        </w:rPr>
      </w:pPr>
      <w:r>
        <w:rPr>
          <w:rFonts w:ascii="Arial" w:cs="Arial" w:eastAsia="Arial" w:hAnsi="Arial"/>
          <w:sz w:val="30"/>
          <w:szCs w:val="30"/>
          <w:b w:val="1"/>
          <w:bCs w:val="1"/>
          <w:color w:val="FFFFFF"/>
        </w:rPr>
        <w:t>44,500,000 Shares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FFFFFF"/>
        </w:rPr>
        <w:t>ZoomInfo Technologies Inc.</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1"/>
          <w:szCs w:val="21"/>
          <w:b w:val="1"/>
          <w:bCs w:val="1"/>
          <w:i w:val="1"/>
          <w:iCs w:val="1"/>
          <w:color w:val="FFFFFF"/>
        </w:rPr>
        <w:t>Class A Common Stock</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21"/>
          <w:szCs w:val="21"/>
          <w:b w:val="1"/>
          <w:bCs w:val="1"/>
          <w:i w:val="1"/>
          <w:iCs w:val="1"/>
          <w:color w:val="FFFFFF"/>
        </w:rPr>
        <w:t>$21.00 per share</w:t>
      </w:r>
    </w:p>
    <w:p>
      <w:pPr>
        <w:spacing w:after="0" w:line="63" w:lineRule="exact"/>
        <w:rPr>
          <w:sz w:val="24"/>
          <w:szCs w:val="24"/>
          <w:color w:val="auto"/>
        </w:rPr>
      </w:pPr>
    </w:p>
    <w:p>
      <w:pPr>
        <w:jc w:val="both"/>
        <w:ind w:left="40" w:right="60"/>
        <w:spacing w:after="0" w:line="231" w:lineRule="auto"/>
        <w:rPr>
          <w:sz w:val="20"/>
          <w:szCs w:val="20"/>
          <w:color w:val="auto"/>
        </w:rPr>
      </w:pPr>
      <w:r>
        <w:rPr>
          <w:rFonts w:ascii="Arial" w:cs="Arial" w:eastAsia="Arial" w:hAnsi="Arial"/>
          <w:sz w:val="14"/>
          <w:szCs w:val="14"/>
          <w:color w:val="FFFFFF"/>
        </w:rPr>
        <w:t>This is the initial public offering of shares of Class A common stock of ZoomInfo Technologies Inc. We are selling 44,500,000 shares of our Class A common stock. The initial offering price is $21.00 per share of Class A common stock. Our Class A common stock has been approved for listing on the Nasdaq Global Select Market (the “Nasdaq”) under the trading symbol “ZI.”</w:t>
      </w:r>
    </w:p>
    <w:p>
      <w:pPr>
        <w:spacing w:after="0" w:line="33" w:lineRule="exact"/>
        <w:rPr>
          <w:sz w:val="24"/>
          <w:szCs w:val="24"/>
          <w:color w:val="auto"/>
        </w:rPr>
      </w:pPr>
    </w:p>
    <w:p>
      <w:pPr>
        <w:jc w:val="both"/>
        <w:ind w:left="40" w:right="60"/>
        <w:spacing w:after="0" w:line="256" w:lineRule="auto"/>
        <w:rPr>
          <w:sz w:val="20"/>
          <w:szCs w:val="20"/>
          <w:color w:val="auto"/>
        </w:rPr>
      </w:pPr>
      <w:r>
        <w:rPr>
          <w:rFonts w:ascii="Arial" w:cs="Arial" w:eastAsia="Arial" w:hAnsi="Arial"/>
          <w:sz w:val="12"/>
          <w:szCs w:val="12"/>
          <w:color w:val="FFFFFF"/>
        </w:rPr>
        <w:t>Following this offering, we will have three classes of common stock: Class A common stock, Class B common stock, and Class C common stock. Holders of shares of our Class A common stock are entitled to one vote for each share of Class A common stock held of record on all matters on which stockholders are entitled to vote generally. Holders of shares of our Class B common stock are entitled to ten votes for each share of Class B common stock held of record (for so long as the aggregate number of outstanding shares of our Class B common stock and Class C common stock represents at least 5% of the aggregate number of outstanding shares of common stock, and thereafter, one vote per share) on all matters on which stockholders of ZoomInfo Technologies Inc. are entitled to vote generally. Holders of shares of our Class C common stock are entitled to ten votes for each share of Class C common stock held of record (for so long as the aggregate number of outstanding shares of our Class B common stock and Class C common stock represents at least 5% of the aggregate number of our outstanding shares of common stock, and thereafter, one vote per share upon the automatic conversion into shares of Class A common stock) on all matters on which stockholders of ZoomInfo Technologies Inc. are entitled to vote generally. See “Description of Capital Stock.” ZoomInfo Technologies Inc. will be a holding company whose sole material asset will be a controlling equity interest in ZoomInfo HoldCo (as defined herein), which will be a holding company whose sole material asset will be an indirect controlling equity interest in ZoomInfo OpCo (as defined herein). The number of outstanding OpCo Units (as defined herein) of ZoomInfo OpCo will equal the aggregate number of outstanding shares of Class A common stock, Class B common stock, and Class C common stock. See “Organizational Structure—Offering Transactions.”</w:t>
      </w:r>
    </w:p>
    <w:p>
      <w:pPr>
        <w:spacing w:after="0" w:line="28" w:lineRule="exact"/>
        <w:rPr>
          <w:sz w:val="24"/>
          <w:szCs w:val="24"/>
          <w:color w:val="auto"/>
        </w:rPr>
      </w:pPr>
    </w:p>
    <w:p>
      <w:pPr>
        <w:jc w:val="both"/>
        <w:ind w:left="40" w:right="60"/>
        <w:spacing w:after="0" w:line="246" w:lineRule="auto"/>
        <w:rPr>
          <w:sz w:val="20"/>
          <w:szCs w:val="20"/>
          <w:color w:val="auto"/>
        </w:rPr>
      </w:pPr>
      <w:r>
        <w:rPr>
          <w:rFonts w:ascii="Arial" w:cs="Arial" w:eastAsia="Arial" w:hAnsi="Arial"/>
          <w:sz w:val="13"/>
          <w:szCs w:val="13"/>
          <w:color w:val="FFFFFF"/>
        </w:rPr>
        <w:t>After the completion of this offering, certain affiliates of each of TA Associates, Carlyle, and our Founders (each as defined herein) will be parties to a stockholders agreement and will beneficially own approximately 89.6% of the combined voting power of our Class A, Class B, and Class C common stock (or 89.4% if the underwriters exercise in full their option to purchase additional shares of Class A common stock). As a result, we will be a “controlled company” within the meaning of the Nasdaq corporate governance standards. See “Management—Controlled Company Exception” and “Principal Stockholders.”</w:t>
      </w:r>
    </w:p>
    <w:p>
      <w:pPr>
        <w:spacing w:after="0" w:line="29" w:lineRule="exact"/>
        <w:rPr>
          <w:sz w:val="24"/>
          <w:szCs w:val="24"/>
          <w:color w:val="auto"/>
        </w:rPr>
      </w:pPr>
    </w:p>
    <w:p>
      <w:pPr>
        <w:jc w:val="both"/>
        <w:ind w:left="40" w:right="60"/>
        <w:spacing w:after="0" w:line="237" w:lineRule="auto"/>
        <w:rPr>
          <w:sz w:val="20"/>
          <w:szCs w:val="20"/>
          <w:color w:val="auto"/>
        </w:rPr>
      </w:pPr>
      <w:r>
        <w:rPr>
          <w:rFonts w:ascii="Arial" w:cs="Arial" w:eastAsia="Arial" w:hAnsi="Arial"/>
          <w:sz w:val="13"/>
          <w:szCs w:val="13"/>
          <w:color w:val="FFFFFF"/>
        </w:rPr>
        <w:t>We intend to use all of the net proceeds from this offering (including from any exercise by the underwriters of their option to purchase additional shares of Class A common stock) (i) to purchase newly issued HoldCo Units from ZoomInfo HoldCo, which in turn will purchase the same number of newly issued OpCo Units from ZoomInfo OpCo, (ii) to purchase OpCo Units from certain Pre-IPO OpCo Unitholders, and (iii) to fund merger consideration payable to certain Pre-IPO Blocker Holders (as defined herein) in connection with the Blocker Mergers (as defined herein). The foregoing purchases of OpCo Units will be at a price per unit equal to the public offering price per share of Class A common stock in this offering, less the underwriting discount. We will only retain net proceeds used to purchase newly issued HoldCo Units from ZoomInfo HoldCo, which will, in turn, purchase newly issued OpCo Units from ZoomInfo OpCo. ZoomInfo OpCo expects to use the proceeds it receives through ZoomInfo HoldCo from this offering to redeem and cancel all outstanding Series A Preferred Units (as defined herein), to repay our second lien term loans, to repay outstanding borrowings under our first lien revolving credit facility, and for general corporate purposes. See “Use of Proceeds” and “Certain Relationships and Related Person Transaction—Purchase of OpCo Units and Payment of Blocker Merger Consideration.”</w:t>
      </w:r>
    </w:p>
    <w:p>
      <w:pPr>
        <w:spacing w:after="0" w:line="34" w:lineRule="exact"/>
        <w:rPr>
          <w:sz w:val="24"/>
          <w:szCs w:val="24"/>
          <w:color w:val="auto"/>
        </w:rPr>
      </w:pPr>
    </w:p>
    <w:p>
      <w:pPr>
        <w:jc w:val="both"/>
        <w:ind w:left="40" w:right="60"/>
        <w:spacing w:after="0"/>
        <w:rPr>
          <w:sz w:val="20"/>
          <w:szCs w:val="20"/>
          <w:color w:val="auto"/>
        </w:rPr>
      </w:pPr>
      <w:r>
        <w:rPr>
          <w:rFonts w:ascii="Arial" w:cs="Arial" w:eastAsia="Arial" w:hAnsi="Arial"/>
          <w:sz w:val="14"/>
          <w:szCs w:val="14"/>
          <w:color w:val="FFFFFF"/>
        </w:rPr>
        <w:t>We are an “emerging growth company” as defined under the federal securities laws and, as such, have elected to comply with certain reduced public company reporting requirements. See “Summary—Implications of Being an Emerging Growth Company.”</w:t>
      </w:r>
    </w:p>
    <w:p>
      <w:pPr>
        <w:spacing w:after="0" w:line="28" w:lineRule="exact"/>
        <w:rPr>
          <w:sz w:val="24"/>
          <w:szCs w:val="24"/>
          <w:color w:val="auto"/>
        </w:rPr>
      </w:pPr>
    </w:p>
    <w:p>
      <w:pPr>
        <w:ind w:left="40"/>
        <w:spacing w:after="0"/>
        <w:rPr>
          <w:rFonts w:ascii="Arial" w:cs="Arial" w:eastAsia="Arial" w:hAnsi="Arial"/>
          <w:sz w:val="14"/>
          <w:szCs w:val="14"/>
          <w:b w:val="1"/>
          <w:bCs w:val="1"/>
          <w:color w:val="FFFFFF"/>
        </w:rPr>
      </w:pPr>
      <w:r>
        <w:rPr>
          <w:rFonts w:ascii="Arial" w:cs="Arial" w:eastAsia="Arial" w:hAnsi="Arial"/>
          <w:sz w:val="14"/>
          <w:szCs w:val="14"/>
          <w:b w:val="1"/>
          <w:bCs w:val="1"/>
          <w:color w:val="FFFFFF"/>
        </w:rPr>
        <w:t xml:space="preserve">Investing in shares of our Class A common stock involves risks. See “Risk Factors” beginning on page </w:t>
      </w:r>
      <w:hyperlink w:anchor="page39">
        <w:r>
          <w:rPr>
            <w:rFonts w:ascii="Arial" w:cs="Arial" w:eastAsia="Arial" w:hAnsi="Arial"/>
            <w:sz w:val="14"/>
            <w:szCs w:val="14"/>
            <w:b w:val="1"/>
            <w:bCs w:val="1"/>
            <w:color w:val="FFFFFF"/>
          </w:rPr>
          <w:t>31.</w:t>
        </w:r>
      </w:hyperlink>
    </w:p>
    <w:p>
      <w:pPr>
        <w:spacing w:after="0" w:line="53" w:lineRule="exact"/>
        <w:rPr>
          <w:sz w:val="24"/>
          <w:szCs w:val="24"/>
          <w:color w:val="auto"/>
        </w:rPr>
      </w:pPr>
    </w:p>
    <w:p>
      <w:pPr>
        <w:jc w:val="both"/>
        <w:ind w:left="40" w:right="60"/>
        <w:spacing w:after="0"/>
        <w:rPr>
          <w:sz w:val="20"/>
          <w:szCs w:val="20"/>
          <w:color w:val="auto"/>
        </w:rPr>
      </w:pPr>
      <w:r>
        <w:rPr>
          <w:rFonts w:ascii="Arial" w:cs="Arial" w:eastAsia="Arial" w:hAnsi="Arial"/>
          <w:sz w:val="14"/>
          <w:szCs w:val="14"/>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21"/>
        </w:trPr>
        <w:tc>
          <w:tcPr>
            <w:tcW w:w="3660" w:type="dxa"/>
            <w:vAlign w:val="bottom"/>
            <w:tcBorders>
              <w:bottom w:val="single" w:sz="8" w:color="231F20"/>
            </w:tcBorders>
            <w:shd w:val="clear" w:color="auto" w:fill="231F20"/>
          </w:tcPr>
          <w:p>
            <w:pPr>
              <w:spacing w:after="0"/>
              <w:rPr>
                <w:sz w:val="10"/>
                <w:szCs w:val="10"/>
                <w:color w:val="auto"/>
              </w:rPr>
            </w:pPr>
          </w:p>
        </w:tc>
        <w:tc>
          <w:tcPr>
            <w:tcW w:w="1100" w:type="dxa"/>
            <w:vAlign w:val="bottom"/>
            <w:tcBorders>
              <w:bottom w:val="single" w:sz="8" w:color="231F20"/>
              <w:right w:val="single" w:sz="8" w:color="231F20"/>
            </w:tcBorders>
          </w:tcPr>
          <w:p>
            <w:pPr>
              <w:spacing w:after="0"/>
              <w:rPr>
                <w:sz w:val="10"/>
                <w:szCs w:val="10"/>
                <w:color w:val="auto"/>
              </w:rPr>
            </w:pPr>
          </w:p>
        </w:tc>
        <w:tc>
          <w:tcPr>
            <w:tcW w:w="1060" w:type="dxa"/>
            <w:vAlign w:val="bottom"/>
            <w:tcBorders>
              <w:bottom w:val="single" w:sz="8" w:color="231F20"/>
              <w:right w:val="single" w:sz="8" w:color="231F20"/>
            </w:tcBorders>
          </w:tcPr>
          <w:p>
            <w:pPr>
              <w:spacing w:after="0"/>
              <w:rPr>
                <w:sz w:val="10"/>
                <w:szCs w:val="10"/>
                <w:color w:val="auto"/>
              </w:rPr>
            </w:pPr>
          </w:p>
        </w:tc>
        <w:tc>
          <w:tcPr>
            <w:tcW w:w="1020" w:type="dxa"/>
            <w:vAlign w:val="bottom"/>
            <w:tcBorders>
              <w:bottom w:val="single" w:sz="8" w:color="231F20"/>
              <w:right w:val="single" w:sz="8" w:color="231F20"/>
            </w:tcBorders>
          </w:tcPr>
          <w:p>
            <w:pPr>
              <w:spacing w:after="0"/>
              <w:rPr>
                <w:sz w:val="10"/>
                <w:szCs w:val="10"/>
                <w:color w:val="auto"/>
              </w:rPr>
            </w:pPr>
          </w:p>
        </w:tc>
        <w:tc>
          <w:tcPr>
            <w:tcW w:w="100" w:type="dxa"/>
            <w:vAlign w:val="bottom"/>
            <w:tcBorders>
              <w:bottom w:val="single" w:sz="8" w:color="231F20"/>
            </w:tcBorders>
          </w:tcPr>
          <w:p>
            <w:pPr>
              <w:spacing w:after="0"/>
              <w:rPr>
                <w:sz w:val="10"/>
                <w:szCs w:val="10"/>
                <w:color w:val="auto"/>
              </w:rPr>
            </w:pPr>
          </w:p>
        </w:tc>
        <w:tc>
          <w:tcPr>
            <w:tcW w:w="980" w:type="dxa"/>
            <w:vAlign w:val="bottom"/>
            <w:tcBorders>
              <w:bottom w:val="single" w:sz="8" w:color="231F20"/>
            </w:tcBorders>
          </w:tcPr>
          <w:p>
            <w:pPr>
              <w:spacing w:after="0"/>
              <w:rPr>
                <w:sz w:val="10"/>
                <w:szCs w:val="10"/>
                <w:color w:val="auto"/>
              </w:rPr>
            </w:pPr>
          </w:p>
        </w:tc>
        <w:tc>
          <w:tcPr>
            <w:tcW w:w="60" w:type="dxa"/>
            <w:vAlign w:val="bottom"/>
            <w:tcBorders>
              <w:bottom w:val="single" w:sz="8" w:color="231F20"/>
              <w:right w:val="single" w:sz="8" w:color="231F20"/>
            </w:tcBorders>
          </w:tcPr>
          <w:p>
            <w:pPr>
              <w:spacing w:after="0"/>
              <w:rPr>
                <w:sz w:val="10"/>
                <w:szCs w:val="10"/>
                <w:color w:val="auto"/>
              </w:rPr>
            </w:pPr>
          </w:p>
        </w:tc>
        <w:tc>
          <w:tcPr>
            <w:tcW w:w="360" w:type="dxa"/>
            <w:vAlign w:val="bottom"/>
            <w:tcBorders>
              <w:bottom w:val="single" w:sz="8" w:color="231F20"/>
              <w:right w:val="single" w:sz="8" w:color="231F20"/>
            </w:tcBorders>
          </w:tcPr>
          <w:p>
            <w:pPr>
              <w:spacing w:after="0"/>
              <w:rPr>
                <w:sz w:val="10"/>
                <w:szCs w:val="10"/>
                <w:color w:val="auto"/>
              </w:rPr>
            </w:pPr>
          </w:p>
        </w:tc>
        <w:tc>
          <w:tcPr>
            <w:tcW w:w="200" w:type="dxa"/>
            <w:vAlign w:val="bottom"/>
            <w:tcBorders>
              <w:bottom w:val="single" w:sz="8" w:color="231F20"/>
            </w:tcBorders>
          </w:tcPr>
          <w:p>
            <w:pPr>
              <w:spacing w:after="0"/>
              <w:rPr>
                <w:sz w:val="10"/>
                <w:szCs w:val="10"/>
                <w:color w:val="auto"/>
              </w:rPr>
            </w:pPr>
          </w:p>
        </w:tc>
        <w:tc>
          <w:tcPr>
            <w:tcW w:w="960" w:type="dxa"/>
            <w:vAlign w:val="bottom"/>
            <w:tcBorders>
              <w:bottom w:val="single" w:sz="8" w:color="231F20"/>
            </w:tcBorders>
          </w:tcPr>
          <w:p>
            <w:pPr>
              <w:spacing w:after="0"/>
              <w:rPr>
                <w:sz w:val="10"/>
                <w:szCs w:val="10"/>
                <w:color w:val="auto"/>
              </w:rPr>
            </w:pPr>
          </w:p>
        </w:tc>
        <w:tc>
          <w:tcPr>
            <w:tcW w:w="20" w:type="dxa"/>
            <w:vAlign w:val="bottom"/>
            <w:tcBorders>
              <w:bottom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231F20"/>
          </w:tcPr>
          <w:p>
            <w:pPr>
              <w:spacing w:after="0"/>
              <w:rPr>
                <w:sz w:val="21"/>
                <w:szCs w:val="21"/>
                <w:color w:val="auto"/>
              </w:rPr>
            </w:pPr>
          </w:p>
        </w:tc>
        <w:tc>
          <w:tcPr>
            <w:tcW w:w="1100" w:type="dxa"/>
            <w:vAlign w:val="bottom"/>
            <w:tcBorders>
              <w:right w:val="single" w:sz="8" w:color="231F20"/>
            </w:tcBorders>
            <w:shd w:val="clear" w:color="auto" w:fill="231F20"/>
          </w:tcPr>
          <w:p>
            <w:pPr>
              <w:spacing w:after="0"/>
              <w:rPr>
                <w:sz w:val="21"/>
                <w:szCs w:val="21"/>
                <w:color w:val="auto"/>
              </w:rPr>
            </w:pPr>
          </w:p>
        </w:tc>
        <w:tc>
          <w:tcPr>
            <w:tcW w:w="1060" w:type="dxa"/>
            <w:vAlign w:val="bottom"/>
            <w:tcBorders>
              <w:right w:val="single" w:sz="8" w:color="231F20"/>
            </w:tcBorders>
            <w:shd w:val="clear" w:color="auto" w:fill="231F20"/>
          </w:tcPr>
          <w:p>
            <w:pPr>
              <w:spacing w:after="0"/>
              <w:rPr>
                <w:sz w:val="21"/>
                <w:szCs w:val="21"/>
                <w:color w:val="auto"/>
              </w:rPr>
            </w:pPr>
          </w:p>
        </w:tc>
        <w:tc>
          <w:tcPr>
            <w:tcW w:w="1020" w:type="dxa"/>
            <w:vAlign w:val="bottom"/>
            <w:tcBorders>
              <w:right w:val="single" w:sz="8" w:color="231F20"/>
            </w:tcBorders>
            <w:shd w:val="clear" w:color="auto" w:fill="231F20"/>
          </w:tcPr>
          <w:p>
            <w:pPr>
              <w:spacing w:after="0"/>
              <w:rPr>
                <w:sz w:val="21"/>
                <w:szCs w:val="21"/>
                <w:color w:val="auto"/>
              </w:rPr>
            </w:pPr>
          </w:p>
        </w:tc>
        <w:tc>
          <w:tcPr>
            <w:tcW w:w="100" w:type="dxa"/>
            <w:vAlign w:val="bottom"/>
            <w:shd w:val="clear" w:color="auto" w:fill="231F20"/>
          </w:tcPr>
          <w:p>
            <w:pPr>
              <w:spacing w:after="0"/>
              <w:rPr>
                <w:sz w:val="21"/>
                <w:szCs w:val="21"/>
                <w:color w:val="auto"/>
              </w:rPr>
            </w:pPr>
          </w:p>
        </w:tc>
        <w:tc>
          <w:tcPr>
            <w:tcW w:w="980" w:type="dxa"/>
            <w:vAlign w:val="bottom"/>
            <w:shd w:val="clear" w:color="auto" w:fill="231F20"/>
          </w:tcPr>
          <w:p>
            <w:pPr>
              <w:jc w:val="right"/>
              <w:ind w:right="146"/>
              <w:spacing w:after="0"/>
              <w:rPr>
                <w:sz w:val="20"/>
                <w:szCs w:val="20"/>
                <w:color w:val="auto"/>
              </w:rPr>
            </w:pPr>
            <w:r>
              <w:rPr>
                <w:rFonts w:ascii="Arial" w:cs="Arial" w:eastAsia="Arial" w:hAnsi="Arial"/>
                <w:sz w:val="15"/>
                <w:szCs w:val="15"/>
                <w:b w:val="1"/>
                <w:bCs w:val="1"/>
                <w:color w:val="FFFFFF"/>
              </w:rPr>
              <w:t>Per Share</w:t>
            </w:r>
          </w:p>
        </w:tc>
        <w:tc>
          <w:tcPr>
            <w:tcW w:w="60" w:type="dxa"/>
            <w:vAlign w:val="bottom"/>
            <w:tcBorders>
              <w:right w:val="single" w:sz="8" w:color="231F20"/>
            </w:tcBorders>
            <w:shd w:val="clear" w:color="auto" w:fill="231F20"/>
          </w:tcPr>
          <w:p>
            <w:pPr>
              <w:spacing w:after="0"/>
              <w:rPr>
                <w:sz w:val="21"/>
                <w:szCs w:val="21"/>
                <w:color w:val="auto"/>
              </w:rPr>
            </w:pPr>
          </w:p>
        </w:tc>
        <w:tc>
          <w:tcPr>
            <w:tcW w:w="360" w:type="dxa"/>
            <w:vAlign w:val="bottom"/>
            <w:tcBorders>
              <w:right w:val="single" w:sz="8" w:color="231F20"/>
            </w:tcBorders>
            <w:shd w:val="clear" w:color="auto" w:fill="231F20"/>
          </w:tcPr>
          <w:p>
            <w:pPr>
              <w:spacing w:after="0"/>
              <w:rPr>
                <w:sz w:val="21"/>
                <w:szCs w:val="21"/>
                <w:color w:val="auto"/>
              </w:rPr>
            </w:pPr>
          </w:p>
        </w:tc>
        <w:tc>
          <w:tcPr>
            <w:tcW w:w="200" w:type="dxa"/>
            <w:vAlign w:val="bottom"/>
            <w:shd w:val="clear" w:color="auto" w:fill="231F20"/>
          </w:tcPr>
          <w:p>
            <w:pPr>
              <w:spacing w:after="0"/>
              <w:rPr>
                <w:sz w:val="21"/>
                <w:szCs w:val="21"/>
                <w:color w:val="auto"/>
              </w:rPr>
            </w:pPr>
          </w:p>
        </w:tc>
        <w:tc>
          <w:tcPr>
            <w:tcW w:w="960" w:type="dxa"/>
            <w:vAlign w:val="bottom"/>
            <w:shd w:val="clear" w:color="auto" w:fill="231F20"/>
          </w:tcPr>
          <w:p>
            <w:pPr>
              <w:jc w:val="right"/>
              <w:ind w:right="346"/>
              <w:spacing w:after="0"/>
              <w:rPr>
                <w:sz w:val="20"/>
                <w:szCs w:val="20"/>
                <w:color w:val="auto"/>
              </w:rPr>
            </w:pPr>
            <w:r>
              <w:rPr>
                <w:rFonts w:ascii="Arial" w:cs="Arial" w:eastAsia="Arial" w:hAnsi="Arial"/>
                <w:sz w:val="15"/>
                <w:szCs w:val="15"/>
                <w:b w:val="1"/>
                <w:bCs w:val="1"/>
                <w:color w:val="FFFFFF"/>
              </w:rPr>
              <w:t>Total</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660" w:type="dxa"/>
            <w:vAlign w:val="bottom"/>
            <w:shd w:val="clear" w:color="auto" w:fill="231F20"/>
          </w:tcPr>
          <w:p>
            <w:pPr>
              <w:ind w:left="40"/>
              <w:spacing w:after="0"/>
              <w:rPr>
                <w:sz w:val="20"/>
                <w:szCs w:val="20"/>
                <w:color w:val="auto"/>
              </w:rPr>
            </w:pPr>
            <w:r>
              <w:rPr>
                <w:rFonts w:ascii="Arial" w:cs="Arial" w:eastAsia="Arial" w:hAnsi="Arial"/>
                <w:sz w:val="15"/>
                <w:szCs w:val="15"/>
                <w:color w:val="FFFFFF"/>
              </w:rPr>
              <w:t>Initial public offering</w:t>
            </w:r>
          </w:p>
        </w:tc>
        <w:tc>
          <w:tcPr>
            <w:tcW w:w="1100" w:type="dxa"/>
            <w:vAlign w:val="bottom"/>
            <w:tcBorders>
              <w:right w:val="single" w:sz="8" w:color="231F20"/>
            </w:tcBorders>
            <w:shd w:val="clear" w:color="auto" w:fill="231F20"/>
          </w:tcPr>
          <w:p>
            <w:pPr>
              <w:spacing w:after="0"/>
              <w:rPr>
                <w:sz w:val="16"/>
                <w:szCs w:val="16"/>
                <w:color w:val="auto"/>
              </w:rPr>
            </w:pPr>
          </w:p>
        </w:tc>
        <w:tc>
          <w:tcPr>
            <w:tcW w:w="1060" w:type="dxa"/>
            <w:vAlign w:val="bottom"/>
            <w:tcBorders>
              <w:right w:val="single" w:sz="8" w:color="231F20"/>
            </w:tcBorders>
            <w:shd w:val="clear" w:color="auto" w:fill="231F20"/>
          </w:tcPr>
          <w:p>
            <w:pPr>
              <w:spacing w:after="0"/>
              <w:rPr>
                <w:sz w:val="16"/>
                <w:szCs w:val="16"/>
                <w:color w:val="auto"/>
              </w:rPr>
            </w:pPr>
          </w:p>
        </w:tc>
        <w:tc>
          <w:tcPr>
            <w:tcW w:w="1020" w:type="dxa"/>
            <w:vAlign w:val="bottom"/>
            <w:tcBorders>
              <w:right w:val="single" w:sz="8" w:color="231F20"/>
            </w:tcBorders>
            <w:shd w:val="clear" w:color="auto" w:fill="231F20"/>
          </w:tcPr>
          <w:p>
            <w:pPr>
              <w:spacing w:after="0"/>
              <w:rPr>
                <w:sz w:val="16"/>
                <w:szCs w:val="16"/>
                <w:color w:val="auto"/>
              </w:rPr>
            </w:pPr>
          </w:p>
        </w:tc>
        <w:tc>
          <w:tcPr>
            <w:tcW w:w="100" w:type="dxa"/>
            <w:vAlign w:val="bottom"/>
            <w:shd w:val="clear" w:color="auto" w:fill="231F20"/>
          </w:tcPr>
          <w:p>
            <w:pPr>
              <w:spacing w:after="0"/>
              <w:rPr>
                <w:sz w:val="16"/>
                <w:szCs w:val="16"/>
                <w:color w:val="auto"/>
              </w:rPr>
            </w:pPr>
          </w:p>
        </w:tc>
        <w:tc>
          <w:tcPr>
            <w:tcW w:w="980" w:type="dxa"/>
            <w:vAlign w:val="bottom"/>
            <w:shd w:val="clear" w:color="auto" w:fill="231F20"/>
          </w:tcPr>
          <w:p>
            <w:pPr>
              <w:spacing w:after="0"/>
              <w:rPr>
                <w:sz w:val="16"/>
                <w:szCs w:val="16"/>
                <w:color w:val="auto"/>
              </w:rPr>
            </w:pPr>
          </w:p>
        </w:tc>
        <w:tc>
          <w:tcPr>
            <w:tcW w:w="60" w:type="dxa"/>
            <w:vAlign w:val="bottom"/>
            <w:tcBorders>
              <w:right w:val="single" w:sz="8" w:color="231F20"/>
            </w:tcBorders>
            <w:shd w:val="clear" w:color="auto" w:fill="231F20"/>
          </w:tcPr>
          <w:p>
            <w:pPr>
              <w:spacing w:after="0"/>
              <w:rPr>
                <w:sz w:val="16"/>
                <w:szCs w:val="16"/>
                <w:color w:val="auto"/>
              </w:rPr>
            </w:pPr>
          </w:p>
        </w:tc>
        <w:tc>
          <w:tcPr>
            <w:tcW w:w="360" w:type="dxa"/>
            <w:vAlign w:val="bottom"/>
            <w:tcBorders>
              <w:right w:val="single" w:sz="8" w:color="231F20"/>
            </w:tcBorders>
            <w:shd w:val="clear" w:color="auto" w:fill="231F20"/>
          </w:tcPr>
          <w:p>
            <w:pPr>
              <w:spacing w:after="0"/>
              <w:rPr>
                <w:sz w:val="16"/>
                <w:szCs w:val="16"/>
                <w:color w:val="auto"/>
              </w:rPr>
            </w:pPr>
          </w:p>
        </w:tc>
        <w:tc>
          <w:tcPr>
            <w:tcW w:w="200" w:type="dxa"/>
            <w:vAlign w:val="bottom"/>
            <w:shd w:val="clear" w:color="auto" w:fill="231F20"/>
          </w:tcPr>
          <w:p>
            <w:pPr>
              <w:spacing w:after="0"/>
              <w:rPr>
                <w:sz w:val="16"/>
                <w:szCs w:val="16"/>
                <w:color w:val="auto"/>
              </w:rPr>
            </w:pPr>
          </w:p>
        </w:tc>
        <w:tc>
          <w:tcPr>
            <w:tcW w:w="960" w:type="dxa"/>
            <w:vAlign w:val="bottom"/>
            <w:shd w:val="clear" w:color="auto" w:fill="231F20"/>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tcBorders>
              <w:bottom w:val="single" w:sz="8" w:color="231F20"/>
            </w:tcBorders>
            <w:shd w:val="clear" w:color="auto" w:fill="231F20"/>
          </w:tcPr>
          <w:p>
            <w:pPr>
              <w:ind w:left="40"/>
              <w:spacing w:after="0"/>
              <w:rPr>
                <w:sz w:val="20"/>
                <w:szCs w:val="20"/>
                <w:color w:val="auto"/>
              </w:rPr>
            </w:pPr>
            <w:r>
              <w:rPr>
                <w:rFonts w:ascii="Arial" w:cs="Arial" w:eastAsia="Arial" w:hAnsi="Arial"/>
                <w:sz w:val="12"/>
                <w:szCs w:val="12"/>
                <w:color w:val="FFFFFF"/>
                <w:w w:val="73"/>
              </w:rPr>
              <w:t>price...........................................................................................................................................</w:t>
            </w:r>
          </w:p>
        </w:tc>
        <w:tc>
          <w:tcPr>
            <w:tcW w:w="1100" w:type="dxa"/>
            <w:vAlign w:val="bottom"/>
            <w:tcBorders>
              <w:bottom w:val="single" w:sz="8" w:color="231F20"/>
              <w:right w:val="single" w:sz="8" w:color="231F20"/>
            </w:tcBorders>
            <w:shd w:val="clear" w:color="auto" w:fill="231F20"/>
          </w:tcPr>
          <w:p>
            <w:pPr>
              <w:spacing w:after="0"/>
              <w:rPr>
                <w:sz w:val="16"/>
                <w:szCs w:val="16"/>
                <w:color w:val="auto"/>
              </w:rPr>
            </w:pPr>
          </w:p>
        </w:tc>
        <w:tc>
          <w:tcPr>
            <w:tcW w:w="1060" w:type="dxa"/>
            <w:vAlign w:val="bottom"/>
            <w:tcBorders>
              <w:bottom w:val="single" w:sz="8" w:color="231F20"/>
              <w:right w:val="single" w:sz="8" w:color="231F20"/>
            </w:tcBorders>
            <w:shd w:val="clear" w:color="auto" w:fill="231F20"/>
          </w:tcPr>
          <w:p>
            <w:pPr>
              <w:spacing w:after="0"/>
              <w:rPr>
                <w:sz w:val="16"/>
                <w:szCs w:val="16"/>
                <w:color w:val="auto"/>
              </w:rPr>
            </w:pPr>
          </w:p>
        </w:tc>
        <w:tc>
          <w:tcPr>
            <w:tcW w:w="1020" w:type="dxa"/>
            <w:vAlign w:val="bottom"/>
            <w:tcBorders>
              <w:bottom w:val="single" w:sz="8" w:color="231F20"/>
              <w:right w:val="single" w:sz="8" w:color="231F20"/>
            </w:tcBorders>
            <w:shd w:val="clear" w:color="auto" w:fill="231F20"/>
          </w:tcPr>
          <w:p>
            <w:pPr>
              <w:spacing w:after="0"/>
              <w:rPr>
                <w:sz w:val="16"/>
                <w:szCs w:val="16"/>
                <w:color w:val="auto"/>
              </w:rPr>
            </w:pPr>
          </w:p>
        </w:tc>
        <w:tc>
          <w:tcPr>
            <w:tcW w:w="100" w:type="dxa"/>
            <w:vAlign w:val="bottom"/>
            <w:tcBorders>
              <w:bottom w:val="single" w:sz="8" w:color="231F20"/>
            </w:tcBorders>
            <w:shd w:val="clear" w:color="auto" w:fill="231F20"/>
          </w:tcPr>
          <w:p>
            <w:pPr>
              <w:jc w:val="right"/>
              <w:spacing w:after="0"/>
              <w:rPr>
                <w:sz w:val="20"/>
                <w:szCs w:val="20"/>
                <w:color w:val="auto"/>
              </w:rPr>
            </w:pPr>
            <w:r>
              <w:rPr>
                <w:rFonts w:ascii="Arial" w:cs="Arial" w:eastAsia="Arial" w:hAnsi="Arial"/>
                <w:sz w:val="15"/>
                <w:szCs w:val="15"/>
                <w:color w:val="FFFFFF"/>
                <w:w w:val="71"/>
              </w:rPr>
              <w:t>$</w:t>
            </w:r>
          </w:p>
        </w:tc>
        <w:tc>
          <w:tcPr>
            <w:tcW w:w="980" w:type="dxa"/>
            <w:vAlign w:val="bottom"/>
            <w:tcBorders>
              <w:bottom w:val="single" w:sz="8" w:color="231F20"/>
            </w:tcBorders>
            <w:shd w:val="clear" w:color="auto" w:fill="231F20"/>
          </w:tcPr>
          <w:p>
            <w:pPr>
              <w:jc w:val="right"/>
              <w:spacing w:after="0"/>
              <w:rPr>
                <w:sz w:val="20"/>
                <w:szCs w:val="20"/>
                <w:color w:val="auto"/>
              </w:rPr>
            </w:pPr>
            <w:r>
              <w:rPr>
                <w:rFonts w:ascii="Arial" w:cs="Arial" w:eastAsia="Arial" w:hAnsi="Arial"/>
                <w:sz w:val="15"/>
                <w:szCs w:val="15"/>
                <w:color w:val="FFFFFF"/>
              </w:rPr>
              <w:t>21.00</w:t>
            </w:r>
          </w:p>
        </w:tc>
        <w:tc>
          <w:tcPr>
            <w:tcW w:w="60" w:type="dxa"/>
            <w:vAlign w:val="bottom"/>
            <w:tcBorders>
              <w:bottom w:val="single" w:sz="8" w:color="231F20"/>
              <w:right w:val="single" w:sz="8" w:color="231F20"/>
            </w:tcBorders>
            <w:shd w:val="clear" w:color="auto" w:fill="231F20"/>
          </w:tcPr>
          <w:p>
            <w:pPr>
              <w:spacing w:after="0"/>
              <w:rPr>
                <w:sz w:val="16"/>
                <w:szCs w:val="16"/>
                <w:color w:val="auto"/>
              </w:rPr>
            </w:pPr>
          </w:p>
        </w:tc>
        <w:tc>
          <w:tcPr>
            <w:tcW w:w="360" w:type="dxa"/>
            <w:vAlign w:val="bottom"/>
            <w:tcBorders>
              <w:bottom w:val="single" w:sz="8" w:color="231F20"/>
              <w:right w:val="single" w:sz="8" w:color="231F20"/>
            </w:tcBorders>
            <w:shd w:val="clear" w:color="auto" w:fill="231F20"/>
          </w:tcPr>
          <w:p>
            <w:pPr>
              <w:spacing w:after="0"/>
              <w:rPr>
                <w:sz w:val="16"/>
                <w:szCs w:val="16"/>
                <w:color w:val="auto"/>
              </w:rPr>
            </w:pPr>
          </w:p>
        </w:tc>
        <w:tc>
          <w:tcPr>
            <w:tcW w:w="200" w:type="dxa"/>
            <w:vAlign w:val="bottom"/>
            <w:tcBorders>
              <w:bottom w:val="single" w:sz="8" w:color="231F20"/>
            </w:tcBorders>
            <w:shd w:val="clear" w:color="auto" w:fill="231F20"/>
          </w:tcPr>
          <w:p>
            <w:pPr>
              <w:jc w:val="right"/>
              <w:ind w:right="46"/>
              <w:spacing w:after="0"/>
              <w:rPr>
                <w:sz w:val="20"/>
                <w:szCs w:val="20"/>
                <w:color w:val="auto"/>
              </w:rPr>
            </w:pPr>
            <w:r>
              <w:rPr>
                <w:rFonts w:ascii="Arial" w:cs="Arial" w:eastAsia="Arial" w:hAnsi="Arial"/>
                <w:sz w:val="15"/>
                <w:szCs w:val="15"/>
                <w:color w:val="FFFFFF"/>
                <w:w w:val="71"/>
              </w:rPr>
              <w:t>$</w:t>
            </w:r>
          </w:p>
        </w:tc>
        <w:tc>
          <w:tcPr>
            <w:tcW w:w="960" w:type="dxa"/>
            <w:vAlign w:val="bottom"/>
            <w:tcBorders>
              <w:bottom w:val="single" w:sz="8" w:color="231F20"/>
            </w:tcBorders>
            <w:shd w:val="clear" w:color="auto" w:fill="231F20"/>
          </w:tcPr>
          <w:p>
            <w:pPr>
              <w:jc w:val="right"/>
              <w:ind w:right="6"/>
              <w:spacing w:after="0"/>
              <w:rPr>
                <w:sz w:val="20"/>
                <w:szCs w:val="20"/>
                <w:color w:val="auto"/>
              </w:rPr>
            </w:pPr>
            <w:r>
              <w:rPr>
                <w:rFonts w:ascii="Arial" w:cs="Arial" w:eastAsia="Arial" w:hAnsi="Arial"/>
                <w:sz w:val="15"/>
                <w:szCs w:val="15"/>
                <w:color w:val="FFFFFF"/>
              </w:rPr>
              <w:t>934,500,000</w:t>
            </w:r>
          </w:p>
        </w:tc>
        <w:tc>
          <w:tcPr>
            <w:tcW w:w="2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660" w:type="dxa"/>
            <w:vAlign w:val="bottom"/>
            <w:shd w:val="clear" w:color="auto" w:fill="231F20"/>
          </w:tcPr>
          <w:p>
            <w:pPr>
              <w:ind w:left="40"/>
              <w:spacing w:after="0" w:line="168" w:lineRule="exact"/>
              <w:rPr>
                <w:sz w:val="20"/>
                <w:szCs w:val="20"/>
                <w:color w:val="auto"/>
              </w:rPr>
            </w:pPr>
            <w:r>
              <w:rPr>
                <w:rFonts w:ascii="Arial" w:cs="Arial" w:eastAsia="Arial" w:hAnsi="Arial"/>
                <w:sz w:val="15"/>
                <w:szCs w:val="15"/>
                <w:color w:val="FFFFFF"/>
              </w:rPr>
              <w:t>Underwriting</w:t>
            </w:r>
          </w:p>
        </w:tc>
        <w:tc>
          <w:tcPr>
            <w:tcW w:w="1100" w:type="dxa"/>
            <w:vAlign w:val="bottom"/>
            <w:tcBorders>
              <w:right w:val="single" w:sz="8" w:color="231F20"/>
            </w:tcBorders>
            <w:shd w:val="clear" w:color="auto" w:fill="231F20"/>
          </w:tcPr>
          <w:p>
            <w:pPr>
              <w:spacing w:after="0"/>
              <w:rPr>
                <w:sz w:val="14"/>
                <w:szCs w:val="14"/>
                <w:color w:val="auto"/>
              </w:rPr>
            </w:pPr>
          </w:p>
        </w:tc>
        <w:tc>
          <w:tcPr>
            <w:tcW w:w="1060" w:type="dxa"/>
            <w:vAlign w:val="bottom"/>
            <w:tcBorders>
              <w:right w:val="single" w:sz="8" w:color="231F20"/>
            </w:tcBorders>
            <w:shd w:val="clear" w:color="auto" w:fill="231F20"/>
          </w:tcPr>
          <w:p>
            <w:pPr>
              <w:spacing w:after="0"/>
              <w:rPr>
                <w:sz w:val="14"/>
                <w:szCs w:val="14"/>
                <w:color w:val="auto"/>
              </w:rPr>
            </w:pPr>
          </w:p>
        </w:tc>
        <w:tc>
          <w:tcPr>
            <w:tcW w:w="1020" w:type="dxa"/>
            <w:vAlign w:val="bottom"/>
            <w:tcBorders>
              <w:right w:val="single" w:sz="8" w:color="231F20"/>
            </w:tcBorders>
            <w:shd w:val="clear" w:color="auto" w:fill="231F20"/>
          </w:tcPr>
          <w:p>
            <w:pPr>
              <w:spacing w:after="0"/>
              <w:rPr>
                <w:sz w:val="14"/>
                <w:szCs w:val="14"/>
                <w:color w:val="auto"/>
              </w:rPr>
            </w:pPr>
          </w:p>
        </w:tc>
        <w:tc>
          <w:tcPr>
            <w:tcW w:w="100" w:type="dxa"/>
            <w:vAlign w:val="bottom"/>
            <w:shd w:val="clear" w:color="auto" w:fill="231F20"/>
          </w:tcPr>
          <w:p>
            <w:pPr>
              <w:spacing w:after="0"/>
              <w:rPr>
                <w:sz w:val="14"/>
                <w:szCs w:val="14"/>
                <w:color w:val="auto"/>
              </w:rPr>
            </w:pPr>
          </w:p>
        </w:tc>
        <w:tc>
          <w:tcPr>
            <w:tcW w:w="980" w:type="dxa"/>
            <w:vAlign w:val="bottom"/>
            <w:shd w:val="clear" w:color="auto" w:fill="231F20"/>
          </w:tcPr>
          <w:p>
            <w:pPr>
              <w:spacing w:after="0"/>
              <w:rPr>
                <w:sz w:val="14"/>
                <w:szCs w:val="14"/>
                <w:color w:val="auto"/>
              </w:rPr>
            </w:pPr>
          </w:p>
        </w:tc>
        <w:tc>
          <w:tcPr>
            <w:tcW w:w="60" w:type="dxa"/>
            <w:vAlign w:val="bottom"/>
            <w:tcBorders>
              <w:right w:val="single" w:sz="8" w:color="231F20"/>
            </w:tcBorders>
            <w:shd w:val="clear" w:color="auto" w:fill="231F20"/>
          </w:tcPr>
          <w:p>
            <w:pPr>
              <w:spacing w:after="0"/>
              <w:rPr>
                <w:sz w:val="14"/>
                <w:szCs w:val="14"/>
                <w:color w:val="auto"/>
              </w:rPr>
            </w:pPr>
          </w:p>
        </w:tc>
        <w:tc>
          <w:tcPr>
            <w:tcW w:w="360" w:type="dxa"/>
            <w:vAlign w:val="bottom"/>
            <w:tcBorders>
              <w:right w:val="single" w:sz="8" w:color="231F20"/>
            </w:tcBorders>
            <w:shd w:val="clear" w:color="auto" w:fill="231F20"/>
          </w:tcPr>
          <w:p>
            <w:pPr>
              <w:spacing w:after="0"/>
              <w:rPr>
                <w:sz w:val="14"/>
                <w:szCs w:val="14"/>
                <w:color w:val="auto"/>
              </w:rPr>
            </w:pPr>
          </w:p>
        </w:tc>
        <w:tc>
          <w:tcPr>
            <w:tcW w:w="200" w:type="dxa"/>
            <w:vAlign w:val="bottom"/>
            <w:shd w:val="clear" w:color="auto" w:fill="231F20"/>
          </w:tcPr>
          <w:p>
            <w:pPr>
              <w:spacing w:after="0"/>
              <w:rPr>
                <w:sz w:val="14"/>
                <w:szCs w:val="14"/>
                <w:color w:val="auto"/>
              </w:rPr>
            </w:pPr>
          </w:p>
        </w:tc>
        <w:tc>
          <w:tcPr>
            <w:tcW w:w="960" w:type="dxa"/>
            <w:vAlign w:val="bottom"/>
            <w:shd w:val="clear" w:color="auto" w:fill="231F2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660" w:type="dxa"/>
            <w:vAlign w:val="bottom"/>
            <w:tcBorders>
              <w:bottom w:val="single" w:sz="8" w:color="231F20"/>
            </w:tcBorders>
            <w:shd w:val="clear" w:color="auto" w:fill="231F20"/>
          </w:tcPr>
          <w:p>
            <w:pPr>
              <w:ind w:left="40"/>
              <w:spacing w:after="0"/>
              <w:rPr>
                <w:sz w:val="20"/>
                <w:szCs w:val="20"/>
                <w:color w:val="auto"/>
              </w:rPr>
            </w:pPr>
            <w:r>
              <w:rPr>
                <w:rFonts w:ascii="Arial" w:cs="Arial" w:eastAsia="Arial" w:hAnsi="Arial"/>
                <w:sz w:val="11"/>
                <w:szCs w:val="11"/>
                <w:color w:val="FFFFFF"/>
                <w:w w:val="73"/>
              </w:rPr>
              <w:t>discount</w:t>
            </w:r>
            <w:r>
              <w:rPr>
                <w:rFonts w:ascii="Arial" w:cs="Arial" w:eastAsia="Arial" w:hAnsi="Arial"/>
                <w:sz w:val="17"/>
                <w:szCs w:val="17"/>
                <w:color w:val="FFFFFF"/>
                <w:w w:val="73"/>
                <w:vertAlign w:val="superscript"/>
              </w:rPr>
              <w:t>(1)</w:t>
            </w:r>
            <w:r>
              <w:rPr>
                <w:rFonts w:ascii="Arial" w:cs="Arial" w:eastAsia="Arial" w:hAnsi="Arial"/>
                <w:sz w:val="11"/>
                <w:szCs w:val="11"/>
                <w:color w:val="FFFFFF"/>
                <w:w w:val="73"/>
              </w:rPr>
              <w:t>...............................................................................................................................................</w:t>
            </w:r>
          </w:p>
        </w:tc>
        <w:tc>
          <w:tcPr>
            <w:tcW w:w="1100" w:type="dxa"/>
            <w:vAlign w:val="bottom"/>
            <w:tcBorders>
              <w:bottom w:val="single" w:sz="8" w:color="231F20"/>
              <w:right w:val="single" w:sz="8" w:color="231F20"/>
            </w:tcBorders>
            <w:shd w:val="clear" w:color="auto" w:fill="231F20"/>
          </w:tcPr>
          <w:p>
            <w:pPr>
              <w:spacing w:after="0"/>
              <w:rPr>
                <w:sz w:val="17"/>
                <w:szCs w:val="17"/>
                <w:color w:val="auto"/>
              </w:rPr>
            </w:pPr>
          </w:p>
        </w:tc>
        <w:tc>
          <w:tcPr>
            <w:tcW w:w="1060" w:type="dxa"/>
            <w:vAlign w:val="bottom"/>
            <w:tcBorders>
              <w:bottom w:val="single" w:sz="8" w:color="231F20"/>
              <w:right w:val="single" w:sz="8" w:color="231F20"/>
            </w:tcBorders>
            <w:shd w:val="clear" w:color="auto" w:fill="231F20"/>
          </w:tcPr>
          <w:p>
            <w:pPr>
              <w:spacing w:after="0"/>
              <w:rPr>
                <w:sz w:val="17"/>
                <w:szCs w:val="17"/>
                <w:color w:val="auto"/>
              </w:rPr>
            </w:pPr>
          </w:p>
        </w:tc>
        <w:tc>
          <w:tcPr>
            <w:tcW w:w="1020" w:type="dxa"/>
            <w:vAlign w:val="bottom"/>
            <w:tcBorders>
              <w:bottom w:val="single" w:sz="8" w:color="231F20"/>
              <w:right w:val="single" w:sz="8" w:color="231F20"/>
            </w:tcBorders>
            <w:shd w:val="clear" w:color="auto" w:fill="231F20"/>
          </w:tcPr>
          <w:p>
            <w:pPr>
              <w:spacing w:after="0"/>
              <w:rPr>
                <w:sz w:val="17"/>
                <w:szCs w:val="17"/>
                <w:color w:val="auto"/>
              </w:rPr>
            </w:pPr>
          </w:p>
        </w:tc>
        <w:tc>
          <w:tcPr>
            <w:tcW w:w="100" w:type="dxa"/>
            <w:vAlign w:val="bottom"/>
            <w:tcBorders>
              <w:bottom w:val="single" w:sz="8" w:color="231F20"/>
            </w:tcBorders>
            <w:shd w:val="clear" w:color="auto" w:fill="231F20"/>
          </w:tcPr>
          <w:p>
            <w:pPr>
              <w:jc w:val="right"/>
              <w:spacing w:after="0"/>
              <w:rPr>
                <w:sz w:val="20"/>
                <w:szCs w:val="20"/>
                <w:color w:val="auto"/>
              </w:rPr>
            </w:pPr>
            <w:r>
              <w:rPr>
                <w:rFonts w:ascii="Arial" w:cs="Arial" w:eastAsia="Arial" w:hAnsi="Arial"/>
                <w:sz w:val="15"/>
                <w:szCs w:val="15"/>
                <w:color w:val="FFFFFF"/>
                <w:w w:val="71"/>
              </w:rPr>
              <w:t>$</w:t>
            </w:r>
          </w:p>
        </w:tc>
        <w:tc>
          <w:tcPr>
            <w:tcW w:w="980" w:type="dxa"/>
            <w:vAlign w:val="bottom"/>
            <w:tcBorders>
              <w:bottom w:val="single" w:sz="8" w:color="231F20"/>
            </w:tcBorders>
            <w:shd w:val="clear" w:color="auto" w:fill="231F20"/>
          </w:tcPr>
          <w:p>
            <w:pPr>
              <w:jc w:val="right"/>
              <w:spacing w:after="0"/>
              <w:rPr>
                <w:sz w:val="20"/>
                <w:szCs w:val="20"/>
                <w:color w:val="auto"/>
              </w:rPr>
            </w:pPr>
            <w:r>
              <w:rPr>
                <w:rFonts w:ascii="Arial" w:cs="Arial" w:eastAsia="Arial" w:hAnsi="Arial"/>
                <w:sz w:val="15"/>
                <w:szCs w:val="15"/>
                <w:color w:val="FFFFFF"/>
              </w:rPr>
              <w:t>1.08</w:t>
            </w:r>
          </w:p>
        </w:tc>
        <w:tc>
          <w:tcPr>
            <w:tcW w:w="60" w:type="dxa"/>
            <w:vAlign w:val="bottom"/>
            <w:tcBorders>
              <w:bottom w:val="single" w:sz="8" w:color="231F20"/>
              <w:right w:val="single" w:sz="8" w:color="231F20"/>
            </w:tcBorders>
            <w:shd w:val="clear" w:color="auto" w:fill="231F20"/>
          </w:tcPr>
          <w:p>
            <w:pPr>
              <w:spacing w:after="0"/>
              <w:rPr>
                <w:sz w:val="17"/>
                <w:szCs w:val="17"/>
                <w:color w:val="auto"/>
              </w:rPr>
            </w:pPr>
          </w:p>
        </w:tc>
        <w:tc>
          <w:tcPr>
            <w:tcW w:w="360" w:type="dxa"/>
            <w:vAlign w:val="bottom"/>
            <w:tcBorders>
              <w:bottom w:val="single" w:sz="8" w:color="231F20"/>
              <w:right w:val="single" w:sz="8" w:color="231F20"/>
            </w:tcBorders>
            <w:shd w:val="clear" w:color="auto" w:fill="231F20"/>
          </w:tcPr>
          <w:p>
            <w:pPr>
              <w:spacing w:after="0"/>
              <w:rPr>
                <w:sz w:val="17"/>
                <w:szCs w:val="17"/>
                <w:color w:val="auto"/>
              </w:rPr>
            </w:pPr>
          </w:p>
        </w:tc>
        <w:tc>
          <w:tcPr>
            <w:tcW w:w="200" w:type="dxa"/>
            <w:vAlign w:val="bottom"/>
            <w:tcBorders>
              <w:bottom w:val="single" w:sz="8" w:color="231F20"/>
            </w:tcBorders>
            <w:shd w:val="clear" w:color="auto" w:fill="231F20"/>
          </w:tcPr>
          <w:p>
            <w:pPr>
              <w:jc w:val="right"/>
              <w:ind w:right="46"/>
              <w:spacing w:after="0"/>
              <w:rPr>
                <w:sz w:val="20"/>
                <w:szCs w:val="20"/>
                <w:color w:val="auto"/>
              </w:rPr>
            </w:pPr>
            <w:r>
              <w:rPr>
                <w:rFonts w:ascii="Arial" w:cs="Arial" w:eastAsia="Arial" w:hAnsi="Arial"/>
                <w:sz w:val="15"/>
                <w:szCs w:val="15"/>
                <w:color w:val="FFFFFF"/>
                <w:w w:val="71"/>
              </w:rPr>
              <w:t>$</w:t>
            </w:r>
          </w:p>
        </w:tc>
        <w:tc>
          <w:tcPr>
            <w:tcW w:w="960" w:type="dxa"/>
            <w:vAlign w:val="bottom"/>
            <w:tcBorders>
              <w:bottom w:val="single" w:sz="8" w:color="231F20"/>
            </w:tcBorders>
            <w:shd w:val="clear" w:color="auto" w:fill="231F20"/>
          </w:tcPr>
          <w:p>
            <w:pPr>
              <w:jc w:val="right"/>
              <w:ind w:right="6"/>
              <w:spacing w:after="0"/>
              <w:rPr>
                <w:sz w:val="20"/>
                <w:szCs w:val="20"/>
                <w:color w:val="auto"/>
              </w:rPr>
            </w:pPr>
            <w:r>
              <w:rPr>
                <w:rFonts w:ascii="Arial" w:cs="Arial" w:eastAsia="Arial" w:hAnsi="Arial"/>
                <w:sz w:val="15"/>
                <w:szCs w:val="15"/>
                <w:color w:val="FFFFFF"/>
              </w:rPr>
              <w:t>47,890,900</w:t>
            </w:r>
          </w:p>
        </w:tc>
        <w:tc>
          <w:tcPr>
            <w:tcW w:w="2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660" w:type="dxa"/>
            <w:vAlign w:val="bottom"/>
            <w:shd w:val="clear" w:color="auto" w:fill="231F20"/>
          </w:tcPr>
          <w:p>
            <w:pPr>
              <w:ind w:left="20"/>
              <w:spacing w:after="0" w:line="164" w:lineRule="exact"/>
              <w:rPr>
                <w:sz w:val="20"/>
                <w:szCs w:val="20"/>
                <w:color w:val="auto"/>
              </w:rPr>
            </w:pPr>
            <w:r>
              <w:rPr>
                <w:rFonts w:ascii="Arial" w:cs="Arial" w:eastAsia="Arial" w:hAnsi="Arial"/>
                <w:sz w:val="15"/>
                <w:szCs w:val="15"/>
                <w:color w:val="FFFFFF"/>
                <w:w w:val="92"/>
              </w:rPr>
              <w:t>Proceeds, before expenses, to ZoomInfo Technologies Inc.</w:t>
            </w:r>
          </w:p>
        </w:tc>
        <w:tc>
          <w:tcPr>
            <w:tcW w:w="1100" w:type="dxa"/>
            <w:vAlign w:val="bottom"/>
            <w:tcBorders>
              <w:right w:val="single" w:sz="8" w:color="231F20"/>
            </w:tcBorders>
            <w:shd w:val="clear" w:color="auto" w:fill="231F20"/>
          </w:tcPr>
          <w:p>
            <w:pPr>
              <w:spacing w:after="0"/>
              <w:rPr>
                <w:sz w:val="14"/>
                <w:szCs w:val="14"/>
                <w:color w:val="auto"/>
              </w:rPr>
            </w:pPr>
          </w:p>
        </w:tc>
        <w:tc>
          <w:tcPr>
            <w:tcW w:w="1060" w:type="dxa"/>
            <w:vAlign w:val="bottom"/>
            <w:tcBorders>
              <w:right w:val="single" w:sz="8" w:color="231F20"/>
            </w:tcBorders>
            <w:shd w:val="clear" w:color="auto" w:fill="231F20"/>
          </w:tcPr>
          <w:p>
            <w:pPr>
              <w:spacing w:after="0"/>
              <w:rPr>
                <w:sz w:val="14"/>
                <w:szCs w:val="14"/>
                <w:color w:val="auto"/>
              </w:rPr>
            </w:pPr>
          </w:p>
        </w:tc>
        <w:tc>
          <w:tcPr>
            <w:tcW w:w="1020" w:type="dxa"/>
            <w:vAlign w:val="bottom"/>
            <w:tcBorders>
              <w:right w:val="single" w:sz="8" w:color="231F20"/>
            </w:tcBorders>
            <w:shd w:val="clear" w:color="auto" w:fill="231F20"/>
          </w:tcPr>
          <w:p>
            <w:pPr>
              <w:spacing w:after="0"/>
              <w:rPr>
                <w:sz w:val="14"/>
                <w:szCs w:val="14"/>
                <w:color w:val="auto"/>
              </w:rPr>
            </w:pPr>
          </w:p>
        </w:tc>
        <w:tc>
          <w:tcPr>
            <w:tcW w:w="100" w:type="dxa"/>
            <w:vAlign w:val="bottom"/>
            <w:vMerge w:val="restart"/>
            <w:shd w:val="clear" w:color="auto" w:fill="231F20"/>
          </w:tcPr>
          <w:p>
            <w:pPr>
              <w:jc w:val="right"/>
              <w:spacing w:after="0"/>
              <w:rPr>
                <w:sz w:val="20"/>
                <w:szCs w:val="20"/>
                <w:color w:val="auto"/>
              </w:rPr>
            </w:pPr>
            <w:r>
              <w:rPr>
                <w:rFonts w:ascii="Arial" w:cs="Arial" w:eastAsia="Arial" w:hAnsi="Arial"/>
                <w:sz w:val="15"/>
                <w:szCs w:val="15"/>
                <w:color w:val="FFFFFF"/>
                <w:w w:val="71"/>
              </w:rPr>
              <w:t>$</w:t>
            </w:r>
          </w:p>
        </w:tc>
        <w:tc>
          <w:tcPr>
            <w:tcW w:w="980" w:type="dxa"/>
            <w:vAlign w:val="bottom"/>
            <w:vMerge w:val="restart"/>
            <w:shd w:val="clear" w:color="auto" w:fill="231F20"/>
          </w:tcPr>
          <w:p>
            <w:pPr>
              <w:jc w:val="right"/>
              <w:spacing w:after="0"/>
              <w:rPr>
                <w:sz w:val="20"/>
                <w:szCs w:val="20"/>
                <w:color w:val="auto"/>
              </w:rPr>
            </w:pPr>
            <w:r>
              <w:rPr>
                <w:rFonts w:ascii="Arial" w:cs="Arial" w:eastAsia="Arial" w:hAnsi="Arial"/>
                <w:sz w:val="15"/>
                <w:szCs w:val="15"/>
                <w:color w:val="FFFFFF"/>
              </w:rPr>
              <w:t>19.92</w:t>
            </w:r>
          </w:p>
        </w:tc>
        <w:tc>
          <w:tcPr>
            <w:tcW w:w="60" w:type="dxa"/>
            <w:vAlign w:val="bottom"/>
            <w:tcBorders>
              <w:right w:val="single" w:sz="8" w:color="231F20"/>
            </w:tcBorders>
            <w:shd w:val="clear" w:color="auto" w:fill="231F20"/>
          </w:tcPr>
          <w:p>
            <w:pPr>
              <w:spacing w:after="0"/>
              <w:rPr>
                <w:sz w:val="14"/>
                <w:szCs w:val="14"/>
                <w:color w:val="auto"/>
              </w:rPr>
            </w:pPr>
          </w:p>
        </w:tc>
        <w:tc>
          <w:tcPr>
            <w:tcW w:w="360" w:type="dxa"/>
            <w:vAlign w:val="bottom"/>
            <w:tcBorders>
              <w:right w:val="single" w:sz="8" w:color="231F20"/>
            </w:tcBorders>
            <w:shd w:val="clear" w:color="auto" w:fill="231F20"/>
          </w:tcPr>
          <w:p>
            <w:pPr>
              <w:spacing w:after="0"/>
              <w:rPr>
                <w:sz w:val="14"/>
                <w:szCs w:val="14"/>
                <w:color w:val="auto"/>
              </w:rPr>
            </w:pPr>
          </w:p>
        </w:tc>
        <w:tc>
          <w:tcPr>
            <w:tcW w:w="200" w:type="dxa"/>
            <w:vAlign w:val="bottom"/>
            <w:vMerge w:val="restart"/>
            <w:shd w:val="clear" w:color="auto" w:fill="231F20"/>
          </w:tcPr>
          <w:p>
            <w:pPr>
              <w:jc w:val="right"/>
              <w:ind w:right="46"/>
              <w:spacing w:after="0"/>
              <w:rPr>
                <w:sz w:val="20"/>
                <w:szCs w:val="20"/>
                <w:color w:val="auto"/>
              </w:rPr>
            </w:pPr>
            <w:r>
              <w:rPr>
                <w:rFonts w:ascii="Arial" w:cs="Arial" w:eastAsia="Arial" w:hAnsi="Arial"/>
                <w:sz w:val="15"/>
                <w:szCs w:val="15"/>
                <w:color w:val="FFFFFF"/>
                <w:w w:val="71"/>
              </w:rPr>
              <w:t>$</w:t>
            </w:r>
          </w:p>
        </w:tc>
        <w:tc>
          <w:tcPr>
            <w:tcW w:w="960" w:type="dxa"/>
            <w:vAlign w:val="bottom"/>
            <w:vMerge w:val="restart"/>
            <w:shd w:val="clear" w:color="auto" w:fill="231F20"/>
          </w:tcPr>
          <w:p>
            <w:pPr>
              <w:jc w:val="right"/>
              <w:ind w:right="6"/>
              <w:spacing w:after="0"/>
              <w:rPr>
                <w:sz w:val="20"/>
                <w:szCs w:val="20"/>
                <w:color w:val="auto"/>
              </w:rPr>
            </w:pPr>
            <w:r>
              <w:rPr>
                <w:rFonts w:ascii="Arial" w:cs="Arial" w:eastAsia="Arial" w:hAnsi="Arial"/>
                <w:sz w:val="15"/>
                <w:szCs w:val="15"/>
                <w:color w:val="FFFFFF"/>
              </w:rPr>
              <w:t>886,609,100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tcBorders>
              <w:bottom w:val="single" w:sz="8" w:color="231F20"/>
            </w:tcBorders>
            <w:shd w:val="clear" w:color="auto" w:fill="231F20"/>
          </w:tcPr>
          <w:p>
            <w:pPr>
              <w:ind w:left="160"/>
              <w:spacing w:after="0"/>
              <w:rPr>
                <w:sz w:val="20"/>
                <w:szCs w:val="20"/>
                <w:color w:val="auto"/>
              </w:rPr>
            </w:pPr>
            <w:r>
              <w:rPr>
                <w:rFonts w:ascii="Arial" w:cs="Arial" w:eastAsia="Arial" w:hAnsi="Arial"/>
                <w:sz w:val="15"/>
                <w:szCs w:val="15"/>
                <w:color w:val="FFFFFF"/>
                <w:w w:val="94"/>
              </w:rPr>
              <w:t>........................................................................................</w:t>
            </w:r>
          </w:p>
        </w:tc>
        <w:tc>
          <w:tcPr>
            <w:tcW w:w="1100" w:type="dxa"/>
            <w:vAlign w:val="bottom"/>
            <w:tcBorders>
              <w:bottom w:val="single" w:sz="8" w:color="231F20"/>
              <w:right w:val="single" w:sz="8" w:color="231F20"/>
            </w:tcBorders>
            <w:shd w:val="clear" w:color="auto" w:fill="231F20"/>
          </w:tcPr>
          <w:p>
            <w:pPr>
              <w:spacing w:after="0"/>
              <w:rPr>
                <w:sz w:val="16"/>
                <w:szCs w:val="16"/>
                <w:color w:val="auto"/>
              </w:rPr>
            </w:pPr>
          </w:p>
        </w:tc>
        <w:tc>
          <w:tcPr>
            <w:tcW w:w="1060" w:type="dxa"/>
            <w:vAlign w:val="bottom"/>
            <w:tcBorders>
              <w:bottom w:val="single" w:sz="8" w:color="231F20"/>
              <w:right w:val="single" w:sz="8" w:color="231F20"/>
            </w:tcBorders>
            <w:shd w:val="clear" w:color="auto" w:fill="231F20"/>
          </w:tcPr>
          <w:p>
            <w:pPr>
              <w:spacing w:after="0"/>
              <w:rPr>
                <w:sz w:val="16"/>
                <w:szCs w:val="16"/>
                <w:color w:val="auto"/>
              </w:rPr>
            </w:pPr>
          </w:p>
        </w:tc>
        <w:tc>
          <w:tcPr>
            <w:tcW w:w="1020" w:type="dxa"/>
            <w:vAlign w:val="bottom"/>
            <w:tcBorders>
              <w:bottom w:val="single" w:sz="8" w:color="231F20"/>
              <w:right w:val="single" w:sz="8" w:color="231F20"/>
            </w:tcBorders>
            <w:shd w:val="clear" w:color="auto" w:fill="231F20"/>
          </w:tcPr>
          <w:p>
            <w:pPr>
              <w:spacing w:after="0"/>
              <w:rPr>
                <w:sz w:val="16"/>
                <w:szCs w:val="16"/>
                <w:color w:val="auto"/>
              </w:rPr>
            </w:pPr>
          </w:p>
        </w:tc>
        <w:tc>
          <w:tcPr>
            <w:tcW w:w="100" w:type="dxa"/>
            <w:vAlign w:val="bottom"/>
            <w:tcBorders>
              <w:bottom w:val="single" w:sz="8" w:color="231F20"/>
            </w:tcBorders>
            <w:vMerge w:val="continue"/>
            <w:shd w:val="clear" w:color="auto" w:fill="231F20"/>
          </w:tcPr>
          <w:p>
            <w:pPr>
              <w:spacing w:after="0"/>
              <w:rPr>
                <w:sz w:val="16"/>
                <w:szCs w:val="16"/>
                <w:color w:val="auto"/>
              </w:rPr>
            </w:pPr>
          </w:p>
        </w:tc>
        <w:tc>
          <w:tcPr>
            <w:tcW w:w="980" w:type="dxa"/>
            <w:vAlign w:val="bottom"/>
            <w:tcBorders>
              <w:bottom w:val="single" w:sz="8" w:color="231F20"/>
            </w:tcBorders>
            <w:vMerge w:val="continue"/>
            <w:shd w:val="clear" w:color="auto" w:fill="231F20"/>
          </w:tcPr>
          <w:p>
            <w:pPr>
              <w:spacing w:after="0"/>
              <w:rPr>
                <w:sz w:val="16"/>
                <w:szCs w:val="16"/>
                <w:color w:val="auto"/>
              </w:rPr>
            </w:pPr>
          </w:p>
        </w:tc>
        <w:tc>
          <w:tcPr>
            <w:tcW w:w="60" w:type="dxa"/>
            <w:vAlign w:val="bottom"/>
            <w:tcBorders>
              <w:bottom w:val="single" w:sz="8" w:color="231F20"/>
              <w:right w:val="single" w:sz="8" w:color="231F20"/>
            </w:tcBorders>
            <w:shd w:val="clear" w:color="auto" w:fill="231F20"/>
          </w:tcPr>
          <w:p>
            <w:pPr>
              <w:spacing w:after="0"/>
              <w:rPr>
                <w:sz w:val="16"/>
                <w:szCs w:val="16"/>
                <w:color w:val="auto"/>
              </w:rPr>
            </w:pPr>
          </w:p>
        </w:tc>
        <w:tc>
          <w:tcPr>
            <w:tcW w:w="360" w:type="dxa"/>
            <w:vAlign w:val="bottom"/>
            <w:tcBorders>
              <w:bottom w:val="single" w:sz="8" w:color="231F20"/>
              <w:right w:val="single" w:sz="8" w:color="231F20"/>
            </w:tcBorders>
            <w:shd w:val="clear" w:color="auto" w:fill="231F20"/>
          </w:tcPr>
          <w:p>
            <w:pPr>
              <w:spacing w:after="0"/>
              <w:rPr>
                <w:sz w:val="16"/>
                <w:szCs w:val="16"/>
                <w:color w:val="auto"/>
              </w:rPr>
            </w:pPr>
          </w:p>
        </w:tc>
        <w:tc>
          <w:tcPr>
            <w:tcW w:w="200" w:type="dxa"/>
            <w:vAlign w:val="bottom"/>
            <w:tcBorders>
              <w:bottom w:val="single" w:sz="8" w:color="231F20"/>
            </w:tcBorders>
            <w:vMerge w:val="continue"/>
            <w:shd w:val="clear" w:color="auto" w:fill="231F20"/>
          </w:tcPr>
          <w:p>
            <w:pPr>
              <w:spacing w:after="0"/>
              <w:rPr>
                <w:sz w:val="16"/>
                <w:szCs w:val="16"/>
                <w:color w:val="auto"/>
              </w:rPr>
            </w:pPr>
          </w:p>
        </w:tc>
        <w:tc>
          <w:tcPr>
            <w:tcW w:w="960" w:type="dxa"/>
            <w:vAlign w:val="bottom"/>
            <w:tcBorders>
              <w:bottom w:val="single" w:sz="8" w:color="231F20"/>
            </w:tcBorders>
            <w:vMerge w:val="continue"/>
            <w:shd w:val="clear" w:color="auto" w:fill="231F20"/>
          </w:tcPr>
          <w:p>
            <w:pPr>
              <w:spacing w:after="0"/>
              <w:rPr>
                <w:sz w:val="16"/>
                <w:szCs w:val="16"/>
                <w:color w:val="auto"/>
              </w:rPr>
            </w:pPr>
          </w:p>
        </w:tc>
        <w:tc>
          <w:tcPr>
            <w:tcW w:w="2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231F20"/>
            </w:tcBorders>
            <w:shd w:val="clear" w:color="auto" w:fill="231F20"/>
          </w:tcPr>
          <w:p>
            <w:pPr>
              <w:spacing w:after="0"/>
              <w:rPr>
                <w:sz w:val="10"/>
                <w:szCs w:val="10"/>
                <w:color w:val="auto"/>
              </w:rPr>
            </w:pPr>
          </w:p>
        </w:tc>
        <w:tc>
          <w:tcPr>
            <w:tcW w:w="1100" w:type="dxa"/>
            <w:vAlign w:val="bottom"/>
            <w:tcBorders>
              <w:bottom w:val="single" w:sz="8" w:color="231F20"/>
              <w:right w:val="single" w:sz="8" w:color="231F20"/>
            </w:tcBorders>
            <w:shd w:val="clear" w:color="auto" w:fill="231F20"/>
          </w:tcPr>
          <w:p>
            <w:pPr>
              <w:spacing w:after="0"/>
              <w:rPr>
                <w:sz w:val="10"/>
                <w:szCs w:val="10"/>
                <w:color w:val="auto"/>
              </w:rPr>
            </w:pPr>
          </w:p>
        </w:tc>
        <w:tc>
          <w:tcPr>
            <w:tcW w:w="1060" w:type="dxa"/>
            <w:vAlign w:val="bottom"/>
            <w:tcBorders>
              <w:bottom w:val="single" w:sz="8" w:color="231F20"/>
              <w:right w:val="single" w:sz="8" w:color="231F20"/>
            </w:tcBorders>
            <w:shd w:val="clear" w:color="auto" w:fill="231F20"/>
          </w:tcPr>
          <w:p>
            <w:pPr>
              <w:spacing w:after="0"/>
              <w:rPr>
                <w:sz w:val="10"/>
                <w:szCs w:val="10"/>
                <w:color w:val="auto"/>
              </w:rPr>
            </w:pPr>
          </w:p>
        </w:tc>
        <w:tc>
          <w:tcPr>
            <w:tcW w:w="1020" w:type="dxa"/>
            <w:vAlign w:val="bottom"/>
            <w:tcBorders>
              <w:bottom w:val="single" w:sz="8" w:color="231F20"/>
              <w:right w:val="single" w:sz="8" w:color="231F20"/>
            </w:tcBorders>
            <w:shd w:val="clear" w:color="auto" w:fill="231F20"/>
          </w:tcPr>
          <w:p>
            <w:pPr>
              <w:spacing w:after="0"/>
              <w:rPr>
                <w:sz w:val="10"/>
                <w:szCs w:val="10"/>
                <w:color w:val="auto"/>
              </w:rPr>
            </w:pPr>
          </w:p>
        </w:tc>
        <w:tc>
          <w:tcPr>
            <w:tcW w:w="100" w:type="dxa"/>
            <w:vAlign w:val="bottom"/>
            <w:tcBorders>
              <w:bottom w:val="single" w:sz="8" w:color="231F20"/>
            </w:tcBorders>
            <w:shd w:val="clear" w:color="auto" w:fill="231F20"/>
          </w:tcPr>
          <w:p>
            <w:pPr>
              <w:spacing w:after="0"/>
              <w:rPr>
                <w:sz w:val="10"/>
                <w:szCs w:val="10"/>
                <w:color w:val="auto"/>
              </w:rPr>
            </w:pPr>
          </w:p>
        </w:tc>
        <w:tc>
          <w:tcPr>
            <w:tcW w:w="980" w:type="dxa"/>
            <w:vAlign w:val="bottom"/>
            <w:tcBorders>
              <w:bottom w:val="single" w:sz="8" w:color="231F20"/>
            </w:tcBorders>
            <w:shd w:val="clear" w:color="auto" w:fill="231F20"/>
          </w:tcPr>
          <w:p>
            <w:pPr>
              <w:spacing w:after="0"/>
              <w:rPr>
                <w:sz w:val="10"/>
                <w:szCs w:val="10"/>
                <w:color w:val="auto"/>
              </w:rPr>
            </w:pPr>
          </w:p>
        </w:tc>
        <w:tc>
          <w:tcPr>
            <w:tcW w:w="60" w:type="dxa"/>
            <w:vAlign w:val="bottom"/>
            <w:tcBorders>
              <w:bottom w:val="single" w:sz="8" w:color="231F20"/>
              <w:right w:val="single" w:sz="8" w:color="231F20"/>
            </w:tcBorders>
            <w:shd w:val="clear" w:color="auto" w:fill="231F20"/>
          </w:tcPr>
          <w:p>
            <w:pPr>
              <w:spacing w:after="0"/>
              <w:rPr>
                <w:sz w:val="10"/>
                <w:szCs w:val="10"/>
                <w:color w:val="auto"/>
              </w:rPr>
            </w:pPr>
          </w:p>
        </w:tc>
        <w:tc>
          <w:tcPr>
            <w:tcW w:w="360" w:type="dxa"/>
            <w:vAlign w:val="bottom"/>
            <w:tcBorders>
              <w:bottom w:val="single" w:sz="8" w:color="231F20"/>
              <w:right w:val="single" w:sz="8" w:color="231F20"/>
            </w:tcBorders>
            <w:shd w:val="clear" w:color="auto" w:fill="231F20"/>
          </w:tcPr>
          <w:p>
            <w:pPr>
              <w:spacing w:after="0"/>
              <w:rPr>
                <w:sz w:val="10"/>
                <w:szCs w:val="10"/>
                <w:color w:val="auto"/>
              </w:rPr>
            </w:pPr>
          </w:p>
        </w:tc>
        <w:tc>
          <w:tcPr>
            <w:tcW w:w="200" w:type="dxa"/>
            <w:vAlign w:val="bottom"/>
            <w:tcBorders>
              <w:bottom w:val="single" w:sz="8" w:color="231F20"/>
            </w:tcBorders>
            <w:shd w:val="clear" w:color="auto" w:fill="231F20"/>
          </w:tcPr>
          <w:p>
            <w:pPr>
              <w:spacing w:after="0"/>
              <w:rPr>
                <w:sz w:val="10"/>
                <w:szCs w:val="10"/>
                <w:color w:val="auto"/>
              </w:rPr>
            </w:pPr>
          </w:p>
        </w:tc>
        <w:tc>
          <w:tcPr>
            <w:tcW w:w="960" w:type="dxa"/>
            <w:vAlign w:val="bottom"/>
            <w:tcBorders>
              <w:bottom w:val="single" w:sz="8" w:color="231F20"/>
            </w:tcBorders>
            <w:shd w:val="clear" w:color="auto" w:fill="231F20"/>
          </w:tcPr>
          <w:p>
            <w:pPr>
              <w:spacing w:after="0"/>
              <w:rPr>
                <w:sz w:val="10"/>
                <w:szCs w:val="10"/>
                <w:color w:val="auto"/>
              </w:rPr>
            </w:pPr>
          </w:p>
        </w:tc>
        <w:tc>
          <w:tcPr>
            <w:tcW w:w="20" w:type="dxa"/>
            <w:vAlign w:val="bottom"/>
            <w:tcBorders>
              <w:bottom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60" w:type="dxa"/>
            <w:vAlign w:val="bottom"/>
            <w:shd w:val="clear" w:color="auto" w:fill="231F20"/>
          </w:tcPr>
          <w:p>
            <w:pPr>
              <w:spacing w:after="0"/>
              <w:rPr>
                <w:sz w:val="10"/>
                <w:szCs w:val="10"/>
                <w:color w:val="auto"/>
              </w:rPr>
            </w:pPr>
          </w:p>
        </w:tc>
        <w:tc>
          <w:tcPr>
            <w:tcW w:w="1100" w:type="dxa"/>
            <w:vAlign w:val="bottom"/>
            <w:tcBorders>
              <w:right w:val="single" w:sz="8" w:color="231F20"/>
            </w:tcBorders>
            <w:shd w:val="clear" w:color="auto" w:fill="231F20"/>
          </w:tcPr>
          <w:p>
            <w:pPr>
              <w:spacing w:after="0"/>
              <w:rPr>
                <w:sz w:val="10"/>
                <w:szCs w:val="10"/>
                <w:color w:val="auto"/>
              </w:rPr>
            </w:pPr>
          </w:p>
        </w:tc>
        <w:tc>
          <w:tcPr>
            <w:tcW w:w="1060" w:type="dxa"/>
            <w:vAlign w:val="bottom"/>
            <w:tcBorders>
              <w:right w:val="single" w:sz="8" w:color="231F20"/>
            </w:tcBorders>
            <w:shd w:val="clear" w:color="auto" w:fill="231F20"/>
          </w:tcPr>
          <w:p>
            <w:pPr>
              <w:spacing w:after="0"/>
              <w:rPr>
                <w:sz w:val="10"/>
                <w:szCs w:val="10"/>
                <w:color w:val="auto"/>
              </w:rPr>
            </w:pPr>
          </w:p>
        </w:tc>
        <w:tc>
          <w:tcPr>
            <w:tcW w:w="1020" w:type="dxa"/>
            <w:vAlign w:val="bottom"/>
            <w:tcBorders>
              <w:right w:val="single" w:sz="8" w:color="231F20"/>
            </w:tcBorders>
            <w:shd w:val="clear" w:color="auto" w:fill="231F20"/>
          </w:tcPr>
          <w:p>
            <w:pPr>
              <w:spacing w:after="0"/>
              <w:rPr>
                <w:sz w:val="10"/>
                <w:szCs w:val="10"/>
                <w:color w:val="auto"/>
              </w:rPr>
            </w:pPr>
          </w:p>
        </w:tc>
        <w:tc>
          <w:tcPr>
            <w:tcW w:w="100" w:type="dxa"/>
            <w:vAlign w:val="bottom"/>
            <w:shd w:val="clear" w:color="auto" w:fill="231F20"/>
          </w:tcPr>
          <w:p>
            <w:pPr>
              <w:spacing w:after="0"/>
              <w:rPr>
                <w:sz w:val="10"/>
                <w:szCs w:val="10"/>
                <w:color w:val="auto"/>
              </w:rPr>
            </w:pPr>
          </w:p>
        </w:tc>
        <w:tc>
          <w:tcPr>
            <w:tcW w:w="980" w:type="dxa"/>
            <w:vAlign w:val="bottom"/>
            <w:shd w:val="clear" w:color="auto" w:fill="231F20"/>
          </w:tcPr>
          <w:p>
            <w:pPr>
              <w:spacing w:after="0"/>
              <w:rPr>
                <w:sz w:val="10"/>
                <w:szCs w:val="10"/>
                <w:color w:val="auto"/>
              </w:rPr>
            </w:pPr>
          </w:p>
        </w:tc>
        <w:tc>
          <w:tcPr>
            <w:tcW w:w="60" w:type="dxa"/>
            <w:vAlign w:val="bottom"/>
            <w:tcBorders>
              <w:right w:val="single" w:sz="8" w:color="231F20"/>
            </w:tcBorders>
            <w:shd w:val="clear" w:color="auto" w:fill="231F20"/>
          </w:tcPr>
          <w:p>
            <w:pPr>
              <w:spacing w:after="0"/>
              <w:rPr>
                <w:sz w:val="10"/>
                <w:szCs w:val="10"/>
                <w:color w:val="auto"/>
              </w:rPr>
            </w:pPr>
          </w:p>
        </w:tc>
        <w:tc>
          <w:tcPr>
            <w:tcW w:w="360" w:type="dxa"/>
            <w:vAlign w:val="bottom"/>
            <w:tcBorders>
              <w:right w:val="single" w:sz="8" w:color="231F20"/>
            </w:tcBorders>
            <w:shd w:val="clear" w:color="auto" w:fill="231F20"/>
          </w:tcPr>
          <w:p>
            <w:pPr>
              <w:spacing w:after="0"/>
              <w:rPr>
                <w:sz w:val="10"/>
                <w:szCs w:val="10"/>
                <w:color w:val="auto"/>
              </w:rPr>
            </w:pPr>
          </w:p>
        </w:tc>
        <w:tc>
          <w:tcPr>
            <w:tcW w:w="200" w:type="dxa"/>
            <w:vAlign w:val="bottom"/>
            <w:shd w:val="clear" w:color="auto" w:fill="231F20"/>
          </w:tcPr>
          <w:p>
            <w:pPr>
              <w:spacing w:after="0"/>
              <w:rPr>
                <w:sz w:val="10"/>
                <w:szCs w:val="10"/>
                <w:color w:val="auto"/>
              </w:rPr>
            </w:pPr>
          </w:p>
        </w:tc>
        <w:tc>
          <w:tcPr>
            <w:tcW w:w="960" w:type="dxa"/>
            <w:vAlign w:val="bottom"/>
            <w:shd w:val="clear" w:color="auto" w:fill="231F2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40"/>
        <w:spacing w:after="0"/>
        <w:tabs>
          <w:tab w:leader="none" w:pos="320" w:val="left"/>
        </w:tabs>
        <w:rPr>
          <w:sz w:val="20"/>
          <w:szCs w:val="20"/>
          <w:color w:val="auto"/>
        </w:rPr>
      </w:pPr>
      <w:r>
        <w:rPr>
          <w:rFonts w:ascii="Arial" w:cs="Arial" w:eastAsia="Arial" w:hAnsi="Arial"/>
          <w:sz w:val="12"/>
          <w:szCs w:val="12"/>
          <w:color w:val="FFFFFF"/>
        </w:rPr>
        <w:t>(1)</w:t>
        <w:tab/>
        <w:t>Please see the section entitled “Underwriting” for a description of compensation payable to the underwriters.</w:t>
      </w:r>
    </w:p>
    <w:p>
      <w:pPr>
        <w:spacing w:after="0" w:line="224" w:lineRule="exact"/>
        <w:rPr>
          <w:sz w:val="24"/>
          <w:szCs w:val="24"/>
          <w:color w:val="auto"/>
        </w:rPr>
      </w:pPr>
    </w:p>
    <w:p>
      <w:pPr>
        <w:jc w:val="both"/>
        <w:ind w:left="40" w:right="60"/>
        <w:spacing w:after="0" w:line="307" w:lineRule="auto"/>
        <w:rPr>
          <w:sz w:val="20"/>
          <w:szCs w:val="20"/>
          <w:color w:val="auto"/>
        </w:rPr>
      </w:pPr>
      <w:r>
        <w:rPr>
          <w:rFonts w:ascii="Arial" w:cs="Arial" w:eastAsia="Arial" w:hAnsi="Arial"/>
          <w:sz w:val="12"/>
          <w:szCs w:val="12"/>
          <w:color w:val="FFFFFF"/>
        </w:rPr>
        <w:t>To the extent that the underwriters sell more than 44,500,000 shares of our Class A common stock, the underwriters have the option, within 30 days from the date of this prospectus, to purchase up to an additional 6,675,000 shares of our Class A common stock from us at the initial public offering price less the underwriting discount.</w:t>
      </w:r>
    </w:p>
    <w:p>
      <w:pPr>
        <w:spacing w:after="0" w:line="1" w:lineRule="exact"/>
        <w:rPr>
          <w:sz w:val="24"/>
          <w:szCs w:val="24"/>
          <w:color w:val="auto"/>
        </w:rPr>
      </w:pPr>
    </w:p>
    <w:p>
      <w:pPr>
        <w:jc w:val="both"/>
        <w:ind w:left="40" w:right="60"/>
        <w:spacing w:after="0" w:line="222" w:lineRule="auto"/>
        <w:rPr>
          <w:sz w:val="20"/>
          <w:szCs w:val="20"/>
          <w:color w:val="auto"/>
        </w:rPr>
      </w:pPr>
      <w:r>
        <w:rPr>
          <w:rFonts w:ascii="Arial" w:cs="Arial" w:eastAsia="Arial" w:hAnsi="Arial"/>
          <w:sz w:val="14"/>
          <w:szCs w:val="14"/>
          <w:color w:val="FFFFFF"/>
        </w:rPr>
        <w:t>Prior to the date hereof, certain funds and accounts managed by subsidiaries of BlackRock, Inc., entities affiliated with Dragoneer Investment Group, LLC, and certain entities affiliated with Fidelity Management &amp; Research Company LLC (collectively, the “cornerstone investors”) have indicated an interest in purchasing an aggregate of up to $100.0 million each (up to $300.0 million in the aggregate) in shares of our Class A common stock in this offering at the initial public offering price. Because this indication of interest is not a binding agreement or commitment to purchase, the cornerstone investors could determine to purchase more, less, or no shares in this offering or the underwriters could determine to sell more, less, or no shares to any of the cornerstone investors. The underwriters will receive the same discount on any of our shares of Class A common stock purchased by the cornerstone investors as they will from any other shares of Class A common stock sold to the public in this offering.</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4"/>
          <w:szCs w:val="14"/>
          <w:color w:val="FFFFFF"/>
        </w:rPr>
        <w:t>The underwriters expect to deliver the shares of our Class A common stock against payment in New York, New York on or about June 8, 2020.</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Borders>
              <w:bottom w:val="single" w:sz="8" w:color="231F20"/>
            </w:tcBorders>
            <w:shd w:val="clear" w:color="auto" w:fill="231F20"/>
          </w:tcPr>
          <w:p>
            <w:pPr>
              <w:spacing w:after="0"/>
              <w:rPr>
                <w:sz w:val="14"/>
                <w:szCs w:val="14"/>
                <w:color w:val="auto"/>
              </w:rPr>
            </w:pPr>
          </w:p>
        </w:tc>
        <w:tc>
          <w:tcPr>
            <w:tcW w:w="120" w:type="dxa"/>
            <w:vAlign w:val="bottom"/>
            <w:tcBorders>
              <w:bottom w:val="single" w:sz="8" w:color="231F20"/>
            </w:tcBorders>
          </w:tcPr>
          <w:p>
            <w:pPr>
              <w:spacing w:after="0"/>
              <w:rPr>
                <w:sz w:val="14"/>
                <w:szCs w:val="14"/>
                <w:color w:val="auto"/>
              </w:rPr>
            </w:pPr>
          </w:p>
        </w:tc>
        <w:tc>
          <w:tcPr>
            <w:tcW w:w="540" w:type="dxa"/>
            <w:vAlign w:val="bottom"/>
            <w:tcBorders>
              <w:bottom w:val="single" w:sz="8" w:color="231F20"/>
              <w:right w:val="single" w:sz="8" w:color="231F20"/>
            </w:tcBorders>
          </w:tcPr>
          <w:p>
            <w:pPr>
              <w:spacing w:after="0"/>
              <w:rPr>
                <w:sz w:val="14"/>
                <w:szCs w:val="14"/>
                <w:color w:val="auto"/>
              </w:rPr>
            </w:pPr>
          </w:p>
        </w:tc>
        <w:tc>
          <w:tcPr>
            <w:tcW w:w="760" w:type="dxa"/>
            <w:vAlign w:val="bottom"/>
            <w:tcBorders>
              <w:bottom w:val="single" w:sz="8" w:color="231F20"/>
              <w:right w:val="single" w:sz="8" w:color="231F20"/>
            </w:tcBorders>
          </w:tcPr>
          <w:p>
            <w:pPr>
              <w:spacing w:after="0"/>
              <w:rPr>
                <w:sz w:val="14"/>
                <w:szCs w:val="14"/>
                <w:color w:val="auto"/>
              </w:rPr>
            </w:pPr>
          </w:p>
        </w:tc>
        <w:tc>
          <w:tcPr>
            <w:tcW w:w="1100" w:type="dxa"/>
            <w:vAlign w:val="bottom"/>
            <w:tcBorders>
              <w:bottom w:val="single" w:sz="8" w:color="231F20"/>
              <w:right w:val="single" w:sz="8" w:color="231F20"/>
            </w:tcBorders>
          </w:tcPr>
          <w:p>
            <w:pPr>
              <w:spacing w:after="0"/>
              <w:rPr>
                <w:sz w:val="14"/>
                <w:szCs w:val="14"/>
                <w:color w:val="auto"/>
              </w:rPr>
            </w:pPr>
          </w:p>
        </w:tc>
        <w:tc>
          <w:tcPr>
            <w:tcW w:w="400" w:type="dxa"/>
            <w:vAlign w:val="bottom"/>
            <w:tcBorders>
              <w:bottom w:val="single" w:sz="8" w:color="231F20"/>
            </w:tcBorders>
          </w:tcPr>
          <w:p>
            <w:pPr>
              <w:spacing w:after="0"/>
              <w:rPr>
                <w:sz w:val="14"/>
                <w:szCs w:val="14"/>
                <w:color w:val="auto"/>
              </w:rPr>
            </w:pPr>
          </w:p>
        </w:tc>
        <w:tc>
          <w:tcPr>
            <w:tcW w:w="660" w:type="dxa"/>
            <w:vAlign w:val="bottom"/>
            <w:tcBorders>
              <w:bottom w:val="single" w:sz="8" w:color="231F20"/>
            </w:tcBorders>
          </w:tcPr>
          <w:p>
            <w:pPr>
              <w:spacing w:after="0"/>
              <w:rPr>
                <w:sz w:val="14"/>
                <w:szCs w:val="14"/>
                <w:color w:val="auto"/>
              </w:rPr>
            </w:pPr>
          </w:p>
        </w:tc>
        <w:tc>
          <w:tcPr>
            <w:tcW w:w="1080" w:type="dxa"/>
            <w:vAlign w:val="bottom"/>
            <w:tcBorders>
              <w:bottom w:val="single" w:sz="8" w:color="231F20"/>
              <w:right w:val="single" w:sz="8" w:color="231F20"/>
            </w:tcBorders>
          </w:tcPr>
          <w:p>
            <w:pPr>
              <w:spacing w:after="0"/>
              <w:rPr>
                <w:sz w:val="14"/>
                <w:szCs w:val="14"/>
                <w:color w:val="auto"/>
              </w:rPr>
            </w:pPr>
          </w:p>
        </w:tc>
        <w:tc>
          <w:tcPr>
            <w:tcW w:w="1020" w:type="dxa"/>
            <w:vAlign w:val="bottom"/>
            <w:tcBorders>
              <w:bottom w:val="single" w:sz="8" w:color="231F20"/>
              <w:right w:val="single" w:sz="8" w:color="231F20"/>
            </w:tcBorders>
          </w:tcPr>
          <w:p>
            <w:pPr>
              <w:spacing w:after="0"/>
              <w:rPr>
                <w:sz w:val="14"/>
                <w:szCs w:val="14"/>
                <w:color w:val="auto"/>
              </w:rPr>
            </w:pPr>
          </w:p>
        </w:tc>
        <w:tc>
          <w:tcPr>
            <w:tcW w:w="860" w:type="dxa"/>
            <w:vAlign w:val="bottom"/>
            <w:tcBorders>
              <w:bottom w:val="single" w:sz="8" w:color="231F20"/>
            </w:tcBorders>
          </w:tcPr>
          <w:p>
            <w:pPr>
              <w:spacing w:after="0"/>
              <w:rPr>
                <w:sz w:val="14"/>
                <w:szCs w:val="14"/>
                <w:color w:val="auto"/>
              </w:rPr>
            </w:pPr>
          </w:p>
        </w:tc>
        <w:tc>
          <w:tcPr>
            <w:tcW w:w="280" w:type="dxa"/>
            <w:vAlign w:val="bottom"/>
            <w:tcBorders>
              <w:bottom w:val="single" w:sz="8" w:color="231F20"/>
              <w:right w:val="single" w:sz="8" w:color="231F20"/>
            </w:tcBorders>
          </w:tcPr>
          <w:p>
            <w:pPr>
              <w:spacing w:after="0"/>
              <w:rPr>
                <w:sz w:val="14"/>
                <w:szCs w:val="14"/>
                <w:color w:val="auto"/>
              </w:rPr>
            </w:pPr>
          </w:p>
        </w:tc>
        <w:tc>
          <w:tcPr>
            <w:tcW w:w="360" w:type="dxa"/>
            <w:vAlign w:val="bottom"/>
            <w:tcBorders>
              <w:bottom w:val="single" w:sz="8" w:color="231F20"/>
              <w:right w:val="single" w:sz="8" w:color="231F20"/>
            </w:tcBorders>
          </w:tcPr>
          <w:p>
            <w:pPr>
              <w:spacing w:after="0"/>
              <w:rPr>
                <w:sz w:val="14"/>
                <w:szCs w:val="14"/>
                <w:color w:val="auto"/>
              </w:rPr>
            </w:pPr>
          </w:p>
        </w:tc>
        <w:tc>
          <w:tcPr>
            <w:tcW w:w="1160" w:type="dxa"/>
            <w:vAlign w:val="bottom"/>
            <w:tcBorders>
              <w:bottom w:val="single" w:sz="8" w:color="231F20"/>
            </w:tcBorders>
          </w:tcPr>
          <w:p>
            <w:pPr>
              <w:spacing w:after="0"/>
              <w:rPr>
                <w:sz w:val="14"/>
                <w:szCs w:val="14"/>
                <w:color w:val="auto"/>
              </w:rPr>
            </w:pPr>
          </w:p>
        </w:tc>
        <w:tc>
          <w:tcPr>
            <w:tcW w:w="20" w:type="dxa"/>
            <w:vAlign w:val="bottom"/>
            <w:tcBorders>
              <w:bottom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160" w:type="dxa"/>
            <w:vAlign w:val="bottom"/>
            <w:tcBorders>
              <w:bottom w:val="single" w:sz="8" w:color="231F20"/>
            </w:tcBorders>
            <w:shd w:val="clear" w:color="auto" w:fill="231F20"/>
          </w:tcPr>
          <w:p>
            <w:pPr>
              <w:spacing w:after="0"/>
              <w:rPr>
                <w:sz w:val="9"/>
                <w:szCs w:val="9"/>
                <w:color w:val="auto"/>
              </w:rPr>
            </w:pPr>
          </w:p>
        </w:tc>
        <w:tc>
          <w:tcPr>
            <w:tcW w:w="120" w:type="dxa"/>
            <w:vAlign w:val="bottom"/>
            <w:tcBorders>
              <w:bottom w:val="single" w:sz="8" w:color="231F20"/>
            </w:tcBorders>
            <w:shd w:val="clear" w:color="auto" w:fill="231F20"/>
          </w:tcPr>
          <w:p>
            <w:pPr>
              <w:spacing w:after="0"/>
              <w:rPr>
                <w:sz w:val="9"/>
                <w:szCs w:val="9"/>
                <w:color w:val="auto"/>
              </w:rPr>
            </w:pPr>
          </w:p>
        </w:tc>
        <w:tc>
          <w:tcPr>
            <w:tcW w:w="540" w:type="dxa"/>
            <w:vAlign w:val="bottom"/>
            <w:tcBorders>
              <w:bottom w:val="single" w:sz="8" w:color="231F20"/>
              <w:right w:val="single" w:sz="8" w:color="231F20"/>
            </w:tcBorders>
            <w:shd w:val="clear" w:color="auto" w:fill="231F20"/>
          </w:tcPr>
          <w:p>
            <w:pPr>
              <w:spacing w:after="0"/>
              <w:rPr>
                <w:sz w:val="9"/>
                <w:szCs w:val="9"/>
                <w:color w:val="auto"/>
              </w:rPr>
            </w:pPr>
          </w:p>
        </w:tc>
        <w:tc>
          <w:tcPr>
            <w:tcW w:w="760" w:type="dxa"/>
            <w:vAlign w:val="bottom"/>
            <w:tcBorders>
              <w:bottom w:val="single" w:sz="8" w:color="231F20"/>
              <w:right w:val="single" w:sz="8" w:color="231F20"/>
            </w:tcBorders>
            <w:shd w:val="clear" w:color="auto" w:fill="231F20"/>
          </w:tcPr>
          <w:p>
            <w:pPr>
              <w:spacing w:after="0"/>
              <w:rPr>
                <w:sz w:val="9"/>
                <w:szCs w:val="9"/>
                <w:color w:val="auto"/>
              </w:rPr>
            </w:pPr>
          </w:p>
        </w:tc>
        <w:tc>
          <w:tcPr>
            <w:tcW w:w="1100" w:type="dxa"/>
            <w:vAlign w:val="bottom"/>
            <w:tcBorders>
              <w:bottom w:val="single" w:sz="8" w:color="231F20"/>
              <w:right w:val="single" w:sz="8" w:color="231F20"/>
            </w:tcBorders>
            <w:shd w:val="clear" w:color="auto" w:fill="231F20"/>
          </w:tcPr>
          <w:p>
            <w:pPr>
              <w:spacing w:after="0"/>
              <w:rPr>
                <w:sz w:val="9"/>
                <w:szCs w:val="9"/>
                <w:color w:val="auto"/>
              </w:rPr>
            </w:pPr>
          </w:p>
        </w:tc>
        <w:tc>
          <w:tcPr>
            <w:tcW w:w="2140" w:type="dxa"/>
            <w:vAlign w:val="bottom"/>
            <w:tcBorders>
              <w:bottom w:val="single" w:sz="8" w:color="231F20"/>
              <w:right w:val="single" w:sz="8" w:color="231F20"/>
            </w:tcBorders>
            <w:gridSpan w:val="3"/>
            <w:vMerge w:val="restart"/>
            <w:shd w:val="clear" w:color="auto" w:fill="231F20"/>
          </w:tcPr>
          <w:p>
            <w:pPr>
              <w:jc w:val="center"/>
              <w:ind w:right="57"/>
              <w:spacing w:after="0"/>
              <w:rPr>
                <w:sz w:val="20"/>
                <w:szCs w:val="20"/>
                <w:color w:val="auto"/>
              </w:rPr>
            </w:pPr>
            <w:r>
              <w:rPr>
                <w:rFonts w:ascii="Arial" w:cs="Arial" w:eastAsia="Arial" w:hAnsi="Arial"/>
                <w:sz w:val="14"/>
                <w:szCs w:val="14"/>
                <w:b w:val="1"/>
                <w:bCs w:val="1"/>
                <w:i w:val="1"/>
                <w:iCs w:val="1"/>
                <w:color w:val="FFFFFF"/>
                <w:w w:val="88"/>
              </w:rPr>
              <w:t>Joint Book-Running Managers</w:t>
            </w:r>
          </w:p>
        </w:tc>
        <w:tc>
          <w:tcPr>
            <w:tcW w:w="1020" w:type="dxa"/>
            <w:vAlign w:val="bottom"/>
            <w:tcBorders>
              <w:bottom w:val="single" w:sz="8" w:color="231F20"/>
              <w:right w:val="single" w:sz="8" w:color="231F20"/>
            </w:tcBorders>
            <w:shd w:val="clear" w:color="auto" w:fill="231F20"/>
          </w:tcPr>
          <w:p>
            <w:pPr>
              <w:spacing w:after="0"/>
              <w:rPr>
                <w:sz w:val="9"/>
                <w:szCs w:val="9"/>
                <w:color w:val="auto"/>
              </w:rPr>
            </w:pPr>
          </w:p>
        </w:tc>
        <w:tc>
          <w:tcPr>
            <w:tcW w:w="860" w:type="dxa"/>
            <w:vAlign w:val="bottom"/>
            <w:tcBorders>
              <w:bottom w:val="single" w:sz="8" w:color="231F20"/>
            </w:tcBorders>
            <w:shd w:val="clear" w:color="auto" w:fill="231F20"/>
          </w:tcPr>
          <w:p>
            <w:pPr>
              <w:spacing w:after="0"/>
              <w:rPr>
                <w:sz w:val="9"/>
                <w:szCs w:val="9"/>
                <w:color w:val="auto"/>
              </w:rPr>
            </w:pPr>
          </w:p>
        </w:tc>
        <w:tc>
          <w:tcPr>
            <w:tcW w:w="280" w:type="dxa"/>
            <w:vAlign w:val="bottom"/>
            <w:tcBorders>
              <w:bottom w:val="single" w:sz="8" w:color="231F20"/>
              <w:right w:val="single" w:sz="8" w:color="231F20"/>
            </w:tcBorders>
            <w:shd w:val="clear" w:color="auto" w:fill="231F20"/>
          </w:tcPr>
          <w:p>
            <w:pPr>
              <w:spacing w:after="0"/>
              <w:rPr>
                <w:sz w:val="9"/>
                <w:szCs w:val="9"/>
                <w:color w:val="auto"/>
              </w:rPr>
            </w:pPr>
          </w:p>
        </w:tc>
        <w:tc>
          <w:tcPr>
            <w:tcW w:w="360" w:type="dxa"/>
            <w:vAlign w:val="bottom"/>
            <w:tcBorders>
              <w:bottom w:val="single" w:sz="8" w:color="231F20"/>
              <w:right w:val="single" w:sz="8" w:color="231F20"/>
            </w:tcBorders>
            <w:shd w:val="clear" w:color="auto" w:fill="231F20"/>
          </w:tcPr>
          <w:p>
            <w:pPr>
              <w:spacing w:after="0"/>
              <w:rPr>
                <w:sz w:val="9"/>
                <w:szCs w:val="9"/>
                <w:color w:val="auto"/>
              </w:rPr>
            </w:pPr>
          </w:p>
        </w:tc>
        <w:tc>
          <w:tcPr>
            <w:tcW w:w="1160" w:type="dxa"/>
            <w:vAlign w:val="bottom"/>
            <w:tcBorders>
              <w:bottom w:val="single" w:sz="8" w:color="231F20"/>
            </w:tcBorders>
            <w:shd w:val="clear" w:color="auto" w:fill="231F20"/>
          </w:tcPr>
          <w:p>
            <w:pPr>
              <w:spacing w:after="0"/>
              <w:rPr>
                <w:sz w:val="9"/>
                <w:szCs w:val="9"/>
                <w:color w:val="auto"/>
              </w:rPr>
            </w:pPr>
          </w:p>
        </w:tc>
        <w:tc>
          <w:tcPr>
            <w:tcW w:w="20" w:type="dxa"/>
            <w:vAlign w:val="bottom"/>
            <w:tcBorders>
              <w:bottom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160" w:type="dxa"/>
            <w:vAlign w:val="bottom"/>
            <w:tcBorders>
              <w:bottom w:val="single" w:sz="8" w:color="231F20"/>
            </w:tcBorders>
            <w:shd w:val="clear" w:color="auto" w:fill="231F20"/>
          </w:tcPr>
          <w:p>
            <w:pPr>
              <w:spacing w:after="0"/>
              <w:rPr>
                <w:sz w:val="21"/>
                <w:szCs w:val="21"/>
                <w:color w:val="auto"/>
              </w:rPr>
            </w:pPr>
          </w:p>
        </w:tc>
        <w:tc>
          <w:tcPr>
            <w:tcW w:w="120" w:type="dxa"/>
            <w:vAlign w:val="bottom"/>
            <w:tcBorders>
              <w:bottom w:val="single" w:sz="8" w:color="231F20"/>
            </w:tcBorders>
            <w:shd w:val="clear" w:color="auto" w:fill="231F20"/>
          </w:tcPr>
          <w:p>
            <w:pPr>
              <w:spacing w:after="0"/>
              <w:rPr>
                <w:sz w:val="21"/>
                <w:szCs w:val="21"/>
                <w:color w:val="auto"/>
              </w:rPr>
            </w:pPr>
          </w:p>
        </w:tc>
        <w:tc>
          <w:tcPr>
            <w:tcW w:w="540" w:type="dxa"/>
            <w:vAlign w:val="bottom"/>
            <w:tcBorders>
              <w:bottom w:val="single" w:sz="8" w:color="231F20"/>
              <w:right w:val="single" w:sz="8" w:color="231F20"/>
            </w:tcBorders>
            <w:shd w:val="clear" w:color="auto" w:fill="231F20"/>
          </w:tcPr>
          <w:p>
            <w:pPr>
              <w:spacing w:after="0"/>
              <w:rPr>
                <w:sz w:val="21"/>
                <w:szCs w:val="21"/>
                <w:color w:val="auto"/>
              </w:rPr>
            </w:pPr>
          </w:p>
        </w:tc>
        <w:tc>
          <w:tcPr>
            <w:tcW w:w="760" w:type="dxa"/>
            <w:vAlign w:val="bottom"/>
            <w:tcBorders>
              <w:bottom w:val="single" w:sz="8" w:color="231F20"/>
              <w:right w:val="single" w:sz="8" w:color="231F20"/>
            </w:tcBorders>
            <w:shd w:val="clear" w:color="auto" w:fill="231F20"/>
          </w:tcPr>
          <w:p>
            <w:pPr>
              <w:spacing w:after="0"/>
              <w:rPr>
                <w:sz w:val="21"/>
                <w:szCs w:val="21"/>
                <w:color w:val="auto"/>
              </w:rPr>
            </w:pPr>
          </w:p>
        </w:tc>
        <w:tc>
          <w:tcPr>
            <w:tcW w:w="1100" w:type="dxa"/>
            <w:vAlign w:val="bottom"/>
            <w:tcBorders>
              <w:bottom w:val="single" w:sz="8" w:color="231F20"/>
              <w:right w:val="single" w:sz="8" w:color="231F20"/>
            </w:tcBorders>
            <w:shd w:val="clear" w:color="auto" w:fill="231F20"/>
          </w:tcPr>
          <w:p>
            <w:pPr>
              <w:spacing w:after="0"/>
              <w:rPr>
                <w:sz w:val="21"/>
                <w:szCs w:val="21"/>
                <w:color w:val="auto"/>
              </w:rPr>
            </w:pPr>
          </w:p>
        </w:tc>
        <w:tc>
          <w:tcPr>
            <w:tcW w:w="2140" w:type="dxa"/>
            <w:vAlign w:val="bottom"/>
            <w:tcBorders>
              <w:bottom w:val="single" w:sz="8" w:color="231F20"/>
              <w:right w:val="single" w:sz="8" w:color="231F20"/>
            </w:tcBorders>
            <w:gridSpan w:val="3"/>
            <w:vMerge w:val="continue"/>
            <w:shd w:val="clear" w:color="auto" w:fill="231F20"/>
          </w:tcPr>
          <w:p>
            <w:pPr>
              <w:spacing w:after="0"/>
              <w:rPr>
                <w:sz w:val="21"/>
                <w:szCs w:val="21"/>
                <w:color w:val="auto"/>
              </w:rPr>
            </w:pPr>
          </w:p>
        </w:tc>
        <w:tc>
          <w:tcPr>
            <w:tcW w:w="1020" w:type="dxa"/>
            <w:vAlign w:val="bottom"/>
            <w:tcBorders>
              <w:bottom w:val="single" w:sz="8" w:color="231F20"/>
              <w:right w:val="single" w:sz="8" w:color="231F20"/>
            </w:tcBorders>
            <w:shd w:val="clear" w:color="auto" w:fill="231F20"/>
          </w:tcPr>
          <w:p>
            <w:pPr>
              <w:spacing w:after="0"/>
              <w:rPr>
                <w:sz w:val="21"/>
                <w:szCs w:val="21"/>
                <w:color w:val="auto"/>
              </w:rPr>
            </w:pPr>
          </w:p>
        </w:tc>
        <w:tc>
          <w:tcPr>
            <w:tcW w:w="860" w:type="dxa"/>
            <w:vAlign w:val="bottom"/>
            <w:tcBorders>
              <w:bottom w:val="single" w:sz="8" w:color="231F20"/>
            </w:tcBorders>
            <w:shd w:val="clear" w:color="auto" w:fill="231F20"/>
          </w:tcPr>
          <w:p>
            <w:pPr>
              <w:spacing w:after="0"/>
              <w:rPr>
                <w:sz w:val="21"/>
                <w:szCs w:val="21"/>
                <w:color w:val="auto"/>
              </w:rPr>
            </w:pPr>
          </w:p>
        </w:tc>
        <w:tc>
          <w:tcPr>
            <w:tcW w:w="280" w:type="dxa"/>
            <w:vAlign w:val="bottom"/>
            <w:tcBorders>
              <w:bottom w:val="single" w:sz="8" w:color="231F20"/>
              <w:right w:val="single" w:sz="8" w:color="231F20"/>
            </w:tcBorders>
            <w:shd w:val="clear" w:color="auto" w:fill="231F20"/>
          </w:tcPr>
          <w:p>
            <w:pPr>
              <w:spacing w:after="0"/>
              <w:rPr>
                <w:sz w:val="21"/>
                <w:szCs w:val="21"/>
                <w:color w:val="auto"/>
              </w:rPr>
            </w:pPr>
          </w:p>
        </w:tc>
        <w:tc>
          <w:tcPr>
            <w:tcW w:w="360" w:type="dxa"/>
            <w:vAlign w:val="bottom"/>
            <w:tcBorders>
              <w:bottom w:val="single" w:sz="8" w:color="231F20"/>
              <w:right w:val="single" w:sz="8" w:color="231F20"/>
            </w:tcBorders>
            <w:shd w:val="clear" w:color="auto" w:fill="231F20"/>
          </w:tcPr>
          <w:p>
            <w:pPr>
              <w:spacing w:after="0"/>
              <w:rPr>
                <w:sz w:val="21"/>
                <w:szCs w:val="21"/>
                <w:color w:val="auto"/>
              </w:rPr>
            </w:pPr>
          </w:p>
        </w:tc>
        <w:tc>
          <w:tcPr>
            <w:tcW w:w="1160" w:type="dxa"/>
            <w:vAlign w:val="bottom"/>
            <w:tcBorders>
              <w:bottom w:val="single" w:sz="8" w:color="231F20"/>
            </w:tcBorders>
            <w:shd w:val="clear" w:color="auto" w:fill="231F20"/>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1280" w:type="dxa"/>
            <w:vAlign w:val="bottom"/>
            <w:tcBorders>
              <w:bottom w:val="single" w:sz="8" w:color="231F20"/>
            </w:tcBorders>
            <w:gridSpan w:val="2"/>
            <w:shd w:val="clear" w:color="auto" w:fill="231F20"/>
          </w:tcPr>
          <w:p>
            <w:pPr>
              <w:ind w:left="40"/>
              <w:spacing w:after="0"/>
              <w:rPr>
                <w:sz w:val="20"/>
                <w:szCs w:val="20"/>
                <w:color w:val="auto"/>
              </w:rPr>
            </w:pPr>
            <w:r>
              <w:rPr>
                <w:rFonts w:ascii="Arial" w:cs="Arial" w:eastAsia="Arial" w:hAnsi="Arial"/>
                <w:sz w:val="24"/>
                <w:szCs w:val="24"/>
                <w:color w:val="FFFFFF"/>
                <w:w w:val="94"/>
              </w:rPr>
              <w:t>J.P. Morgan</w:t>
            </w:r>
          </w:p>
        </w:tc>
        <w:tc>
          <w:tcPr>
            <w:tcW w:w="540" w:type="dxa"/>
            <w:vAlign w:val="bottom"/>
            <w:tcBorders>
              <w:bottom w:val="single" w:sz="8" w:color="231F20"/>
              <w:right w:val="single" w:sz="8" w:color="231F20"/>
            </w:tcBorders>
            <w:shd w:val="clear" w:color="auto" w:fill="231F20"/>
          </w:tcPr>
          <w:p>
            <w:pPr>
              <w:spacing w:after="0"/>
              <w:rPr>
                <w:sz w:val="24"/>
                <w:szCs w:val="24"/>
                <w:color w:val="auto"/>
              </w:rPr>
            </w:pPr>
          </w:p>
        </w:tc>
        <w:tc>
          <w:tcPr>
            <w:tcW w:w="760" w:type="dxa"/>
            <w:vAlign w:val="bottom"/>
            <w:tcBorders>
              <w:bottom w:val="single" w:sz="8" w:color="231F20"/>
              <w:right w:val="single" w:sz="8" w:color="231F20"/>
            </w:tcBorders>
            <w:shd w:val="clear" w:color="auto" w:fill="231F20"/>
          </w:tcPr>
          <w:p>
            <w:pPr>
              <w:spacing w:after="0"/>
              <w:rPr>
                <w:sz w:val="24"/>
                <w:szCs w:val="24"/>
                <w:color w:val="auto"/>
              </w:rPr>
            </w:pPr>
          </w:p>
        </w:tc>
        <w:tc>
          <w:tcPr>
            <w:tcW w:w="1100" w:type="dxa"/>
            <w:vAlign w:val="bottom"/>
            <w:tcBorders>
              <w:bottom w:val="single" w:sz="8" w:color="231F20"/>
              <w:right w:val="single" w:sz="8" w:color="231F20"/>
            </w:tcBorders>
            <w:shd w:val="clear" w:color="auto" w:fill="231F20"/>
          </w:tcPr>
          <w:p>
            <w:pPr>
              <w:spacing w:after="0"/>
              <w:rPr>
                <w:sz w:val="24"/>
                <w:szCs w:val="24"/>
                <w:color w:val="auto"/>
              </w:rPr>
            </w:pPr>
          </w:p>
        </w:tc>
        <w:tc>
          <w:tcPr>
            <w:tcW w:w="400" w:type="dxa"/>
            <w:vAlign w:val="bottom"/>
            <w:tcBorders>
              <w:bottom w:val="single" w:sz="8" w:color="231F20"/>
            </w:tcBorders>
            <w:shd w:val="clear" w:color="auto" w:fill="231F20"/>
          </w:tcPr>
          <w:p>
            <w:pPr>
              <w:spacing w:after="0"/>
              <w:rPr>
                <w:sz w:val="24"/>
                <w:szCs w:val="24"/>
                <w:color w:val="auto"/>
              </w:rPr>
            </w:pPr>
          </w:p>
        </w:tc>
        <w:tc>
          <w:tcPr>
            <w:tcW w:w="660" w:type="dxa"/>
            <w:vAlign w:val="bottom"/>
            <w:tcBorders>
              <w:bottom w:val="single" w:sz="8" w:color="231F20"/>
            </w:tcBorders>
            <w:shd w:val="clear" w:color="auto" w:fill="231F20"/>
          </w:tcPr>
          <w:p>
            <w:pPr>
              <w:spacing w:after="0"/>
              <w:rPr>
                <w:sz w:val="24"/>
                <w:szCs w:val="24"/>
                <w:color w:val="auto"/>
              </w:rPr>
            </w:pPr>
          </w:p>
        </w:tc>
        <w:tc>
          <w:tcPr>
            <w:tcW w:w="1080" w:type="dxa"/>
            <w:vAlign w:val="bottom"/>
            <w:tcBorders>
              <w:bottom w:val="single" w:sz="8" w:color="231F20"/>
              <w:right w:val="single" w:sz="8" w:color="231F20"/>
            </w:tcBorders>
            <w:shd w:val="clear" w:color="auto" w:fill="231F20"/>
          </w:tcPr>
          <w:p>
            <w:pPr>
              <w:spacing w:after="0"/>
              <w:rPr>
                <w:sz w:val="24"/>
                <w:szCs w:val="24"/>
                <w:color w:val="auto"/>
              </w:rPr>
            </w:pPr>
          </w:p>
        </w:tc>
        <w:tc>
          <w:tcPr>
            <w:tcW w:w="1020" w:type="dxa"/>
            <w:vAlign w:val="bottom"/>
            <w:tcBorders>
              <w:bottom w:val="single" w:sz="8" w:color="231F20"/>
              <w:right w:val="single" w:sz="8" w:color="231F20"/>
            </w:tcBorders>
            <w:shd w:val="clear" w:color="auto" w:fill="231F20"/>
          </w:tcPr>
          <w:p>
            <w:pPr>
              <w:spacing w:after="0"/>
              <w:rPr>
                <w:sz w:val="24"/>
                <w:szCs w:val="24"/>
                <w:color w:val="auto"/>
              </w:rPr>
            </w:pPr>
          </w:p>
        </w:tc>
        <w:tc>
          <w:tcPr>
            <w:tcW w:w="860" w:type="dxa"/>
            <w:vAlign w:val="bottom"/>
            <w:tcBorders>
              <w:bottom w:val="single" w:sz="8" w:color="231F20"/>
            </w:tcBorders>
            <w:shd w:val="clear" w:color="auto" w:fill="231F20"/>
          </w:tcPr>
          <w:p>
            <w:pPr>
              <w:spacing w:after="0"/>
              <w:rPr>
                <w:sz w:val="24"/>
                <w:szCs w:val="24"/>
                <w:color w:val="auto"/>
              </w:rPr>
            </w:pPr>
          </w:p>
        </w:tc>
        <w:tc>
          <w:tcPr>
            <w:tcW w:w="1800" w:type="dxa"/>
            <w:vAlign w:val="bottom"/>
            <w:tcBorders>
              <w:bottom w:val="single" w:sz="8" w:color="231F20"/>
            </w:tcBorders>
            <w:gridSpan w:val="3"/>
            <w:shd w:val="clear" w:color="auto" w:fill="231F20"/>
          </w:tcPr>
          <w:p>
            <w:pPr>
              <w:jc w:val="right"/>
              <w:ind w:right="1"/>
              <w:spacing w:after="0"/>
              <w:rPr>
                <w:sz w:val="20"/>
                <w:szCs w:val="20"/>
                <w:color w:val="auto"/>
              </w:rPr>
            </w:pPr>
            <w:r>
              <w:rPr>
                <w:rFonts w:ascii="Arial" w:cs="Arial" w:eastAsia="Arial" w:hAnsi="Arial"/>
                <w:sz w:val="24"/>
                <w:szCs w:val="24"/>
                <w:color w:val="FFFFFF"/>
              </w:rPr>
              <w:t>Morgan Stanley</w:t>
            </w: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80" w:type="dxa"/>
            <w:vAlign w:val="bottom"/>
            <w:tcBorders>
              <w:bottom w:val="single" w:sz="8" w:color="231F20"/>
            </w:tcBorders>
            <w:gridSpan w:val="2"/>
            <w:shd w:val="clear" w:color="auto" w:fill="231F20"/>
          </w:tcPr>
          <w:p>
            <w:pPr>
              <w:ind w:left="40"/>
              <w:spacing w:after="0"/>
              <w:rPr>
                <w:sz w:val="20"/>
                <w:szCs w:val="20"/>
                <w:color w:val="auto"/>
              </w:rPr>
            </w:pPr>
            <w:r>
              <w:rPr>
                <w:rFonts w:ascii="Arial" w:cs="Arial" w:eastAsia="Arial" w:hAnsi="Arial"/>
                <w:sz w:val="21"/>
                <w:szCs w:val="21"/>
                <w:color w:val="FFFFFF"/>
              </w:rPr>
              <w:t>Barclays</w:t>
            </w:r>
          </w:p>
        </w:tc>
        <w:tc>
          <w:tcPr>
            <w:tcW w:w="540" w:type="dxa"/>
            <w:vAlign w:val="bottom"/>
            <w:tcBorders>
              <w:bottom w:val="single" w:sz="8" w:color="231F20"/>
              <w:right w:val="single" w:sz="8" w:color="231F20"/>
            </w:tcBorders>
            <w:shd w:val="clear" w:color="auto" w:fill="231F20"/>
          </w:tcPr>
          <w:p>
            <w:pPr>
              <w:spacing w:after="0"/>
              <w:rPr>
                <w:sz w:val="24"/>
                <w:szCs w:val="24"/>
                <w:color w:val="auto"/>
              </w:rPr>
            </w:pPr>
          </w:p>
        </w:tc>
        <w:tc>
          <w:tcPr>
            <w:tcW w:w="760" w:type="dxa"/>
            <w:vAlign w:val="bottom"/>
            <w:tcBorders>
              <w:bottom w:val="single" w:sz="8" w:color="231F20"/>
              <w:right w:val="single" w:sz="8" w:color="231F20"/>
            </w:tcBorders>
            <w:shd w:val="clear" w:color="auto" w:fill="231F20"/>
          </w:tcPr>
          <w:p>
            <w:pPr>
              <w:spacing w:after="0"/>
              <w:rPr>
                <w:sz w:val="24"/>
                <w:szCs w:val="24"/>
                <w:color w:val="auto"/>
              </w:rPr>
            </w:pPr>
          </w:p>
        </w:tc>
        <w:tc>
          <w:tcPr>
            <w:tcW w:w="1100" w:type="dxa"/>
            <w:vAlign w:val="bottom"/>
            <w:tcBorders>
              <w:bottom w:val="single" w:sz="8" w:color="231F20"/>
              <w:right w:val="single" w:sz="8" w:color="231F20"/>
            </w:tcBorders>
            <w:shd w:val="clear" w:color="auto" w:fill="231F20"/>
          </w:tcPr>
          <w:p>
            <w:pPr>
              <w:spacing w:after="0"/>
              <w:rPr>
                <w:sz w:val="24"/>
                <w:szCs w:val="24"/>
                <w:color w:val="auto"/>
              </w:rPr>
            </w:pPr>
          </w:p>
        </w:tc>
        <w:tc>
          <w:tcPr>
            <w:tcW w:w="400" w:type="dxa"/>
            <w:vAlign w:val="bottom"/>
            <w:tcBorders>
              <w:bottom w:val="single" w:sz="8" w:color="231F20"/>
            </w:tcBorders>
            <w:shd w:val="clear" w:color="auto" w:fill="231F20"/>
          </w:tcPr>
          <w:p>
            <w:pPr>
              <w:spacing w:after="0"/>
              <w:rPr>
                <w:sz w:val="24"/>
                <w:szCs w:val="24"/>
                <w:color w:val="auto"/>
              </w:rPr>
            </w:pPr>
          </w:p>
        </w:tc>
        <w:tc>
          <w:tcPr>
            <w:tcW w:w="1740" w:type="dxa"/>
            <w:vAlign w:val="bottom"/>
            <w:tcBorders>
              <w:bottom w:val="single" w:sz="8" w:color="231F20"/>
              <w:right w:val="single" w:sz="8" w:color="231F20"/>
            </w:tcBorders>
            <w:gridSpan w:val="2"/>
            <w:shd w:val="clear" w:color="auto" w:fill="231F20"/>
          </w:tcPr>
          <w:p>
            <w:pPr>
              <w:jc w:val="center"/>
              <w:ind w:right="457"/>
              <w:spacing w:after="0"/>
              <w:rPr>
                <w:sz w:val="20"/>
                <w:szCs w:val="20"/>
                <w:color w:val="auto"/>
              </w:rPr>
            </w:pPr>
            <w:r>
              <w:rPr>
                <w:rFonts w:ascii="Arial" w:cs="Arial" w:eastAsia="Arial" w:hAnsi="Arial"/>
                <w:sz w:val="21"/>
                <w:szCs w:val="21"/>
                <w:color w:val="FFFFFF"/>
                <w:w w:val="89"/>
              </w:rPr>
              <w:t>Credit Suisse</w:t>
            </w:r>
          </w:p>
        </w:tc>
        <w:tc>
          <w:tcPr>
            <w:tcW w:w="1020" w:type="dxa"/>
            <w:vAlign w:val="bottom"/>
            <w:tcBorders>
              <w:bottom w:val="single" w:sz="8" w:color="231F20"/>
              <w:right w:val="single" w:sz="8" w:color="231F20"/>
            </w:tcBorders>
            <w:shd w:val="clear" w:color="auto" w:fill="231F20"/>
          </w:tcPr>
          <w:p>
            <w:pPr>
              <w:spacing w:after="0"/>
              <w:rPr>
                <w:sz w:val="24"/>
                <w:szCs w:val="24"/>
                <w:color w:val="auto"/>
              </w:rPr>
            </w:pPr>
          </w:p>
        </w:tc>
        <w:tc>
          <w:tcPr>
            <w:tcW w:w="860" w:type="dxa"/>
            <w:vAlign w:val="bottom"/>
            <w:tcBorders>
              <w:bottom w:val="single" w:sz="8" w:color="231F20"/>
            </w:tcBorders>
            <w:shd w:val="clear" w:color="auto" w:fill="231F20"/>
          </w:tcPr>
          <w:p>
            <w:pPr>
              <w:spacing w:after="0"/>
              <w:rPr>
                <w:sz w:val="24"/>
                <w:szCs w:val="24"/>
                <w:color w:val="auto"/>
              </w:rPr>
            </w:pPr>
          </w:p>
        </w:tc>
        <w:tc>
          <w:tcPr>
            <w:tcW w:w="280" w:type="dxa"/>
            <w:vAlign w:val="bottom"/>
            <w:tcBorders>
              <w:bottom w:val="single" w:sz="8" w:color="231F20"/>
              <w:right w:val="single" w:sz="8" w:color="231F20"/>
            </w:tcBorders>
            <w:shd w:val="clear" w:color="auto" w:fill="231F20"/>
          </w:tcPr>
          <w:p>
            <w:pPr>
              <w:spacing w:after="0"/>
              <w:rPr>
                <w:sz w:val="24"/>
                <w:szCs w:val="24"/>
                <w:color w:val="auto"/>
              </w:rPr>
            </w:pPr>
          </w:p>
        </w:tc>
        <w:tc>
          <w:tcPr>
            <w:tcW w:w="1520" w:type="dxa"/>
            <w:vAlign w:val="bottom"/>
            <w:tcBorders>
              <w:bottom w:val="single" w:sz="8" w:color="231F20"/>
            </w:tcBorders>
            <w:gridSpan w:val="2"/>
            <w:shd w:val="clear" w:color="auto" w:fill="231F20"/>
          </w:tcPr>
          <w:p>
            <w:pPr>
              <w:jc w:val="right"/>
              <w:ind w:right="1"/>
              <w:spacing w:after="0"/>
              <w:rPr>
                <w:sz w:val="20"/>
                <w:szCs w:val="20"/>
                <w:color w:val="auto"/>
              </w:rPr>
            </w:pPr>
            <w:r>
              <w:rPr>
                <w:rFonts w:ascii="Arial" w:cs="Arial" w:eastAsia="Arial" w:hAnsi="Arial"/>
                <w:sz w:val="21"/>
                <w:szCs w:val="21"/>
                <w:color w:val="FFFFFF"/>
                <w:w w:val="98"/>
              </w:rPr>
              <w:t>BofA Securities</w:t>
            </w: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580" w:type="dxa"/>
            <w:vAlign w:val="bottom"/>
            <w:tcBorders>
              <w:right w:val="single" w:sz="8" w:color="231F20"/>
            </w:tcBorders>
            <w:gridSpan w:val="4"/>
            <w:shd w:val="clear" w:color="auto" w:fill="231F20"/>
          </w:tcPr>
          <w:p>
            <w:pPr>
              <w:ind w:left="40"/>
              <w:spacing w:after="0"/>
              <w:rPr>
                <w:sz w:val="20"/>
                <w:szCs w:val="20"/>
                <w:color w:val="auto"/>
              </w:rPr>
            </w:pPr>
            <w:r>
              <w:rPr>
                <w:rFonts w:ascii="Arial" w:cs="Arial" w:eastAsia="Arial" w:hAnsi="Arial"/>
                <w:sz w:val="17"/>
                <w:szCs w:val="17"/>
                <w:color w:val="FFFFFF"/>
              </w:rPr>
              <w:t>Deutsche Bank Securities</w:t>
            </w:r>
          </w:p>
        </w:tc>
        <w:tc>
          <w:tcPr>
            <w:tcW w:w="1500" w:type="dxa"/>
            <w:vAlign w:val="bottom"/>
            <w:gridSpan w:val="2"/>
            <w:shd w:val="clear" w:color="auto" w:fill="231F20"/>
          </w:tcPr>
          <w:p>
            <w:pPr>
              <w:spacing w:after="0"/>
              <w:rPr>
                <w:sz w:val="20"/>
                <w:szCs w:val="20"/>
                <w:color w:val="auto"/>
              </w:rPr>
            </w:pPr>
            <w:r>
              <w:rPr>
                <w:rFonts w:ascii="Arial" w:cs="Arial" w:eastAsia="Arial" w:hAnsi="Arial"/>
                <w:sz w:val="17"/>
                <w:szCs w:val="17"/>
                <w:color w:val="FFFFFF"/>
                <w:w w:val="93"/>
              </w:rPr>
              <w:t>RBC Capital Markets</w:t>
            </w:r>
          </w:p>
        </w:tc>
        <w:tc>
          <w:tcPr>
            <w:tcW w:w="660" w:type="dxa"/>
            <w:vAlign w:val="bottom"/>
            <w:shd w:val="clear" w:color="auto" w:fill="231F20"/>
          </w:tcPr>
          <w:p>
            <w:pPr>
              <w:spacing w:after="0"/>
              <w:rPr>
                <w:sz w:val="19"/>
                <w:szCs w:val="19"/>
                <w:color w:val="auto"/>
              </w:rPr>
            </w:pPr>
          </w:p>
        </w:tc>
        <w:tc>
          <w:tcPr>
            <w:tcW w:w="2100" w:type="dxa"/>
            <w:vAlign w:val="bottom"/>
            <w:tcBorders>
              <w:right w:val="single" w:sz="8" w:color="231F20"/>
            </w:tcBorders>
            <w:gridSpan w:val="2"/>
            <w:shd w:val="clear" w:color="auto" w:fill="231F20"/>
          </w:tcPr>
          <w:p>
            <w:pPr>
              <w:ind w:left="460"/>
              <w:spacing w:after="0"/>
              <w:rPr>
                <w:sz w:val="20"/>
                <w:szCs w:val="20"/>
                <w:color w:val="auto"/>
              </w:rPr>
            </w:pPr>
            <w:r>
              <w:rPr>
                <w:rFonts w:ascii="Arial" w:cs="Arial" w:eastAsia="Arial" w:hAnsi="Arial"/>
                <w:sz w:val="17"/>
                <w:szCs w:val="17"/>
                <w:color w:val="FFFFFF"/>
                <w:w w:val="96"/>
              </w:rPr>
              <w:t>UBS Investment Bank</w:t>
            </w:r>
          </w:p>
        </w:tc>
        <w:tc>
          <w:tcPr>
            <w:tcW w:w="860" w:type="dxa"/>
            <w:vAlign w:val="bottom"/>
            <w:shd w:val="clear" w:color="auto" w:fill="231F20"/>
          </w:tcPr>
          <w:p>
            <w:pPr>
              <w:spacing w:after="0"/>
              <w:rPr>
                <w:sz w:val="19"/>
                <w:szCs w:val="19"/>
                <w:color w:val="auto"/>
              </w:rPr>
            </w:pPr>
          </w:p>
        </w:tc>
        <w:tc>
          <w:tcPr>
            <w:tcW w:w="1800" w:type="dxa"/>
            <w:vAlign w:val="bottom"/>
            <w:gridSpan w:val="3"/>
            <w:shd w:val="clear" w:color="auto" w:fill="231F20"/>
          </w:tcPr>
          <w:p>
            <w:pPr>
              <w:jc w:val="right"/>
              <w:ind w:right="1"/>
              <w:spacing w:after="0"/>
              <w:rPr>
                <w:sz w:val="20"/>
                <w:szCs w:val="20"/>
                <w:color w:val="auto"/>
              </w:rPr>
            </w:pPr>
            <w:r>
              <w:rPr>
                <w:rFonts w:ascii="Arial" w:cs="Arial" w:eastAsia="Arial" w:hAnsi="Arial"/>
                <w:sz w:val="17"/>
                <w:szCs w:val="17"/>
                <w:color w:val="FFFFFF"/>
                <w:w w:val="99"/>
              </w:rPr>
              <w:t>Wells Fargo Securities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Borders>
              <w:bottom w:val="single" w:sz="8" w:color="231F20"/>
            </w:tcBorders>
            <w:shd w:val="clear" w:color="auto" w:fill="231F20"/>
          </w:tcPr>
          <w:p>
            <w:pPr>
              <w:spacing w:after="0"/>
              <w:rPr>
                <w:sz w:val="2"/>
                <w:szCs w:val="2"/>
                <w:color w:val="auto"/>
              </w:rPr>
            </w:pPr>
          </w:p>
        </w:tc>
        <w:tc>
          <w:tcPr>
            <w:tcW w:w="120" w:type="dxa"/>
            <w:vAlign w:val="bottom"/>
            <w:tcBorders>
              <w:bottom w:val="single" w:sz="8" w:color="231F20"/>
            </w:tcBorders>
            <w:shd w:val="clear" w:color="auto" w:fill="231F20"/>
          </w:tcPr>
          <w:p>
            <w:pPr>
              <w:spacing w:after="0"/>
              <w:rPr>
                <w:sz w:val="2"/>
                <w:szCs w:val="2"/>
                <w:color w:val="auto"/>
              </w:rPr>
            </w:pPr>
          </w:p>
        </w:tc>
        <w:tc>
          <w:tcPr>
            <w:tcW w:w="540" w:type="dxa"/>
            <w:vAlign w:val="bottom"/>
            <w:tcBorders>
              <w:bottom w:val="single" w:sz="8" w:color="231F20"/>
              <w:right w:val="single" w:sz="8" w:color="231F20"/>
            </w:tcBorders>
            <w:shd w:val="clear" w:color="auto" w:fill="231F20"/>
          </w:tcPr>
          <w:p>
            <w:pPr>
              <w:spacing w:after="0"/>
              <w:rPr>
                <w:sz w:val="2"/>
                <w:szCs w:val="2"/>
                <w:color w:val="auto"/>
              </w:rPr>
            </w:pPr>
          </w:p>
        </w:tc>
        <w:tc>
          <w:tcPr>
            <w:tcW w:w="760" w:type="dxa"/>
            <w:vAlign w:val="bottom"/>
            <w:tcBorders>
              <w:bottom w:val="single" w:sz="8" w:color="231F20"/>
              <w:right w:val="single" w:sz="8" w:color="231F20"/>
            </w:tcBorders>
            <w:shd w:val="clear" w:color="auto" w:fill="231F20"/>
          </w:tcPr>
          <w:p>
            <w:pPr>
              <w:spacing w:after="0"/>
              <w:rPr>
                <w:sz w:val="2"/>
                <w:szCs w:val="2"/>
                <w:color w:val="auto"/>
              </w:rPr>
            </w:pPr>
          </w:p>
        </w:tc>
        <w:tc>
          <w:tcPr>
            <w:tcW w:w="1100" w:type="dxa"/>
            <w:vAlign w:val="bottom"/>
            <w:tcBorders>
              <w:bottom w:val="single" w:sz="8" w:color="231F20"/>
              <w:right w:val="single" w:sz="8" w:color="231F20"/>
            </w:tcBorders>
            <w:shd w:val="clear" w:color="auto" w:fill="231F20"/>
          </w:tcPr>
          <w:p>
            <w:pPr>
              <w:spacing w:after="0"/>
              <w:rPr>
                <w:sz w:val="2"/>
                <w:szCs w:val="2"/>
                <w:color w:val="auto"/>
              </w:rPr>
            </w:pPr>
          </w:p>
        </w:tc>
        <w:tc>
          <w:tcPr>
            <w:tcW w:w="400" w:type="dxa"/>
            <w:vAlign w:val="bottom"/>
            <w:tcBorders>
              <w:bottom w:val="single" w:sz="8" w:color="231F20"/>
            </w:tcBorders>
            <w:shd w:val="clear" w:color="auto" w:fill="231F20"/>
          </w:tcPr>
          <w:p>
            <w:pPr>
              <w:spacing w:after="0"/>
              <w:rPr>
                <w:sz w:val="2"/>
                <w:szCs w:val="2"/>
                <w:color w:val="auto"/>
              </w:rPr>
            </w:pPr>
          </w:p>
        </w:tc>
        <w:tc>
          <w:tcPr>
            <w:tcW w:w="1740" w:type="dxa"/>
            <w:vAlign w:val="bottom"/>
            <w:tcBorders>
              <w:bottom w:val="single" w:sz="8" w:color="231F20"/>
              <w:right w:val="single" w:sz="8" w:color="231F20"/>
            </w:tcBorders>
            <w:gridSpan w:val="2"/>
            <w:vMerge w:val="restart"/>
            <w:shd w:val="clear" w:color="auto" w:fill="231F20"/>
          </w:tcPr>
          <w:p>
            <w:pPr>
              <w:jc w:val="center"/>
              <w:ind w:right="457"/>
              <w:spacing w:after="0"/>
              <w:rPr>
                <w:sz w:val="20"/>
                <w:szCs w:val="20"/>
                <w:color w:val="auto"/>
              </w:rPr>
            </w:pPr>
            <w:r>
              <w:rPr>
                <w:rFonts w:ascii="Arial" w:cs="Arial" w:eastAsia="Arial" w:hAnsi="Arial"/>
                <w:sz w:val="14"/>
                <w:szCs w:val="14"/>
                <w:b w:val="1"/>
                <w:bCs w:val="1"/>
                <w:i w:val="1"/>
                <w:iCs w:val="1"/>
                <w:color w:val="FFFFFF"/>
                <w:w w:val="90"/>
              </w:rPr>
              <w:t>Co-Managers</w:t>
            </w:r>
          </w:p>
        </w:tc>
        <w:tc>
          <w:tcPr>
            <w:tcW w:w="1020" w:type="dxa"/>
            <w:vAlign w:val="bottom"/>
            <w:tcBorders>
              <w:bottom w:val="single" w:sz="8" w:color="231F20"/>
              <w:right w:val="single" w:sz="8" w:color="231F20"/>
            </w:tcBorders>
            <w:shd w:val="clear" w:color="auto" w:fill="231F20"/>
          </w:tcPr>
          <w:p>
            <w:pPr>
              <w:spacing w:after="0"/>
              <w:rPr>
                <w:sz w:val="2"/>
                <w:szCs w:val="2"/>
                <w:color w:val="auto"/>
              </w:rPr>
            </w:pPr>
          </w:p>
        </w:tc>
        <w:tc>
          <w:tcPr>
            <w:tcW w:w="860" w:type="dxa"/>
            <w:vAlign w:val="bottom"/>
            <w:tcBorders>
              <w:bottom w:val="single" w:sz="8" w:color="231F20"/>
            </w:tcBorders>
            <w:shd w:val="clear" w:color="auto" w:fill="231F20"/>
          </w:tcPr>
          <w:p>
            <w:pPr>
              <w:spacing w:after="0"/>
              <w:rPr>
                <w:sz w:val="2"/>
                <w:szCs w:val="2"/>
                <w:color w:val="auto"/>
              </w:rPr>
            </w:pPr>
          </w:p>
        </w:tc>
        <w:tc>
          <w:tcPr>
            <w:tcW w:w="280" w:type="dxa"/>
            <w:vAlign w:val="bottom"/>
            <w:tcBorders>
              <w:bottom w:val="single" w:sz="8" w:color="231F20"/>
              <w:right w:val="single" w:sz="8" w:color="231F20"/>
            </w:tcBorders>
            <w:shd w:val="clear" w:color="auto" w:fill="231F20"/>
          </w:tcPr>
          <w:p>
            <w:pPr>
              <w:spacing w:after="0"/>
              <w:rPr>
                <w:sz w:val="2"/>
                <w:szCs w:val="2"/>
                <w:color w:val="auto"/>
              </w:rPr>
            </w:pPr>
          </w:p>
        </w:tc>
        <w:tc>
          <w:tcPr>
            <w:tcW w:w="360" w:type="dxa"/>
            <w:vAlign w:val="bottom"/>
            <w:tcBorders>
              <w:bottom w:val="single" w:sz="8" w:color="231F20"/>
              <w:right w:val="single" w:sz="8" w:color="231F20"/>
            </w:tcBorders>
            <w:shd w:val="clear" w:color="auto" w:fill="231F20"/>
          </w:tcPr>
          <w:p>
            <w:pPr>
              <w:spacing w:after="0"/>
              <w:rPr>
                <w:sz w:val="2"/>
                <w:szCs w:val="2"/>
                <w:color w:val="auto"/>
              </w:rPr>
            </w:pPr>
          </w:p>
        </w:tc>
        <w:tc>
          <w:tcPr>
            <w:tcW w:w="1160" w:type="dxa"/>
            <w:vAlign w:val="bottom"/>
            <w:tcBorders>
              <w:bottom w:val="single" w:sz="8" w:color="231F20"/>
            </w:tcBorders>
            <w:shd w:val="clear" w:color="auto" w:fill="231F20"/>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160" w:type="dxa"/>
            <w:vAlign w:val="bottom"/>
            <w:tcBorders>
              <w:bottom w:val="single" w:sz="8" w:color="231F20"/>
            </w:tcBorders>
            <w:shd w:val="clear" w:color="auto" w:fill="231F20"/>
          </w:tcPr>
          <w:p>
            <w:pPr>
              <w:spacing w:after="0"/>
              <w:rPr>
                <w:sz w:val="21"/>
                <w:szCs w:val="21"/>
                <w:color w:val="auto"/>
              </w:rPr>
            </w:pPr>
          </w:p>
        </w:tc>
        <w:tc>
          <w:tcPr>
            <w:tcW w:w="120" w:type="dxa"/>
            <w:vAlign w:val="bottom"/>
            <w:tcBorders>
              <w:bottom w:val="single" w:sz="8" w:color="231F20"/>
            </w:tcBorders>
            <w:shd w:val="clear" w:color="auto" w:fill="231F20"/>
          </w:tcPr>
          <w:p>
            <w:pPr>
              <w:spacing w:after="0"/>
              <w:rPr>
                <w:sz w:val="21"/>
                <w:szCs w:val="21"/>
                <w:color w:val="auto"/>
              </w:rPr>
            </w:pPr>
          </w:p>
        </w:tc>
        <w:tc>
          <w:tcPr>
            <w:tcW w:w="540" w:type="dxa"/>
            <w:vAlign w:val="bottom"/>
            <w:tcBorders>
              <w:bottom w:val="single" w:sz="8" w:color="231F20"/>
              <w:right w:val="single" w:sz="8" w:color="231F20"/>
            </w:tcBorders>
            <w:shd w:val="clear" w:color="auto" w:fill="231F20"/>
          </w:tcPr>
          <w:p>
            <w:pPr>
              <w:spacing w:after="0"/>
              <w:rPr>
                <w:sz w:val="21"/>
                <w:szCs w:val="21"/>
                <w:color w:val="auto"/>
              </w:rPr>
            </w:pPr>
          </w:p>
        </w:tc>
        <w:tc>
          <w:tcPr>
            <w:tcW w:w="760" w:type="dxa"/>
            <w:vAlign w:val="bottom"/>
            <w:tcBorders>
              <w:bottom w:val="single" w:sz="8" w:color="231F20"/>
              <w:right w:val="single" w:sz="8" w:color="231F20"/>
            </w:tcBorders>
            <w:shd w:val="clear" w:color="auto" w:fill="231F20"/>
          </w:tcPr>
          <w:p>
            <w:pPr>
              <w:spacing w:after="0"/>
              <w:rPr>
                <w:sz w:val="21"/>
                <w:szCs w:val="21"/>
                <w:color w:val="auto"/>
              </w:rPr>
            </w:pPr>
          </w:p>
        </w:tc>
        <w:tc>
          <w:tcPr>
            <w:tcW w:w="1100" w:type="dxa"/>
            <w:vAlign w:val="bottom"/>
            <w:tcBorders>
              <w:bottom w:val="single" w:sz="8" w:color="231F20"/>
              <w:right w:val="single" w:sz="8" w:color="231F20"/>
            </w:tcBorders>
            <w:shd w:val="clear" w:color="auto" w:fill="231F20"/>
          </w:tcPr>
          <w:p>
            <w:pPr>
              <w:spacing w:after="0"/>
              <w:rPr>
                <w:sz w:val="21"/>
                <w:szCs w:val="21"/>
                <w:color w:val="auto"/>
              </w:rPr>
            </w:pPr>
          </w:p>
        </w:tc>
        <w:tc>
          <w:tcPr>
            <w:tcW w:w="400" w:type="dxa"/>
            <w:vAlign w:val="bottom"/>
            <w:tcBorders>
              <w:bottom w:val="single" w:sz="8" w:color="231F20"/>
            </w:tcBorders>
            <w:shd w:val="clear" w:color="auto" w:fill="231F20"/>
          </w:tcPr>
          <w:p>
            <w:pPr>
              <w:spacing w:after="0"/>
              <w:rPr>
                <w:sz w:val="21"/>
                <w:szCs w:val="21"/>
                <w:color w:val="auto"/>
              </w:rPr>
            </w:pPr>
          </w:p>
        </w:tc>
        <w:tc>
          <w:tcPr>
            <w:tcW w:w="1740" w:type="dxa"/>
            <w:vAlign w:val="bottom"/>
            <w:tcBorders>
              <w:bottom w:val="single" w:sz="8" w:color="231F20"/>
              <w:right w:val="single" w:sz="8" w:color="231F20"/>
            </w:tcBorders>
            <w:gridSpan w:val="2"/>
            <w:vMerge w:val="continue"/>
            <w:shd w:val="clear" w:color="auto" w:fill="231F20"/>
          </w:tcPr>
          <w:p>
            <w:pPr>
              <w:spacing w:after="0"/>
              <w:rPr>
                <w:sz w:val="21"/>
                <w:szCs w:val="21"/>
                <w:color w:val="auto"/>
              </w:rPr>
            </w:pPr>
          </w:p>
        </w:tc>
        <w:tc>
          <w:tcPr>
            <w:tcW w:w="1020" w:type="dxa"/>
            <w:vAlign w:val="bottom"/>
            <w:tcBorders>
              <w:bottom w:val="single" w:sz="8" w:color="231F20"/>
              <w:right w:val="single" w:sz="8" w:color="231F20"/>
            </w:tcBorders>
            <w:shd w:val="clear" w:color="auto" w:fill="231F20"/>
          </w:tcPr>
          <w:p>
            <w:pPr>
              <w:spacing w:after="0"/>
              <w:rPr>
                <w:sz w:val="21"/>
                <w:szCs w:val="21"/>
                <w:color w:val="auto"/>
              </w:rPr>
            </w:pPr>
          </w:p>
        </w:tc>
        <w:tc>
          <w:tcPr>
            <w:tcW w:w="860" w:type="dxa"/>
            <w:vAlign w:val="bottom"/>
            <w:tcBorders>
              <w:bottom w:val="single" w:sz="8" w:color="231F20"/>
            </w:tcBorders>
            <w:shd w:val="clear" w:color="auto" w:fill="231F20"/>
          </w:tcPr>
          <w:p>
            <w:pPr>
              <w:spacing w:after="0"/>
              <w:rPr>
                <w:sz w:val="21"/>
                <w:szCs w:val="21"/>
                <w:color w:val="auto"/>
              </w:rPr>
            </w:pPr>
          </w:p>
        </w:tc>
        <w:tc>
          <w:tcPr>
            <w:tcW w:w="280" w:type="dxa"/>
            <w:vAlign w:val="bottom"/>
            <w:tcBorders>
              <w:bottom w:val="single" w:sz="8" w:color="231F20"/>
              <w:right w:val="single" w:sz="8" w:color="231F20"/>
            </w:tcBorders>
            <w:shd w:val="clear" w:color="auto" w:fill="231F20"/>
          </w:tcPr>
          <w:p>
            <w:pPr>
              <w:spacing w:after="0"/>
              <w:rPr>
                <w:sz w:val="21"/>
                <w:szCs w:val="21"/>
                <w:color w:val="auto"/>
              </w:rPr>
            </w:pPr>
          </w:p>
        </w:tc>
        <w:tc>
          <w:tcPr>
            <w:tcW w:w="360" w:type="dxa"/>
            <w:vAlign w:val="bottom"/>
            <w:tcBorders>
              <w:bottom w:val="single" w:sz="8" w:color="231F20"/>
              <w:right w:val="single" w:sz="8" w:color="231F20"/>
            </w:tcBorders>
            <w:shd w:val="clear" w:color="auto" w:fill="231F20"/>
          </w:tcPr>
          <w:p>
            <w:pPr>
              <w:spacing w:after="0"/>
              <w:rPr>
                <w:sz w:val="21"/>
                <w:szCs w:val="21"/>
                <w:color w:val="auto"/>
              </w:rPr>
            </w:pPr>
          </w:p>
        </w:tc>
        <w:tc>
          <w:tcPr>
            <w:tcW w:w="1160" w:type="dxa"/>
            <w:vAlign w:val="bottom"/>
            <w:tcBorders>
              <w:bottom w:val="single" w:sz="8" w:color="231F20"/>
            </w:tcBorders>
            <w:shd w:val="clear" w:color="auto" w:fill="231F20"/>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160" w:type="dxa"/>
            <w:vAlign w:val="bottom"/>
            <w:shd w:val="clear" w:color="auto" w:fill="231F20"/>
          </w:tcPr>
          <w:p>
            <w:pPr>
              <w:jc w:val="center"/>
              <w:spacing w:after="0"/>
              <w:rPr>
                <w:sz w:val="20"/>
                <w:szCs w:val="20"/>
                <w:color w:val="auto"/>
              </w:rPr>
            </w:pPr>
            <w:r>
              <w:rPr>
                <w:rFonts w:ascii="Arial" w:cs="Arial" w:eastAsia="Arial" w:hAnsi="Arial"/>
                <w:sz w:val="16"/>
                <w:szCs w:val="16"/>
                <w:color w:val="FFFFFF"/>
                <w:w w:val="87"/>
              </w:rPr>
              <w:t>Canaccord</w:t>
            </w:r>
          </w:p>
        </w:tc>
        <w:tc>
          <w:tcPr>
            <w:tcW w:w="120" w:type="dxa"/>
            <w:vAlign w:val="bottom"/>
            <w:shd w:val="clear" w:color="auto" w:fill="231F20"/>
          </w:tcPr>
          <w:p>
            <w:pPr>
              <w:spacing w:after="0"/>
              <w:rPr>
                <w:sz w:val="18"/>
                <w:szCs w:val="18"/>
                <w:color w:val="auto"/>
              </w:rPr>
            </w:pPr>
          </w:p>
        </w:tc>
        <w:tc>
          <w:tcPr>
            <w:tcW w:w="1300" w:type="dxa"/>
            <w:vAlign w:val="bottom"/>
            <w:tcBorders>
              <w:right w:val="single" w:sz="8" w:color="231F20"/>
            </w:tcBorders>
            <w:gridSpan w:val="2"/>
            <w:shd w:val="clear" w:color="auto" w:fill="231F20"/>
          </w:tcPr>
          <w:p>
            <w:pPr>
              <w:ind w:left="100"/>
              <w:spacing w:after="0"/>
              <w:rPr>
                <w:sz w:val="20"/>
                <w:szCs w:val="20"/>
                <w:color w:val="auto"/>
              </w:rPr>
            </w:pPr>
            <w:r>
              <w:rPr>
                <w:rFonts w:ascii="Arial" w:cs="Arial" w:eastAsia="Arial" w:hAnsi="Arial"/>
                <w:sz w:val="16"/>
                <w:szCs w:val="16"/>
                <w:color w:val="FFFFFF"/>
              </w:rPr>
              <w:t>JMP Securities</w:t>
            </w:r>
          </w:p>
        </w:tc>
        <w:tc>
          <w:tcPr>
            <w:tcW w:w="1100" w:type="dxa"/>
            <w:vAlign w:val="bottom"/>
            <w:tcBorders>
              <w:right w:val="single" w:sz="8" w:color="231F20"/>
            </w:tcBorders>
            <w:shd w:val="clear" w:color="auto" w:fill="231F20"/>
          </w:tcPr>
          <w:p>
            <w:pPr>
              <w:jc w:val="center"/>
              <w:spacing w:after="0"/>
              <w:rPr>
                <w:sz w:val="20"/>
                <w:szCs w:val="20"/>
                <w:color w:val="auto"/>
              </w:rPr>
            </w:pPr>
            <w:r>
              <w:rPr>
                <w:rFonts w:ascii="Arial" w:cs="Arial" w:eastAsia="Arial" w:hAnsi="Arial"/>
                <w:sz w:val="16"/>
                <w:szCs w:val="16"/>
                <w:color w:val="FFFFFF"/>
                <w:w w:val="96"/>
              </w:rPr>
              <w:t>Mizuho</w:t>
            </w:r>
          </w:p>
        </w:tc>
        <w:tc>
          <w:tcPr>
            <w:tcW w:w="400" w:type="dxa"/>
            <w:vAlign w:val="bottom"/>
            <w:shd w:val="clear" w:color="auto" w:fill="231F20"/>
          </w:tcPr>
          <w:p>
            <w:pPr>
              <w:spacing w:after="0"/>
              <w:rPr>
                <w:sz w:val="18"/>
                <w:szCs w:val="18"/>
                <w:color w:val="auto"/>
              </w:rPr>
            </w:pPr>
          </w:p>
        </w:tc>
        <w:tc>
          <w:tcPr>
            <w:tcW w:w="1740" w:type="dxa"/>
            <w:vAlign w:val="bottom"/>
            <w:tcBorders>
              <w:right w:val="single" w:sz="8" w:color="231F20"/>
            </w:tcBorders>
            <w:gridSpan w:val="2"/>
            <w:shd w:val="clear" w:color="auto" w:fill="231F20"/>
          </w:tcPr>
          <w:p>
            <w:pPr>
              <w:ind w:left="220"/>
              <w:spacing w:after="0"/>
              <w:rPr>
                <w:sz w:val="20"/>
                <w:szCs w:val="20"/>
                <w:color w:val="auto"/>
              </w:rPr>
            </w:pPr>
            <w:r>
              <w:rPr>
                <w:rFonts w:ascii="Arial" w:cs="Arial" w:eastAsia="Arial" w:hAnsi="Arial"/>
                <w:sz w:val="16"/>
                <w:szCs w:val="16"/>
                <w:color w:val="FFFFFF"/>
              </w:rPr>
              <w:t>Piper Sandler</w:t>
            </w:r>
          </w:p>
        </w:tc>
        <w:tc>
          <w:tcPr>
            <w:tcW w:w="1020" w:type="dxa"/>
            <w:vAlign w:val="bottom"/>
            <w:tcBorders>
              <w:right w:val="single" w:sz="8" w:color="231F20"/>
            </w:tcBorders>
            <w:shd w:val="clear" w:color="auto" w:fill="231F20"/>
          </w:tcPr>
          <w:p>
            <w:pPr>
              <w:jc w:val="center"/>
              <w:spacing w:after="0"/>
              <w:rPr>
                <w:sz w:val="20"/>
                <w:szCs w:val="20"/>
                <w:color w:val="auto"/>
              </w:rPr>
            </w:pPr>
            <w:r>
              <w:rPr>
                <w:rFonts w:ascii="Arial" w:cs="Arial" w:eastAsia="Arial" w:hAnsi="Arial"/>
                <w:sz w:val="16"/>
                <w:szCs w:val="16"/>
                <w:color w:val="FFFFFF"/>
                <w:w w:val="90"/>
              </w:rPr>
              <w:t>Raymond</w:t>
            </w:r>
          </w:p>
        </w:tc>
        <w:tc>
          <w:tcPr>
            <w:tcW w:w="860" w:type="dxa"/>
            <w:vAlign w:val="bottom"/>
            <w:shd w:val="clear" w:color="auto" w:fill="231F20"/>
          </w:tcPr>
          <w:p>
            <w:pPr>
              <w:ind w:left="380"/>
              <w:spacing w:after="0"/>
              <w:rPr>
                <w:sz w:val="20"/>
                <w:szCs w:val="20"/>
                <w:color w:val="auto"/>
              </w:rPr>
            </w:pPr>
            <w:r>
              <w:rPr>
                <w:rFonts w:ascii="Arial" w:cs="Arial" w:eastAsia="Arial" w:hAnsi="Arial"/>
                <w:sz w:val="16"/>
                <w:szCs w:val="16"/>
                <w:color w:val="FFFFFF"/>
              </w:rPr>
              <w:t>Stifel</w:t>
            </w:r>
          </w:p>
        </w:tc>
        <w:tc>
          <w:tcPr>
            <w:tcW w:w="280" w:type="dxa"/>
            <w:vAlign w:val="bottom"/>
            <w:tcBorders>
              <w:right w:val="single" w:sz="8" w:color="231F20"/>
            </w:tcBorders>
            <w:shd w:val="clear" w:color="auto" w:fill="231F20"/>
          </w:tcPr>
          <w:p>
            <w:pPr>
              <w:spacing w:after="0"/>
              <w:rPr>
                <w:sz w:val="18"/>
                <w:szCs w:val="18"/>
                <w:color w:val="auto"/>
              </w:rPr>
            </w:pPr>
          </w:p>
        </w:tc>
        <w:tc>
          <w:tcPr>
            <w:tcW w:w="1520" w:type="dxa"/>
            <w:vAlign w:val="bottom"/>
            <w:gridSpan w:val="2"/>
            <w:shd w:val="clear" w:color="auto" w:fill="231F20"/>
          </w:tcPr>
          <w:p>
            <w:pPr>
              <w:jc w:val="right"/>
              <w:ind w:right="81"/>
              <w:spacing w:after="0"/>
              <w:rPr>
                <w:sz w:val="20"/>
                <w:szCs w:val="20"/>
                <w:color w:val="auto"/>
              </w:rPr>
            </w:pPr>
            <w:r>
              <w:rPr>
                <w:rFonts w:ascii="Arial" w:cs="Arial" w:eastAsia="Arial" w:hAnsi="Arial"/>
                <w:sz w:val="16"/>
                <w:szCs w:val="16"/>
                <w:color w:val="FFFFFF"/>
                <w:w w:val="97"/>
              </w:rPr>
              <w:t>SunTrust Robinson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60" w:type="dxa"/>
            <w:vAlign w:val="bottom"/>
            <w:shd w:val="clear" w:color="auto" w:fill="231F20"/>
          </w:tcPr>
          <w:p>
            <w:pPr>
              <w:jc w:val="center"/>
              <w:spacing w:after="0"/>
              <w:rPr>
                <w:sz w:val="20"/>
                <w:szCs w:val="20"/>
                <w:color w:val="auto"/>
              </w:rPr>
            </w:pPr>
            <w:r>
              <w:rPr>
                <w:rFonts w:ascii="Arial" w:cs="Arial" w:eastAsia="Arial" w:hAnsi="Arial"/>
                <w:sz w:val="16"/>
                <w:szCs w:val="16"/>
                <w:color w:val="FFFFFF"/>
                <w:w w:val="94"/>
              </w:rPr>
              <w:t>Genuity</w:t>
            </w:r>
          </w:p>
        </w:tc>
        <w:tc>
          <w:tcPr>
            <w:tcW w:w="120" w:type="dxa"/>
            <w:vAlign w:val="bottom"/>
            <w:shd w:val="clear" w:color="auto" w:fill="231F20"/>
          </w:tcPr>
          <w:p>
            <w:pPr>
              <w:spacing w:after="0"/>
              <w:rPr>
                <w:sz w:val="17"/>
                <w:szCs w:val="17"/>
                <w:color w:val="auto"/>
              </w:rPr>
            </w:pPr>
          </w:p>
        </w:tc>
        <w:tc>
          <w:tcPr>
            <w:tcW w:w="540" w:type="dxa"/>
            <w:vAlign w:val="bottom"/>
            <w:tcBorders>
              <w:right w:val="single" w:sz="8" w:color="231F20"/>
            </w:tcBorders>
            <w:shd w:val="clear" w:color="auto" w:fill="231F20"/>
          </w:tcPr>
          <w:p>
            <w:pPr>
              <w:spacing w:after="0"/>
              <w:rPr>
                <w:sz w:val="17"/>
                <w:szCs w:val="17"/>
                <w:color w:val="auto"/>
              </w:rPr>
            </w:pPr>
          </w:p>
        </w:tc>
        <w:tc>
          <w:tcPr>
            <w:tcW w:w="760" w:type="dxa"/>
            <w:vAlign w:val="bottom"/>
            <w:tcBorders>
              <w:right w:val="single" w:sz="8" w:color="231F20"/>
            </w:tcBorders>
            <w:shd w:val="clear" w:color="auto" w:fill="231F20"/>
          </w:tcPr>
          <w:p>
            <w:pPr>
              <w:spacing w:after="0"/>
              <w:rPr>
                <w:sz w:val="17"/>
                <w:szCs w:val="17"/>
                <w:color w:val="auto"/>
              </w:rPr>
            </w:pPr>
          </w:p>
        </w:tc>
        <w:tc>
          <w:tcPr>
            <w:tcW w:w="1100" w:type="dxa"/>
            <w:vAlign w:val="bottom"/>
            <w:tcBorders>
              <w:right w:val="single" w:sz="8" w:color="231F20"/>
            </w:tcBorders>
            <w:shd w:val="clear" w:color="auto" w:fill="231F20"/>
          </w:tcPr>
          <w:p>
            <w:pPr>
              <w:jc w:val="center"/>
              <w:spacing w:after="0"/>
              <w:rPr>
                <w:sz w:val="20"/>
                <w:szCs w:val="20"/>
                <w:color w:val="auto"/>
              </w:rPr>
            </w:pPr>
            <w:r>
              <w:rPr>
                <w:rFonts w:ascii="Arial" w:cs="Arial" w:eastAsia="Arial" w:hAnsi="Arial"/>
                <w:sz w:val="16"/>
                <w:szCs w:val="16"/>
                <w:color w:val="FFFFFF"/>
                <w:w w:val="88"/>
              </w:rPr>
              <w:t>Securities</w:t>
            </w:r>
          </w:p>
        </w:tc>
        <w:tc>
          <w:tcPr>
            <w:tcW w:w="400" w:type="dxa"/>
            <w:vAlign w:val="bottom"/>
            <w:shd w:val="clear" w:color="auto" w:fill="231F20"/>
          </w:tcPr>
          <w:p>
            <w:pPr>
              <w:spacing w:after="0"/>
              <w:rPr>
                <w:sz w:val="17"/>
                <w:szCs w:val="17"/>
                <w:color w:val="auto"/>
              </w:rPr>
            </w:pPr>
          </w:p>
        </w:tc>
        <w:tc>
          <w:tcPr>
            <w:tcW w:w="660" w:type="dxa"/>
            <w:vAlign w:val="bottom"/>
            <w:shd w:val="clear" w:color="auto" w:fill="231F20"/>
          </w:tcPr>
          <w:p>
            <w:pPr>
              <w:spacing w:after="0"/>
              <w:rPr>
                <w:sz w:val="17"/>
                <w:szCs w:val="17"/>
                <w:color w:val="auto"/>
              </w:rPr>
            </w:pPr>
          </w:p>
        </w:tc>
        <w:tc>
          <w:tcPr>
            <w:tcW w:w="1080" w:type="dxa"/>
            <w:vAlign w:val="bottom"/>
            <w:tcBorders>
              <w:right w:val="single" w:sz="8" w:color="231F20"/>
            </w:tcBorders>
            <w:shd w:val="clear" w:color="auto" w:fill="231F20"/>
          </w:tcPr>
          <w:p>
            <w:pPr>
              <w:spacing w:after="0"/>
              <w:rPr>
                <w:sz w:val="17"/>
                <w:szCs w:val="17"/>
                <w:color w:val="auto"/>
              </w:rPr>
            </w:pPr>
          </w:p>
        </w:tc>
        <w:tc>
          <w:tcPr>
            <w:tcW w:w="1020" w:type="dxa"/>
            <w:vAlign w:val="bottom"/>
            <w:tcBorders>
              <w:right w:val="single" w:sz="8" w:color="231F20"/>
            </w:tcBorders>
            <w:shd w:val="clear" w:color="auto" w:fill="231F20"/>
          </w:tcPr>
          <w:p>
            <w:pPr>
              <w:jc w:val="center"/>
              <w:spacing w:after="0"/>
              <w:rPr>
                <w:sz w:val="20"/>
                <w:szCs w:val="20"/>
                <w:color w:val="auto"/>
              </w:rPr>
            </w:pPr>
            <w:r>
              <w:rPr>
                <w:rFonts w:ascii="Arial" w:cs="Arial" w:eastAsia="Arial" w:hAnsi="Arial"/>
                <w:sz w:val="16"/>
                <w:szCs w:val="16"/>
                <w:color w:val="FFFFFF"/>
                <w:w w:val="80"/>
              </w:rPr>
              <w:t>James</w:t>
            </w:r>
          </w:p>
        </w:tc>
        <w:tc>
          <w:tcPr>
            <w:tcW w:w="860" w:type="dxa"/>
            <w:vAlign w:val="bottom"/>
            <w:shd w:val="clear" w:color="auto" w:fill="231F20"/>
          </w:tcPr>
          <w:p>
            <w:pPr>
              <w:spacing w:after="0"/>
              <w:rPr>
                <w:sz w:val="17"/>
                <w:szCs w:val="17"/>
                <w:color w:val="auto"/>
              </w:rPr>
            </w:pPr>
          </w:p>
        </w:tc>
        <w:tc>
          <w:tcPr>
            <w:tcW w:w="280" w:type="dxa"/>
            <w:vAlign w:val="bottom"/>
            <w:tcBorders>
              <w:right w:val="single" w:sz="8" w:color="231F20"/>
            </w:tcBorders>
            <w:shd w:val="clear" w:color="auto" w:fill="231F20"/>
          </w:tcPr>
          <w:p>
            <w:pPr>
              <w:spacing w:after="0"/>
              <w:rPr>
                <w:sz w:val="17"/>
                <w:szCs w:val="17"/>
                <w:color w:val="auto"/>
              </w:rPr>
            </w:pPr>
          </w:p>
        </w:tc>
        <w:tc>
          <w:tcPr>
            <w:tcW w:w="360" w:type="dxa"/>
            <w:vAlign w:val="bottom"/>
            <w:tcBorders>
              <w:right w:val="single" w:sz="8" w:color="231F20"/>
            </w:tcBorders>
            <w:shd w:val="clear" w:color="auto" w:fill="231F20"/>
          </w:tcPr>
          <w:p>
            <w:pPr>
              <w:spacing w:after="0"/>
              <w:rPr>
                <w:sz w:val="17"/>
                <w:szCs w:val="17"/>
                <w:color w:val="auto"/>
              </w:rPr>
            </w:pPr>
          </w:p>
        </w:tc>
        <w:tc>
          <w:tcPr>
            <w:tcW w:w="1160" w:type="dxa"/>
            <w:vAlign w:val="bottom"/>
            <w:shd w:val="clear" w:color="auto" w:fill="231F20"/>
          </w:tcPr>
          <w:p>
            <w:pPr>
              <w:jc w:val="right"/>
              <w:ind w:right="361"/>
              <w:spacing w:after="0"/>
              <w:rPr>
                <w:sz w:val="20"/>
                <w:szCs w:val="20"/>
                <w:color w:val="auto"/>
              </w:rPr>
            </w:pPr>
            <w:r>
              <w:rPr>
                <w:rFonts w:ascii="Arial" w:cs="Arial" w:eastAsia="Arial" w:hAnsi="Arial"/>
                <w:sz w:val="16"/>
                <w:szCs w:val="16"/>
                <w:color w:val="FFFFFF"/>
                <w:w w:val="94"/>
              </w:rPr>
              <w:t>Humphrey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160" w:type="dxa"/>
            <w:vAlign w:val="bottom"/>
            <w:tcBorders>
              <w:bottom w:val="single" w:sz="8" w:color="231F20"/>
            </w:tcBorders>
            <w:shd w:val="clear" w:color="auto" w:fill="231F20"/>
          </w:tcPr>
          <w:p>
            <w:pPr>
              <w:spacing w:after="0"/>
              <w:rPr>
                <w:sz w:val="2"/>
                <w:szCs w:val="2"/>
                <w:color w:val="auto"/>
              </w:rPr>
            </w:pPr>
          </w:p>
        </w:tc>
        <w:tc>
          <w:tcPr>
            <w:tcW w:w="120" w:type="dxa"/>
            <w:vAlign w:val="bottom"/>
            <w:tcBorders>
              <w:bottom w:val="single" w:sz="8" w:color="231F20"/>
            </w:tcBorders>
            <w:shd w:val="clear" w:color="auto" w:fill="231F20"/>
          </w:tcPr>
          <w:p>
            <w:pPr>
              <w:spacing w:after="0"/>
              <w:rPr>
                <w:sz w:val="2"/>
                <w:szCs w:val="2"/>
                <w:color w:val="auto"/>
              </w:rPr>
            </w:pPr>
          </w:p>
        </w:tc>
        <w:tc>
          <w:tcPr>
            <w:tcW w:w="540" w:type="dxa"/>
            <w:vAlign w:val="bottom"/>
            <w:tcBorders>
              <w:bottom w:val="single" w:sz="8" w:color="231F20"/>
              <w:right w:val="single" w:sz="8" w:color="231F20"/>
            </w:tcBorders>
            <w:shd w:val="clear" w:color="auto" w:fill="231F20"/>
          </w:tcPr>
          <w:p>
            <w:pPr>
              <w:spacing w:after="0"/>
              <w:rPr>
                <w:sz w:val="2"/>
                <w:szCs w:val="2"/>
                <w:color w:val="auto"/>
              </w:rPr>
            </w:pPr>
          </w:p>
        </w:tc>
        <w:tc>
          <w:tcPr>
            <w:tcW w:w="760" w:type="dxa"/>
            <w:vAlign w:val="bottom"/>
            <w:tcBorders>
              <w:bottom w:val="single" w:sz="8" w:color="231F20"/>
              <w:right w:val="single" w:sz="8" w:color="231F20"/>
            </w:tcBorders>
            <w:shd w:val="clear" w:color="auto" w:fill="231F20"/>
          </w:tcPr>
          <w:p>
            <w:pPr>
              <w:spacing w:after="0"/>
              <w:rPr>
                <w:sz w:val="2"/>
                <w:szCs w:val="2"/>
                <w:color w:val="auto"/>
              </w:rPr>
            </w:pPr>
          </w:p>
        </w:tc>
        <w:tc>
          <w:tcPr>
            <w:tcW w:w="1100" w:type="dxa"/>
            <w:vAlign w:val="bottom"/>
            <w:tcBorders>
              <w:bottom w:val="single" w:sz="8" w:color="231F20"/>
              <w:right w:val="single" w:sz="8" w:color="231F20"/>
            </w:tcBorders>
            <w:shd w:val="clear" w:color="auto" w:fill="231F20"/>
          </w:tcPr>
          <w:p>
            <w:pPr>
              <w:spacing w:after="0"/>
              <w:rPr>
                <w:sz w:val="2"/>
                <w:szCs w:val="2"/>
                <w:color w:val="auto"/>
              </w:rPr>
            </w:pPr>
          </w:p>
        </w:tc>
        <w:tc>
          <w:tcPr>
            <w:tcW w:w="400" w:type="dxa"/>
            <w:vAlign w:val="bottom"/>
            <w:tcBorders>
              <w:bottom w:val="single" w:sz="8" w:color="231F20"/>
            </w:tcBorders>
            <w:shd w:val="clear" w:color="auto" w:fill="231F20"/>
          </w:tcPr>
          <w:p>
            <w:pPr>
              <w:spacing w:after="0"/>
              <w:rPr>
                <w:sz w:val="2"/>
                <w:szCs w:val="2"/>
                <w:color w:val="auto"/>
              </w:rPr>
            </w:pPr>
          </w:p>
        </w:tc>
        <w:tc>
          <w:tcPr>
            <w:tcW w:w="660" w:type="dxa"/>
            <w:vAlign w:val="bottom"/>
            <w:tcBorders>
              <w:bottom w:val="single" w:sz="8" w:color="231F20"/>
            </w:tcBorders>
            <w:shd w:val="clear" w:color="auto" w:fill="231F20"/>
          </w:tcPr>
          <w:p>
            <w:pPr>
              <w:spacing w:after="0"/>
              <w:rPr>
                <w:sz w:val="2"/>
                <w:szCs w:val="2"/>
                <w:color w:val="auto"/>
              </w:rPr>
            </w:pPr>
          </w:p>
        </w:tc>
        <w:tc>
          <w:tcPr>
            <w:tcW w:w="1080" w:type="dxa"/>
            <w:vAlign w:val="bottom"/>
            <w:tcBorders>
              <w:bottom w:val="single" w:sz="8" w:color="231F20"/>
              <w:right w:val="single" w:sz="8" w:color="231F20"/>
            </w:tcBorders>
            <w:shd w:val="clear" w:color="auto" w:fill="231F20"/>
          </w:tcPr>
          <w:p>
            <w:pPr>
              <w:spacing w:after="0"/>
              <w:rPr>
                <w:sz w:val="2"/>
                <w:szCs w:val="2"/>
                <w:color w:val="auto"/>
              </w:rPr>
            </w:pPr>
          </w:p>
        </w:tc>
        <w:tc>
          <w:tcPr>
            <w:tcW w:w="1020" w:type="dxa"/>
            <w:vAlign w:val="bottom"/>
            <w:tcBorders>
              <w:bottom w:val="single" w:sz="8" w:color="231F20"/>
              <w:right w:val="single" w:sz="8" w:color="231F20"/>
            </w:tcBorders>
            <w:shd w:val="clear" w:color="auto" w:fill="231F20"/>
          </w:tcPr>
          <w:p>
            <w:pPr>
              <w:spacing w:after="0"/>
              <w:rPr>
                <w:sz w:val="2"/>
                <w:szCs w:val="2"/>
                <w:color w:val="auto"/>
              </w:rPr>
            </w:pPr>
          </w:p>
        </w:tc>
        <w:tc>
          <w:tcPr>
            <w:tcW w:w="860" w:type="dxa"/>
            <w:vAlign w:val="bottom"/>
            <w:tcBorders>
              <w:bottom w:val="single" w:sz="8" w:color="231F20"/>
            </w:tcBorders>
            <w:shd w:val="clear" w:color="auto" w:fill="231F20"/>
          </w:tcPr>
          <w:p>
            <w:pPr>
              <w:spacing w:after="0"/>
              <w:rPr>
                <w:sz w:val="2"/>
                <w:szCs w:val="2"/>
                <w:color w:val="auto"/>
              </w:rPr>
            </w:pPr>
          </w:p>
        </w:tc>
        <w:tc>
          <w:tcPr>
            <w:tcW w:w="280" w:type="dxa"/>
            <w:vAlign w:val="bottom"/>
            <w:tcBorders>
              <w:bottom w:val="single" w:sz="8" w:color="231F20"/>
              <w:right w:val="single" w:sz="8" w:color="231F20"/>
            </w:tcBorders>
            <w:shd w:val="clear" w:color="auto" w:fill="231F20"/>
          </w:tcPr>
          <w:p>
            <w:pPr>
              <w:spacing w:after="0"/>
              <w:rPr>
                <w:sz w:val="2"/>
                <w:szCs w:val="2"/>
                <w:color w:val="auto"/>
              </w:rPr>
            </w:pPr>
          </w:p>
        </w:tc>
        <w:tc>
          <w:tcPr>
            <w:tcW w:w="360" w:type="dxa"/>
            <w:vAlign w:val="bottom"/>
            <w:tcBorders>
              <w:bottom w:val="single" w:sz="8" w:color="231F20"/>
              <w:right w:val="single" w:sz="8" w:color="231F20"/>
            </w:tcBorders>
            <w:shd w:val="clear" w:color="auto" w:fill="231F20"/>
          </w:tcPr>
          <w:p>
            <w:pPr>
              <w:spacing w:after="0"/>
              <w:rPr>
                <w:sz w:val="2"/>
                <w:szCs w:val="2"/>
                <w:color w:val="auto"/>
              </w:rPr>
            </w:pPr>
          </w:p>
        </w:tc>
        <w:tc>
          <w:tcPr>
            <w:tcW w:w="1160" w:type="dxa"/>
            <w:vAlign w:val="bottom"/>
            <w:tcBorders>
              <w:bottom w:val="single" w:sz="8" w:color="231F20"/>
            </w:tcBorders>
            <w:shd w:val="clear" w:color="auto" w:fill="231F20"/>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color w:val="FFFFFF"/>
        </w:rPr>
        <w:t>Roberts &amp; Ryan</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4"/>
          <w:szCs w:val="14"/>
          <w:color w:val="FFFFFF"/>
        </w:rPr>
        <w:t>The date of this prospectus is June 3, 2020.</w:t>
      </w:r>
    </w:p>
    <w:p>
      <w:pPr>
        <w:sectPr>
          <w:pgSz w:w="11900" w:h="16838" w:orient="portrait"/>
          <w:cols w:equalWidth="0" w:num="1">
            <w:col w:w="9520"/>
          </w:cols>
          <w:pgMar w:left="1200" w:top="1247" w:right="1179" w:bottom="679"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381000</wp:posOffset>
            </wp:positionH>
            <wp:positionV relativeFrom="page">
              <wp:posOffset>222250</wp:posOffset>
            </wp:positionV>
            <wp:extent cx="6786880" cy="8783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786880" cy="8783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222250</wp:posOffset>
            </wp:positionV>
            <wp:extent cx="6778625" cy="8783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778625" cy="8783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222250</wp:posOffset>
            </wp:positionV>
            <wp:extent cx="6778625" cy="8783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778625" cy="8783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7100" w:type="dxa"/>
            <w:vAlign w:val="bottom"/>
            <w:gridSpan w:val="2"/>
          </w:tcPr>
          <w:p>
            <w:pPr>
              <w:ind w:left="1600"/>
              <w:spacing w:after="0"/>
              <w:rPr>
                <w:sz w:val="20"/>
                <w:szCs w:val="20"/>
                <w:color w:val="auto"/>
              </w:rPr>
            </w:pPr>
            <w:r>
              <w:rPr>
                <w:rFonts w:ascii="Arial" w:cs="Arial" w:eastAsia="Arial" w:hAnsi="Arial"/>
                <w:sz w:val="17"/>
                <w:szCs w:val="17"/>
                <w:b w:val="1"/>
                <w:bCs w:val="1"/>
                <w:color w:val="auto"/>
              </w:rPr>
              <w:t>Table of Contents</w:t>
            </w:r>
          </w:p>
        </w:tc>
        <w:tc>
          <w:tcPr>
            <w:tcW w:w="780" w:type="dxa"/>
            <w:vAlign w:val="bottom"/>
          </w:tcPr>
          <w:p>
            <w:pPr>
              <w:spacing w:after="0"/>
              <w:rPr>
                <w:sz w:val="19"/>
                <w:szCs w:val="19"/>
                <w:color w:val="auto"/>
              </w:rPr>
            </w:pPr>
          </w:p>
        </w:tc>
      </w:tr>
      <w:tr>
        <w:trPr>
          <w:trHeight w:val="545"/>
        </w:trPr>
        <w:tc>
          <w:tcPr>
            <w:tcW w:w="33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Page</w:t>
            </w:r>
          </w:p>
        </w:tc>
      </w:tr>
      <w:tr>
        <w:trPr>
          <w:trHeight w:val="234"/>
        </w:trPr>
        <w:tc>
          <w:tcPr>
            <w:tcW w:w="10420" w:type="dxa"/>
            <w:vAlign w:val="bottom"/>
            <w:gridSpan w:val="3"/>
          </w:tcPr>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Summary</w:t>
              </w:r>
            </w:hyperlink>
          </w:p>
        </w:tc>
        <w:tc>
          <w:tcPr>
            <w:tcW w:w="780" w:type="dxa"/>
            <w:vAlign w:val="bottom"/>
          </w:tcPr>
          <w:p>
            <w:pPr>
              <w:jc w:val="center"/>
              <w:spacing w:after="0"/>
              <w:rPr>
                <w:rFonts w:ascii="Arial" w:cs="Arial" w:eastAsia="Arial" w:hAnsi="Arial"/>
                <w:sz w:val="17"/>
                <w:szCs w:val="17"/>
                <w:color w:val="auto"/>
              </w:rPr>
            </w:pPr>
            <w:hyperlink w:anchor="page9">
              <w:r>
                <w:rPr>
                  <w:rFonts w:ascii="Arial" w:cs="Arial" w:eastAsia="Arial" w:hAnsi="Arial"/>
                  <w:sz w:val="17"/>
                  <w:szCs w:val="17"/>
                  <w:color w:val="auto"/>
                </w:rPr>
                <w:t>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Risk Factors</w:t>
              </w:r>
            </w:hyperlink>
          </w:p>
        </w:tc>
        <w:tc>
          <w:tcPr>
            <w:tcW w:w="780" w:type="dxa"/>
            <w:vAlign w:val="bottom"/>
          </w:tcPr>
          <w:p>
            <w:pPr>
              <w:jc w:val="center"/>
              <w:spacing w:after="0"/>
              <w:rPr>
                <w:rFonts w:ascii="Arial" w:cs="Arial" w:eastAsia="Arial" w:hAnsi="Arial"/>
                <w:sz w:val="17"/>
                <w:szCs w:val="17"/>
                <w:color w:val="auto"/>
                <w:w w:val="94"/>
              </w:rPr>
            </w:pPr>
            <w:hyperlink w:anchor="page39">
              <w:r>
                <w:rPr>
                  <w:rFonts w:ascii="Arial" w:cs="Arial" w:eastAsia="Arial" w:hAnsi="Arial"/>
                  <w:sz w:val="17"/>
                  <w:szCs w:val="17"/>
                  <w:color w:val="auto"/>
                  <w:w w:val="94"/>
                </w:rPr>
                <w:t>31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84">
              <w:r>
                <w:rPr>
                  <w:rFonts w:ascii="Arial" w:cs="Arial" w:eastAsia="Arial" w:hAnsi="Arial"/>
                  <w:sz w:val="17"/>
                  <w:szCs w:val="17"/>
                  <w:u w:val="single" w:color="auto"/>
                  <w:color w:val="0000EE"/>
                </w:rPr>
                <w:t>Forward-Looking Statements</w:t>
              </w:r>
            </w:hyperlink>
          </w:p>
        </w:tc>
        <w:tc>
          <w:tcPr>
            <w:tcW w:w="780" w:type="dxa"/>
            <w:vAlign w:val="bottom"/>
          </w:tcPr>
          <w:p>
            <w:pPr>
              <w:jc w:val="center"/>
              <w:spacing w:after="0"/>
              <w:rPr>
                <w:rFonts w:ascii="Arial" w:cs="Arial" w:eastAsia="Arial" w:hAnsi="Arial"/>
                <w:sz w:val="17"/>
                <w:szCs w:val="17"/>
                <w:color w:val="auto"/>
                <w:w w:val="94"/>
              </w:rPr>
            </w:pPr>
            <w:hyperlink w:anchor="page84">
              <w:r>
                <w:rPr>
                  <w:rFonts w:ascii="Arial" w:cs="Arial" w:eastAsia="Arial" w:hAnsi="Arial"/>
                  <w:sz w:val="17"/>
                  <w:szCs w:val="17"/>
                  <w:color w:val="auto"/>
                  <w:w w:val="94"/>
                </w:rPr>
                <w:t>76</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86">
              <w:r>
                <w:rPr>
                  <w:rFonts w:ascii="Arial" w:cs="Arial" w:eastAsia="Arial" w:hAnsi="Arial"/>
                  <w:sz w:val="17"/>
                  <w:szCs w:val="17"/>
                  <w:u w:val="single" w:color="auto"/>
                  <w:color w:val="0000EE"/>
                </w:rPr>
                <w:t>Market and Industry Data</w:t>
              </w:r>
            </w:hyperlink>
          </w:p>
        </w:tc>
        <w:tc>
          <w:tcPr>
            <w:tcW w:w="780" w:type="dxa"/>
            <w:vAlign w:val="bottom"/>
          </w:tcPr>
          <w:p>
            <w:pPr>
              <w:jc w:val="center"/>
              <w:spacing w:after="0"/>
              <w:rPr>
                <w:rFonts w:ascii="Arial" w:cs="Arial" w:eastAsia="Arial" w:hAnsi="Arial"/>
                <w:sz w:val="17"/>
                <w:szCs w:val="17"/>
                <w:color w:val="auto"/>
                <w:w w:val="94"/>
              </w:rPr>
            </w:pPr>
            <w:hyperlink w:anchor="page86">
              <w:r>
                <w:rPr>
                  <w:rFonts w:ascii="Arial" w:cs="Arial" w:eastAsia="Arial" w:hAnsi="Arial"/>
                  <w:sz w:val="17"/>
                  <w:szCs w:val="17"/>
                  <w:color w:val="auto"/>
                  <w:w w:val="94"/>
                </w:rPr>
                <w:t>78</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Organizational Structure</w:t>
              </w:r>
            </w:hyperlink>
          </w:p>
        </w:tc>
        <w:tc>
          <w:tcPr>
            <w:tcW w:w="780" w:type="dxa"/>
            <w:vAlign w:val="bottom"/>
          </w:tcPr>
          <w:p>
            <w:pPr>
              <w:jc w:val="center"/>
              <w:spacing w:after="0"/>
              <w:rPr>
                <w:rFonts w:ascii="Arial" w:cs="Arial" w:eastAsia="Arial" w:hAnsi="Arial"/>
                <w:sz w:val="17"/>
                <w:szCs w:val="17"/>
                <w:color w:val="auto"/>
                <w:w w:val="94"/>
              </w:rPr>
            </w:pPr>
            <w:hyperlink w:anchor="page87">
              <w:r>
                <w:rPr>
                  <w:rFonts w:ascii="Arial" w:cs="Arial" w:eastAsia="Arial" w:hAnsi="Arial"/>
                  <w:sz w:val="17"/>
                  <w:szCs w:val="17"/>
                  <w:color w:val="auto"/>
                  <w:w w:val="94"/>
                </w:rPr>
                <w:t>79</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Use of Proceeds</w:t>
              </w:r>
            </w:hyperlink>
          </w:p>
        </w:tc>
        <w:tc>
          <w:tcPr>
            <w:tcW w:w="780" w:type="dxa"/>
            <w:vAlign w:val="bottom"/>
          </w:tcPr>
          <w:p>
            <w:pPr>
              <w:jc w:val="center"/>
              <w:spacing w:after="0"/>
              <w:rPr>
                <w:rFonts w:ascii="Arial" w:cs="Arial" w:eastAsia="Arial" w:hAnsi="Arial"/>
                <w:sz w:val="17"/>
                <w:szCs w:val="17"/>
                <w:color w:val="auto"/>
                <w:w w:val="94"/>
              </w:rPr>
            </w:pPr>
            <w:hyperlink w:anchor="page96">
              <w:r>
                <w:rPr>
                  <w:rFonts w:ascii="Arial" w:cs="Arial" w:eastAsia="Arial" w:hAnsi="Arial"/>
                  <w:sz w:val="17"/>
                  <w:szCs w:val="17"/>
                  <w:color w:val="auto"/>
                  <w:w w:val="94"/>
                </w:rPr>
                <w:t>88</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Dividend Policy</w:t>
              </w:r>
            </w:hyperlink>
          </w:p>
        </w:tc>
        <w:tc>
          <w:tcPr>
            <w:tcW w:w="780" w:type="dxa"/>
            <w:vAlign w:val="bottom"/>
          </w:tcPr>
          <w:p>
            <w:pPr>
              <w:jc w:val="center"/>
              <w:spacing w:after="0"/>
              <w:rPr>
                <w:rFonts w:ascii="Arial" w:cs="Arial" w:eastAsia="Arial" w:hAnsi="Arial"/>
                <w:sz w:val="17"/>
                <w:szCs w:val="17"/>
                <w:color w:val="auto"/>
                <w:w w:val="94"/>
              </w:rPr>
            </w:pPr>
            <w:hyperlink w:anchor="page98">
              <w:r>
                <w:rPr>
                  <w:rFonts w:ascii="Arial" w:cs="Arial" w:eastAsia="Arial" w:hAnsi="Arial"/>
                  <w:sz w:val="17"/>
                  <w:szCs w:val="17"/>
                  <w:color w:val="auto"/>
                  <w:w w:val="94"/>
                </w:rPr>
                <w:t>90</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00">
              <w:r>
                <w:rPr>
                  <w:rFonts w:ascii="Arial" w:cs="Arial" w:eastAsia="Arial" w:hAnsi="Arial"/>
                  <w:sz w:val="17"/>
                  <w:szCs w:val="17"/>
                  <w:u w:val="single" w:color="auto"/>
                  <w:color w:val="0000EE"/>
                </w:rPr>
                <w:t>Capitalization</w:t>
              </w:r>
            </w:hyperlink>
          </w:p>
        </w:tc>
        <w:tc>
          <w:tcPr>
            <w:tcW w:w="780" w:type="dxa"/>
            <w:vAlign w:val="bottom"/>
          </w:tcPr>
          <w:p>
            <w:pPr>
              <w:jc w:val="center"/>
              <w:spacing w:after="0"/>
              <w:rPr>
                <w:rFonts w:ascii="Arial" w:cs="Arial" w:eastAsia="Arial" w:hAnsi="Arial"/>
                <w:sz w:val="17"/>
                <w:szCs w:val="17"/>
                <w:color w:val="auto"/>
                <w:w w:val="94"/>
              </w:rPr>
            </w:pPr>
            <w:hyperlink w:anchor="page100">
              <w:r>
                <w:rPr>
                  <w:rFonts w:ascii="Arial" w:cs="Arial" w:eastAsia="Arial" w:hAnsi="Arial"/>
                  <w:sz w:val="17"/>
                  <w:szCs w:val="17"/>
                  <w:color w:val="auto"/>
                  <w:w w:val="94"/>
                </w:rPr>
                <w:t>92</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02">
              <w:r>
                <w:rPr>
                  <w:rFonts w:ascii="Arial" w:cs="Arial" w:eastAsia="Arial" w:hAnsi="Arial"/>
                  <w:sz w:val="17"/>
                  <w:szCs w:val="17"/>
                  <w:u w:val="single" w:color="auto"/>
                  <w:color w:val="0000EE"/>
                </w:rPr>
                <w:t>Dilution</w:t>
              </w:r>
            </w:hyperlink>
          </w:p>
        </w:tc>
        <w:tc>
          <w:tcPr>
            <w:tcW w:w="780" w:type="dxa"/>
            <w:vAlign w:val="bottom"/>
          </w:tcPr>
          <w:p>
            <w:pPr>
              <w:jc w:val="center"/>
              <w:spacing w:after="0"/>
              <w:rPr>
                <w:rFonts w:ascii="Arial" w:cs="Arial" w:eastAsia="Arial" w:hAnsi="Arial"/>
                <w:sz w:val="17"/>
                <w:szCs w:val="17"/>
                <w:color w:val="auto"/>
                <w:w w:val="94"/>
              </w:rPr>
            </w:pPr>
            <w:hyperlink w:anchor="page102">
              <w:r>
                <w:rPr>
                  <w:rFonts w:ascii="Arial" w:cs="Arial" w:eastAsia="Arial" w:hAnsi="Arial"/>
                  <w:sz w:val="17"/>
                  <w:szCs w:val="17"/>
                  <w:color w:val="auto"/>
                  <w:w w:val="94"/>
                </w:rPr>
                <w:t>94</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04">
              <w:r>
                <w:rPr>
                  <w:rFonts w:ascii="Arial" w:cs="Arial" w:eastAsia="Arial" w:hAnsi="Arial"/>
                  <w:sz w:val="17"/>
                  <w:szCs w:val="17"/>
                  <w:u w:val="single" w:color="auto"/>
                  <w:color w:val="0000EE"/>
                </w:rPr>
                <w:t>Unaudited Pro Forma Combined and Consolidated Financial Information</w:t>
              </w:r>
            </w:hyperlink>
          </w:p>
        </w:tc>
        <w:tc>
          <w:tcPr>
            <w:tcW w:w="780" w:type="dxa"/>
            <w:vAlign w:val="bottom"/>
          </w:tcPr>
          <w:p>
            <w:pPr>
              <w:jc w:val="center"/>
              <w:spacing w:after="0"/>
              <w:rPr>
                <w:rFonts w:ascii="Arial" w:cs="Arial" w:eastAsia="Arial" w:hAnsi="Arial"/>
                <w:sz w:val="17"/>
                <w:szCs w:val="17"/>
                <w:color w:val="auto"/>
                <w:w w:val="94"/>
              </w:rPr>
            </w:pPr>
            <w:hyperlink w:anchor="page104">
              <w:r>
                <w:rPr>
                  <w:rFonts w:ascii="Arial" w:cs="Arial" w:eastAsia="Arial" w:hAnsi="Arial"/>
                  <w:sz w:val="17"/>
                  <w:szCs w:val="17"/>
                  <w:color w:val="auto"/>
                  <w:w w:val="94"/>
                </w:rPr>
                <w:t>96</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17">
              <w:r>
                <w:rPr>
                  <w:rFonts w:ascii="Arial" w:cs="Arial" w:eastAsia="Arial" w:hAnsi="Arial"/>
                  <w:sz w:val="17"/>
                  <w:szCs w:val="17"/>
                  <w:u w:val="single" w:color="auto"/>
                  <w:color w:val="0000EE"/>
                </w:rPr>
                <w:t>Selected Historical Consolidated Financial Data</w:t>
              </w:r>
            </w:hyperlink>
          </w:p>
        </w:tc>
        <w:tc>
          <w:tcPr>
            <w:tcW w:w="780" w:type="dxa"/>
            <w:vAlign w:val="bottom"/>
          </w:tcPr>
          <w:p>
            <w:pPr>
              <w:jc w:val="center"/>
              <w:spacing w:after="0"/>
              <w:rPr>
                <w:rFonts w:ascii="Arial" w:cs="Arial" w:eastAsia="Arial" w:hAnsi="Arial"/>
                <w:sz w:val="17"/>
                <w:szCs w:val="17"/>
                <w:color w:val="auto"/>
                <w:w w:val="91"/>
              </w:rPr>
            </w:pPr>
            <w:hyperlink w:anchor="page117">
              <w:r>
                <w:rPr>
                  <w:rFonts w:ascii="Arial" w:cs="Arial" w:eastAsia="Arial" w:hAnsi="Arial"/>
                  <w:sz w:val="17"/>
                  <w:szCs w:val="17"/>
                  <w:color w:val="auto"/>
                  <w:w w:val="91"/>
                </w:rPr>
                <w:t>109</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20">
              <w:r>
                <w:rPr>
                  <w:rFonts w:ascii="Arial" w:cs="Arial" w:eastAsia="Arial" w:hAnsi="Arial"/>
                  <w:sz w:val="17"/>
                  <w:szCs w:val="17"/>
                  <w:u w:val="single" w:color="auto"/>
                  <w:color w:val="0000EE"/>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7"/>
                <w:szCs w:val="17"/>
                <w:color w:val="auto"/>
                <w:w w:val="91"/>
              </w:rPr>
            </w:pPr>
            <w:hyperlink w:anchor="page120">
              <w:r>
                <w:rPr>
                  <w:rFonts w:ascii="Arial" w:cs="Arial" w:eastAsia="Arial" w:hAnsi="Arial"/>
                  <w:sz w:val="17"/>
                  <w:szCs w:val="17"/>
                  <w:color w:val="auto"/>
                  <w:w w:val="91"/>
                </w:rPr>
                <w:t>112</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55">
              <w:r>
                <w:rPr>
                  <w:rFonts w:ascii="Arial" w:cs="Arial" w:eastAsia="Arial" w:hAnsi="Arial"/>
                  <w:sz w:val="17"/>
                  <w:szCs w:val="17"/>
                  <w:u w:val="single" w:color="auto"/>
                  <w:color w:val="0000EE"/>
                </w:rPr>
                <w:t>Founder’s Letter</w:t>
              </w:r>
            </w:hyperlink>
          </w:p>
        </w:tc>
        <w:tc>
          <w:tcPr>
            <w:tcW w:w="780" w:type="dxa"/>
            <w:vAlign w:val="bottom"/>
          </w:tcPr>
          <w:p>
            <w:pPr>
              <w:jc w:val="center"/>
              <w:spacing w:after="0"/>
              <w:rPr>
                <w:rFonts w:ascii="Arial" w:cs="Arial" w:eastAsia="Arial" w:hAnsi="Arial"/>
                <w:sz w:val="17"/>
                <w:szCs w:val="17"/>
                <w:color w:val="auto"/>
                <w:w w:val="91"/>
              </w:rPr>
            </w:pPr>
            <w:hyperlink w:anchor="page155">
              <w:r>
                <w:rPr>
                  <w:rFonts w:ascii="Arial" w:cs="Arial" w:eastAsia="Arial" w:hAnsi="Arial"/>
                  <w:sz w:val="17"/>
                  <w:szCs w:val="17"/>
                  <w:color w:val="auto"/>
                  <w:w w:val="91"/>
                </w:rPr>
                <w:t>147</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59">
              <w:r>
                <w:rPr>
                  <w:rFonts w:ascii="Arial" w:cs="Arial" w:eastAsia="Arial" w:hAnsi="Arial"/>
                  <w:sz w:val="17"/>
                  <w:szCs w:val="17"/>
                  <w:u w:val="single" w:color="auto"/>
                  <w:color w:val="0000EE"/>
                </w:rPr>
                <w:t>Business</w:t>
              </w:r>
            </w:hyperlink>
          </w:p>
        </w:tc>
        <w:tc>
          <w:tcPr>
            <w:tcW w:w="780" w:type="dxa"/>
            <w:vAlign w:val="bottom"/>
          </w:tcPr>
          <w:p>
            <w:pPr>
              <w:jc w:val="center"/>
              <w:spacing w:after="0"/>
              <w:rPr>
                <w:rFonts w:ascii="Arial" w:cs="Arial" w:eastAsia="Arial" w:hAnsi="Arial"/>
                <w:sz w:val="17"/>
                <w:szCs w:val="17"/>
                <w:color w:val="auto"/>
                <w:w w:val="91"/>
              </w:rPr>
            </w:pPr>
            <w:hyperlink w:anchor="page159">
              <w:r>
                <w:rPr>
                  <w:rFonts w:ascii="Arial" w:cs="Arial" w:eastAsia="Arial" w:hAnsi="Arial"/>
                  <w:sz w:val="17"/>
                  <w:szCs w:val="17"/>
                  <w:color w:val="auto"/>
                  <w:w w:val="91"/>
                </w:rPr>
                <w:t>151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Management</w:t>
              </w:r>
            </w:hyperlink>
          </w:p>
        </w:tc>
        <w:tc>
          <w:tcPr>
            <w:tcW w:w="780" w:type="dxa"/>
            <w:vAlign w:val="bottom"/>
          </w:tcPr>
          <w:p>
            <w:pPr>
              <w:jc w:val="center"/>
              <w:spacing w:after="0"/>
              <w:rPr>
                <w:rFonts w:ascii="Arial" w:cs="Arial" w:eastAsia="Arial" w:hAnsi="Arial"/>
                <w:sz w:val="17"/>
                <w:szCs w:val="17"/>
                <w:color w:val="auto"/>
                <w:w w:val="91"/>
              </w:rPr>
            </w:pPr>
            <w:hyperlink w:anchor="page178">
              <w:r>
                <w:rPr>
                  <w:rFonts w:ascii="Arial" w:cs="Arial" w:eastAsia="Arial" w:hAnsi="Arial"/>
                  <w:sz w:val="17"/>
                  <w:szCs w:val="17"/>
                  <w:color w:val="auto"/>
                  <w:w w:val="91"/>
                </w:rPr>
                <w:t>170</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Executive Compensation</w:t>
              </w:r>
            </w:hyperlink>
          </w:p>
        </w:tc>
        <w:tc>
          <w:tcPr>
            <w:tcW w:w="780" w:type="dxa"/>
            <w:vAlign w:val="bottom"/>
          </w:tcPr>
          <w:p>
            <w:pPr>
              <w:jc w:val="center"/>
              <w:spacing w:after="0"/>
              <w:rPr>
                <w:rFonts w:ascii="Arial" w:cs="Arial" w:eastAsia="Arial" w:hAnsi="Arial"/>
                <w:sz w:val="17"/>
                <w:szCs w:val="17"/>
                <w:color w:val="auto"/>
                <w:w w:val="91"/>
              </w:rPr>
            </w:pPr>
            <w:hyperlink w:anchor="page184">
              <w:r>
                <w:rPr>
                  <w:rFonts w:ascii="Arial" w:cs="Arial" w:eastAsia="Arial" w:hAnsi="Arial"/>
                  <w:sz w:val="17"/>
                  <w:szCs w:val="17"/>
                  <w:color w:val="auto"/>
                  <w:w w:val="91"/>
                </w:rPr>
                <w:t>176</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01">
              <w:r>
                <w:rPr>
                  <w:rFonts w:ascii="Arial" w:cs="Arial" w:eastAsia="Arial" w:hAnsi="Arial"/>
                  <w:sz w:val="17"/>
                  <w:szCs w:val="17"/>
                  <w:u w:val="single" w:color="auto"/>
                  <w:color w:val="0000EE"/>
                </w:rPr>
                <w:t>Certain Relationships and Related Person Transactions</w:t>
              </w:r>
            </w:hyperlink>
          </w:p>
        </w:tc>
        <w:tc>
          <w:tcPr>
            <w:tcW w:w="780" w:type="dxa"/>
            <w:vAlign w:val="bottom"/>
          </w:tcPr>
          <w:p>
            <w:pPr>
              <w:jc w:val="center"/>
              <w:spacing w:after="0"/>
              <w:rPr>
                <w:rFonts w:ascii="Arial" w:cs="Arial" w:eastAsia="Arial" w:hAnsi="Arial"/>
                <w:sz w:val="17"/>
                <w:szCs w:val="17"/>
                <w:color w:val="auto"/>
                <w:w w:val="91"/>
              </w:rPr>
            </w:pPr>
            <w:hyperlink w:anchor="page201">
              <w:r>
                <w:rPr>
                  <w:rFonts w:ascii="Arial" w:cs="Arial" w:eastAsia="Arial" w:hAnsi="Arial"/>
                  <w:sz w:val="17"/>
                  <w:szCs w:val="17"/>
                  <w:color w:val="auto"/>
                  <w:w w:val="91"/>
                </w:rPr>
                <w:t>193</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08">
              <w:r>
                <w:rPr>
                  <w:rFonts w:ascii="Arial" w:cs="Arial" w:eastAsia="Arial" w:hAnsi="Arial"/>
                  <w:sz w:val="17"/>
                  <w:szCs w:val="17"/>
                  <w:u w:val="single" w:color="auto"/>
                  <w:color w:val="0000EE"/>
                </w:rPr>
                <w:t>Principal Stockholders</w:t>
              </w:r>
            </w:hyperlink>
          </w:p>
        </w:tc>
        <w:tc>
          <w:tcPr>
            <w:tcW w:w="780" w:type="dxa"/>
            <w:vAlign w:val="bottom"/>
          </w:tcPr>
          <w:p>
            <w:pPr>
              <w:jc w:val="center"/>
              <w:spacing w:after="0"/>
              <w:rPr>
                <w:rFonts w:ascii="Arial" w:cs="Arial" w:eastAsia="Arial" w:hAnsi="Arial"/>
                <w:sz w:val="17"/>
                <w:szCs w:val="17"/>
                <w:color w:val="auto"/>
                <w:w w:val="91"/>
              </w:rPr>
            </w:pPr>
            <w:hyperlink w:anchor="page208">
              <w:r>
                <w:rPr>
                  <w:rFonts w:ascii="Arial" w:cs="Arial" w:eastAsia="Arial" w:hAnsi="Arial"/>
                  <w:sz w:val="17"/>
                  <w:szCs w:val="17"/>
                  <w:color w:val="auto"/>
                  <w:w w:val="91"/>
                </w:rPr>
                <w:t>200</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12">
              <w:r>
                <w:rPr>
                  <w:rFonts w:ascii="Arial" w:cs="Arial" w:eastAsia="Arial" w:hAnsi="Arial"/>
                  <w:sz w:val="17"/>
                  <w:szCs w:val="17"/>
                  <w:u w:val="single" w:color="auto"/>
                  <w:color w:val="0000EE"/>
                </w:rPr>
                <w:t>Description of Certain Indebtedness</w:t>
              </w:r>
            </w:hyperlink>
          </w:p>
        </w:tc>
        <w:tc>
          <w:tcPr>
            <w:tcW w:w="780" w:type="dxa"/>
            <w:vAlign w:val="bottom"/>
          </w:tcPr>
          <w:p>
            <w:pPr>
              <w:jc w:val="center"/>
              <w:spacing w:after="0"/>
              <w:rPr>
                <w:rFonts w:ascii="Arial" w:cs="Arial" w:eastAsia="Arial" w:hAnsi="Arial"/>
                <w:sz w:val="17"/>
                <w:szCs w:val="17"/>
                <w:color w:val="auto"/>
                <w:w w:val="91"/>
              </w:rPr>
            </w:pPr>
            <w:hyperlink w:anchor="page212">
              <w:r>
                <w:rPr>
                  <w:rFonts w:ascii="Arial" w:cs="Arial" w:eastAsia="Arial" w:hAnsi="Arial"/>
                  <w:sz w:val="17"/>
                  <w:szCs w:val="17"/>
                  <w:color w:val="auto"/>
                  <w:w w:val="91"/>
                </w:rPr>
                <w:t>204</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16">
              <w:r>
                <w:rPr>
                  <w:rFonts w:ascii="Arial" w:cs="Arial" w:eastAsia="Arial" w:hAnsi="Arial"/>
                  <w:sz w:val="17"/>
                  <w:szCs w:val="17"/>
                  <w:u w:val="single" w:color="auto"/>
                  <w:color w:val="0000EE"/>
                </w:rPr>
                <w:t>Description of Capital Stock</w:t>
              </w:r>
            </w:hyperlink>
          </w:p>
        </w:tc>
        <w:tc>
          <w:tcPr>
            <w:tcW w:w="780" w:type="dxa"/>
            <w:vAlign w:val="bottom"/>
          </w:tcPr>
          <w:p>
            <w:pPr>
              <w:jc w:val="center"/>
              <w:spacing w:after="0"/>
              <w:rPr>
                <w:rFonts w:ascii="Arial" w:cs="Arial" w:eastAsia="Arial" w:hAnsi="Arial"/>
                <w:sz w:val="17"/>
                <w:szCs w:val="17"/>
                <w:color w:val="auto"/>
                <w:w w:val="91"/>
              </w:rPr>
            </w:pPr>
            <w:hyperlink w:anchor="page216">
              <w:r>
                <w:rPr>
                  <w:rFonts w:ascii="Arial" w:cs="Arial" w:eastAsia="Arial" w:hAnsi="Arial"/>
                  <w:sz w:val="17"/>
                  <w:szCs w:val="17"/>
                  <w:color w:val="auto"/>
                  <w:w w:val="91"/>
                </w:rPr>
                <w:t>208</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25">
              <w:r>
                <w:rPr>
                  <w:rFonts w:ascii="Arial" w:cs="Arial" w:eastAsia="Arial" w:hAnsi="Arial"/>
                  <w:sz w:val="17"/>
                  <w:szCs w:val="17"/>
                  <w:u w:val="single" w:color="auto"/>
                  <w:color w:val="0000EE"/>
                </w:rPr>
                <w:t>Certain U.S. Federal Income and Estate Tax Consequences to Non-U.S. Holders</w:t>
              </w:r>
            </w:hyperlink>
          </w:p>
        </w:tc>
        <w:tc>
          <w:tcPr>
            <w:tcW w:w="780" w:type="dxa"/>
            <w:vAlign w:val="bottom"/>
          </w:tcPr>
          <w:p>
            <w:pPr>
              <w:jc w:val="center"/>
              <w:spacing w:after="0"/>
              <w:rPr>
                <w:rFonts w:ascii="Arial" w:cs="Arial" w:eastAsia="Arial" w:hAnsi="Arial"/>
                <w:sz w:val="17"/>
                <w:szCs w:val="17"/>
                <w:color w:val="auto"/>
                <w:w w:val="91"/>
              </w:rPr>
            </w:pPr>
            <w:hyperlink w:anchor="page225">
              <w:r>
                <w:rPr>
                  <w:rFonts w:ascii="Arial" w:cs="Arial" w:eastAsia="Arial" w:hAnsi="Arial"/>
                  <w:sz w:val="17"/>
                  <w:szCs w:val="17"/>
                  <w:color w:val="auto"/>
                  <w:w w:val="91"/>
                </w:rPr>
                <w:t>217</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28">
              <w:r>
                <w:rPr>
                  <w:rFonts w:ascii="Arial" w:cs="Arial" w:eastAsia="Arial" w:hAnsi="Arial"/>
                  <w:sz w:val="17"/>
                  <w:szCs w:val="17"/>
                  <w:u w:val="single" w:color="auto"/>
                  <w:color w:val="0000EE"/>
                </w:rPr>
                <w:t>Shares Eligible for Future Sale</w:t>
              </w:r>
            </w:hyperlink>
          </w:p>
        </w:tc>
        <w:tc>
          <w:tcPr>
            <w:tcW w:w="780" w:type="dxa"/>
            <w:vAlign w:val="bottom"/>
          </w:tcPr>
          <w:p>
            <w:pPr>
              <w:jc w:val="center"/>
              <w:spacing w:after="0"/>
              <w:rPr>
                <w:rFonts w:ascii="Arial" w:cs="Arial" w:eastAsia="Arial" w:hAnsi="Arial"/>
                <w:sz w:val="17"/>
                <w:szCs w:val="17"/>
                <w:color w:val="auto"/>
                <w:w w:val="91"/>
              </w:rPr>
            </w:pPr>
            <w:hyperlink w:anchor="page228">
              <w:r>
                <w:rPr>
                  <w:rFonts w:ascii="Arial" w:cs="Arial" w:eastAsia="Arial" w:hAnsi="Arial"/>
                  <w:sz w:val="17"/>
                  <w:szCs w:val="17"/>
                  <w:color w:val="auto"/>
                  <w:w w:val="91"/>
                </w:rPr>
                <w:t>220</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31">
              <w:r>
                <w:rPr>
                  <w:rFonts w:ascii="Arial" w:cs="Arial" w:eastAsia="Arial" w:hAnsi="Arial"/>
                  <w:sz w:val="17"/>
                  <w:szCs w:val="17"/>
                  <w:u w:val="single" w:color="auto"/>
                  <w:color w:val="0000EE"/>
                </w:rPr>
                <w:t>Underwriting</w:t>
              </w:r>
            </w:hyperlink>
          </w:p>
        </w:tc>
        <w:tc>
          <w:tcPr>
            <w:tcW w:w="780" w:type="dxa"/>
            <w:vAlign w:val="bottom"/>
          </w:tcPr>
          <w:p>
            <w:pPr>
              <w:jc w:val="center"/>
              <w:spacing w:after="0"/>
              <w:rPr>
                <w:rFonts w:ascii="Arial" w:cs="Arial" w:eastAsia="Arial" w:hAnsi="Arial"/>
                <w:sz w:val="17"/>
                <w:szCs w:val="17"/>
                <w:color w:val="auto"/>
                <w:w w:val="91"/>
              </w:rPr>
            </w:pPr>
            <w:hyperlink w:anchor="page231">
              <w:r>
                <w:rPr>
                  <w:rFonts w:ascii="Arial" w:cs="Arial" w:eastAsia="Arial" w:hAnsi="Arial"/>
                  <w:sz w:val="17"/>
                  <w:szCs w:val="17"/>
                  <w:color w:val="auto"/>
                  <w:w w:val="91"/>
                </w:rPr>
                <w:t>223</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39">
              <w:r>
                <w:rPr>
                  <w:rFonts w:ascii="Arial" w:cs="Arial" w:eastAsia="Arial" w:hAnsi="Arial"/>
                  <w:sz w:val="17"/>
                  <w:szCs w:val="17"/>
                  <w:u w:val="single" w:color="auto"/>
                  <w:color w:val="0000EE"/>
                </w:rPr>
                <w:t>Legal Matters</w:t>
              </w:r>
            </w:hyperlink>
          </w:p>
        </w:tc>
        <w:tc>
          <w:tcPr>
            <w:tcW w:w="780" w:type="dxa"/>
            <w:vAlign w:val="bottom"/>
          </w:tcPr>
          <w:p>
            <w:pPr>
              <w:jc w:val="center"/>
              <w:spacing w:after="0"/>
              <w:rPr>
                <w:rFonts w:ascii="Arial" w:cs="Arial" w:eastAsia="Arial" w:hAnsi="Arial"/>
                <w:sz w:val="17"/>
                <w:szCs w:val="17"/>
                <w:color w:val="auto"/>
                <w:w w:val="91"/>
              </w:rPr>
            </w:pPr>
            <w:hyperlink w:anchor="page239">
              <w:r>
                <w:rPr>
                  <w:rFonts w:ascii="Arial" w:cs="Arial" w:eastAsia="Arial" w:hAnsi="Arial"/>
                  <w:sz w:val="17"/>
                  <w:szCs w:val="17"/>
                  <w:color w:val="auto"/>
                  <w:w w:val="91"/>
                </w:rPr>
                <w:t>231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39">
              <w:r>
                <w:rPr>
                  <w:rFonts w:ascii="Arial" w:cs="Arial" w:eastAsia="Arial" w:hAnsi="Arial"/>
                  <w:sz w:val="17"/>
                  <w:szCs w:val="17"/>
                  <w:u w:val="single" w:color="auto"/>
                  <w:color w:val="0000EE"/>
                </w:rPr>
                <w:t>Experts</w:t>
              </w:r>
            </w:hyperlink>
          </w:p>
        </w:tc>
        <w:tc>
          <w:tcPr>
            <w:tcW w:w="780" w:type="dxa"/>
            <w:vAlign w:val="bottom"/>
          </w:tcPr>
          <w:p>
            <w:pPr>
              <w:jc w:val="center"/>
              <w:spacing w:after="0"/>
              <w:rPr>
                <w:rFonts w:ascii="Arial" w:cs="Arial" w:eastAsia="Arial" w:hAnsi="Arial"/>
                <w:sz w:val="17"/>
                <w:szCs w:val="17"/>
                <w:color w:val="auto"/>
                <w:w w:val="91"/>
              </w:rPr>
            </w:pPr>
            <w:hyperlink w:anchor="page239">
              <w:r>
                <w:rPr>
                  <w:rFonts w:ascii="Arial" w:cs="Arial" w:eastAsia="Arial" w:hAnsi="Arial"/>
                  <w:sz w:val="17"/>
                  <w:szCs w:val="17"/>
                  <w:color w:val="auto"/>
                  <w:w w:val="91"/>
                </w:rPr>
                <w:t>231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39">
              <w:r>
                <w:rPr>
                  <w:rFonts w:ascii="Arial" w:cs="Arial" w:eastAsia="Arial" w:hAnsi="Arial"/>
                  <w:sz w:val="17"/>
                  <w:szCs w:val="17"/>
                  <w:u w:val="single" w:color="auto"/>
                  <w:color w:val="0000EE"/>
                </w:rPr>
                <w:t>Where You Can Find More Information</w:t>
              </w:r>
            </w:hyperlink>
          </w:p>
        </w:tc>
        <w:tc>
          <w:tcPr>
            <w:tcW w:w="780" w:type="dxa"/>
            <w:vAlign w:val="bottom"/>
          </w:tcPr>
          <w:p>
            <w:pPr>
              <w:jc w:val="center"/>
              <w:spacing w:after="0"/>
              <w:rPr>
                <w:rFonts w:ascii="Arial" w:cs="Arial" w:eastAsia="Arial" w:hAnsi="Arial"/>
                <w:sz w:val="17"/>
                <w:szCs w:val="17"/>
                <w:color w:val="auto"/>
                <w:w w:val="91"/>
              </w:rPr>
            </w:pPr>
            <w:hyperlink w:anchor="page239">
              <w:r>
                <w:rPr>
                  <w:rFonts w:ascii="Arial" w:cs="Arial" w:eastAsia="Arial" w:hAnsi="Arial"/>
                  <w:sz w:val="17"/>
                  <w:szCs w:val="17"/>
                  <w:color w:val="auto"/>
                  <w:w w:val="91"/>
                </w:rPr>
                <w:t>231</w:t>
              </w:r>
            </w:hyperlink>
          </w:p>
        </w:tc>
      </w:tr>
      <w:tr>
        <w:trPr>
          <w:trHeight w:val="262"/>
        </w:trPr>
        <w:tc>
          <w:tcPr>
            <w:tcW w:w="10420" w:type="dxa"/>
            <w:vAlign w:val="bottom"/>
            <w:gridSpan w:val="3"/>
          </w:tcPr>
          <w:p>
            <w:pPr>
              <w:spacing w:after="0"/>
              <w:rPr>
                <w:rFonts w:ascii="Arial" w:cs="Arial" w:eastAsia="Arial" w:hAnsi="Arial"/>
                <w:sz w:val="17"/>
                <w:szCs w:val="17"/>
                <w:u w:val="single" w:color="auto"/>
                <w:color w:val="0000EE"/>
              </w:rPr>
            </w:pPr>
            <w:hyperlink w:anchor="page240">
              <w:r>
                <w:rPr>
                  <w:rFonts w:ascii="Arial" w:cs="Arial" w:eastAsia="Arial" w:hAnsi="Arial"/>
                  <w:sz w:val="17"/>
                  <w:szCs w:val="17"/>
                  <w:u w:val="single" w:color="auto"/>
                  <w:color w:val="0000EE"/>
                </w:rPr>
                <w:t>Index to Financial Statements</w:t>
              </w:r>
            </w:hyperlink>
          </w:p>
        </w:tc>
        <w:tc>
          <w:tcPr>
            <w:tcW w:w="780" w:type="dxa"/>
            <w:vAlign w:val="bottom"/>
          </w:tcPr>
          <w:p>
            <w:pPr>
              <w:jc w:val="right"/>
              <w:ind w:right="173"/>
              <w:spacing w:after="0"/>
              <w:rPr>
                <w:rFonts w:ascii="Arial" w:cs="Arial" w:eastAsia="Arial" w:hAnsi="Arial"/>
                <w:sz w:val="17"/>
                <w:szCs w:val="17"/>
                <w:color w:val="auto"/>
              </w:rPr>
            </w:pPr>
            <w:hyperlink w:anchor="page240">
              <w:r>
                <w:rPr>
                  <w:rFonts w:ascii="Arial" w:cs="Arial" w:eastAsia="Arial" w:hAnsi="Arial"/>
                  <w:sz w:val="17"/>
                  <w:szCs w:val="17"/>
                  <w:color w:val="auto"/>
                </w:rPr>
                <w:t>F-1</w:t>
              </w:r>
            </w:hyperlink>
          </w:p>
        </w:tc>
      </w:tr>
      <w:tr>
        <w:trPr>
          <w:trHeight w:val="210"/>
        </w:trPr>
        <w:tc>
          <w:tcPr>
            <w:tcW w:w="332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63"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You should rely only on the information contained in this prospectus, any amendment or supplement to this prospectus, or any free writing prospectus we may authorize to be delivered or made available to you. This prospectus is an offer to sell only the shares offered hereby, but only under the circumstances and in jurisdictions where it is lawful to do so. Neither we nor the underwriters have authorized anyone to provide you with information different from that contained in this prospectus, any amendment or supplement to this prospectus, or any free writing prospectus prepared by us or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on our behalf. The information in this prospectus, any amendment or supplement to this prospectus, or any applicable free writing prospectus is accurate only as of its date, regardless of the time of delivery of this prospectus, any amendment or supplement to this prospectus, or any applicable free writing prospectus, as applicable, or any sale of shares of our Class A common stock. Our business, financial condition, results of operations, and prospects may have changed since that date.</w:t>
      </w:r>
    </w:p>
    <w:p>
      <w:pPr>
        <w:spacing w:after="0" w:line="112"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b w:val="1"/>
          <w:bCs w:val="1"/>
          <w:color w:val="auto"/>
        </w:rPr>
        <w:t>For Investors Outside the United States</w:t>
      </w:r>
      <w:r>
        <w:rPr>
          <w:rFonts w:ascii="Arial" w:cs="Arial" w:eastAsia="Arial" w:hAnsi="Arial"/>
          <w:sz w:val="17"/>
          <w:szCs w:val="17"/>
          <w:color w:val="auto"/>
        </w:rPr>
        <w:t>: We and the underwriters are offering to sell, and seeking offers to buy, shares of our Class A common stock only</w:t>
      </w:r>
      <w:r>
        <w:rPr>
          <w:rFonts w:ascii="Arial" w:cs="Arial" w:eastAsia="Arial" w:hAnsi="Arial"/>
          <w:sz w:val="17"/>
          <w:szCs w:val="17"/>
          <w:b w:val="1"/>
          <w:bCs w:val="1"/>
          <w:color w:val="auto"/>
        </w:rPr>
        <w:t xml:space="preserve"> </w:t>
      </w:r>
      <w:r>
        <w:rPr>
          <w:rFonts w:ascii="Arial" w:cs="Arial" w:eastAsia="Arial" w:hAnsi="Arial"/>
          <w:sz w:val="17"/>
          <w:szCs w:val="17"/>
          <w:color w:val="auto"/>
        </w:rPr>
        <w:t>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1240"/>
          </w:cols>
          <w:pgMar w:left="320" w:top="33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About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Presentation</w:t>
      </w:r>
    </w:p>
    <w:p>
      <w:pPr>
        <w:spacing w:after="0" w:line="17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This prospectus includes certain historical combined and consolidated financial and other data for ZoomInfo OpCo. 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of ZoomInfo OpCo through ZoomInfo HoldCo and, through ZoomInfo OpCo and its subsidiaries, conduct our business. 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on its consolidated financial statements and record a non-controlling interest related to the OpCo Units and HoldCo Units held by our pre-IPO owners (as defined below) on its consolidated balance sheet and statement of operations.</w:t>
      </w:r>
    </w:p>
    <w:p>
      <w:pPr>
        <w:spacing w:after="0" w:line="130"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Zoom Information, Inc. (“Pre-Acquisition ZI”). Pre-Acquisition ZI was a leading provider of company and contact information to sales and marketing professionals. The Zoom Information Acquisition (as defined below)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periods prior to the Zoom Information Acquisition may not be comparable to those for the periods after the Zoom Information Acquisition.</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Definitions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71" w:lineRule="exact"/>
        <w:rPr>
          <w:sz w:val="20"/>
          <w:szCs w:val="20"/>
          <w:color w:val="auto"/>
        </w:rPr>
      </w:pPr>
    </w:p>
    <w:p>
      <w:pPr>
        <w:ind w:left="640" w:hanging="321"/>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and its predecessor.</w:t>
      </w:r>
    </w:p>
    <w:p>
      <w:pPr>
        <w:spacing w:after="0" w:line="14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“ACV” refers to annual contract value, or the total annualized value that a customer has agreed to pay for subscription services at any particular point in time under contract(s) that are or were enforceable at that point in time.</w:t>
      </w:r>
    </w:p>
    <w:p>
      <w:pPr>
        <w:spacing w:after="0" w:line="79" w:lineRule="exact"/>
        <w:rPr>
          <w:rFonts w:ascii="Arial" w:cs="Arial" w:eastAsia="Arial" w:hAnsi="Arial"/>
          <w:sz w:val="17"/>
          <w:szCs w:val="17"/>
          <w:color w:val="auto"/>
        </w:rPr>
      </w:pPr>
    </w:p>
    <w:p>
      <w:pPr>
        <w:ind w:left="640" w:hanging="32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“Blocker Companies” refers to certain of our Pre-IPO OpCo Unitholders that are taxable as corporations for U.S. federal income tax purposes.</w:t>
      </w:r>
    </w:p>
    <w:p>
      <w:pPr>
        <w:spacing w:after="0" w:line="156" w:lineRule="exact"/>
        <w:rPr>
          <w:rFonts w:ascii="Arial" w:cs="Arial" w:eastAsia="Arial" w:hAnsi="Arial"/>
          <w:sz w:val="16"/>
          <w:szCs w:val="16"/>
          <w:color w:val="auto"/>
        </w:rPr>
      </w:pPr>
    </w:p>
    <w:p>
      <w:pPr>
        <w:jc w:val="both"/>
        <w:ind w:left="640" w:hanging="321"/>
        <w:spacing w:after="0" w:line="297"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our adjusted sales and marketing expense, which excludes expenses that are non-cash or one-time in nature, including equity compensation costs, amortization related to acquired technology, and acquisition-related integration and compensation expenses, divided by (ii) the number of new customers added during the period.</w:t>
      </w:r>
    </w:p>
    <w:p>
      <w:pPr>
        <w:spacing w:after="0" w:line="76" w:lineRule="exact"/>
        <w:rPr>
          <w:rFonts w:ascii="Arial" w:cs="Arial" w:eastAsia="Arial" w:hAnsi="Arial"/>
          <w:sz w:val="16"/>
          <w:szCs w:val="16"/>
          <w:color w:val="auto"/>
        </w:rPr>
      </w:pPr>
    </w:p>
    <w:p>
      <w:pPr>
        <w:ind w:left="640" w:hanging="321"/>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“Carlyle” refers to investment funds associated with The Carlyle Group.</w:t>
      </w:r>
    </w:p>
    <w:p>
      <w:pPr>
        <w:spacing w:after="0" w:line="14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“Class P Units” refers to Class P Units (including, without limitation, any indirectly held Class P Units) of ZoomInfo OpCo. The Class P Units are “profits interests” having economic characteristics similar to stock options and have the right to share in any equity value of ZoomInfo OpCo above specified participation thresholds which are referred to as “strike prices” in this prospectus.</w:t>
      </w:r>
    </w:p>
    <w:p>
      <w:pPr>
        <w:spacing w:after="0" w:line="92"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“Continuing Class P Unitholders” refers to certain pre-IPO owners who will continue to hold Class P Units following the consummation of the Reorganization Transactions and the Offering Transactions.</w:t>
      </w:r>
    </w:p>
    <w:p>
      <w:pPr>
        <w:spacing w:after="0" w:line="79" w:lineRule="exact"/>
        <w:rPr>
          <w:rFonts w:ascii="Arial" w:cs="Arial" w:eastAsia="Arial" w:hAnsi="Arial"/>
          <w:sz w:val="17"/>
          <w:szCs w:val="17"/>
          <w:color w:val="auto"/>
        </w:rPr>
      </w:pPr>
    </w:p>
    <w:p>
      <w:pPr>
        <w:ind w:left="640" w:hanging="321"/>
        <w:spacing w:after="0"/>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“contact record event” refers to receipt of additional information or confirmatory evidence about a contact.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240"/>
          </w:cols>
          <w:pgMar w:left="320" w:top="331" w:right="339" w:bottom="1440" w:gutter="0" w:footer="0" w:header="0"/>
        </w:sectPr>
      </w:pPr>
    </w:p>
    <w:bookmarkStart w:id="6" w:name="page7"/>
    <w:bookmarkEnd w:id="6"/>
    <w:p>
      <w:pPr>
        <w:ind w:left="321" w:hanging="321"/>
        <w:spacing w:after="0" w:line="322"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“customers”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56" w:lineRule="exact"/>
        <w:rPr>
          <w:rFonts w:ascii="Arial" w:cs="Arial" w:eastAsia="Arial" w:hAnsi="Arial"/>
          <w:sz w:val="16"/>
          <w:szCs w:val="16"/>
          <w:color w:val="auto"/>
        </w:rPr>
      </w:pPr>
    </w:p>
    <w:p>
      <w:pPr>
        <w:ind w:left="321" w:hanging="321"/>
        <w:spacing w:after="0"/>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“Datanyze” refers, collectively, to Datanyze, Inc. and Datanyze Rus, LLC.</w:t>
      </w:r>
    </w:p>
    <w:p>
      <w:pPr>
        <w:spacing w:after="0" w:line="14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“existing owners” or “pre-IPO owners” refer, collectively, to the Sponsors, the Founders, and the management and other equity holders who are the owners of ZoomInfo OpCo immediately prior to the Transactions (as defined herein).</w:t>
      </w:r>
    </w:p>
    <w:p>
      <w:pPr>
        <w:spacing w:after="0" w:line="79"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“Employee Units” refers to the portion of HoldCo Units into which certain existing Class P Units (including, without limitation, certain indirectly held Class P Units) will be converted in the Reorganization Transactions.</w:t>
      </w:r>
    </w:p>
    <w:p>
      <w:pPr>
        <w:spacing w:after="0" w:line="105" w:lineRule="exact"/>
        <w:rPr>
          <w:rFonts w:ascii="Arial" w:cs="Arial" w:eastAsia="Arial" w:hAnsi="Arial"/>
          <w:sz w:val="17"/>
          <w:szCs w:val="17"/>
          <w:color w:val="auto"/>
        </w:rPr>
      </w:pPr>
    </w:p>
    <w:p>
      <w:pPr>
        <w:ind w:left="321" w:hanging="321"/>
        <w:spacing w:after="0"/>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“Exchange Tax Receivable Agreement” refers to the tax receivable agreement entered into with certain Pre-IPO OpCo Unitholders.</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“Founders” refers to Henry Schuck, our Chief Executive Officer, and Kirk Brown.</w:t>
      </w:r>
    </w:p>
    <w:p>
      <w:pPr>
        <w:spacing w:after="0" w:line="14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“HoldCo Units” refers to the new class of units of ZoomInfo HoldCo created by the Reclassification. Each OpCo Unit and HoldCo Unit will have equivalent value and exchange rights for Class A common stock, subject to applicable vesting.</w:t>
      </w:r>
    </w:p>
    <w:p>
      <w:pPr>
        <w:spacing w:after="0" w:line="79"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“HSKB” refers to HSKB Funds, LLC, a privately held limited liability company formed on February 9, 2016 for the purpose of issuing equity to certain persons who had performed and would continue to perform services for ZoomInfo OpCo.</w:t>
      </w:r>
    </w:p>
    <w:p>
      <w:pPr>
        <w:spacing w:after="0" w:line="79" w:lineRule="exact"/>
        <w:rPr>
          <w:rFonts w:ascii="Arial" w:cs="Arial" w:eastAsia="Arial" w:hAnsi="Arial"/>
          <w:sz w:val="17"/>
          <w:szCs w:val="17"/>
          <w:color w:val="auto"/>
        </w:rPr>
      </w:pPr>
    </w:p>
    <w:p>
      <w:pPr>
        <w:jc w:val="both"/>
        <w:ind w:left="321" w:hanging="321"/>
        <w:spacing w:after="0" w:line="289"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“LTIP Units” refers to a class of partnership units that are intended to qualify as “profit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w:t>
      </w:r>
    </w:p>
    <w:p>
      <w:pPr>
        <w:spacing w:after="0" w:line="83" w:lineRule="exact"/>
        <w:rPr>
          <w:rFonts w:ascii="Arial" w:cs="Arial" w:eastAsia="Arial" w:hAnsi="Arial"/>
          <w:sz w:val="16"/>
          <w:szCs w:val="16"/>
          <w:color w:val="auto"/>
        </w:rPr>
      </w:pPr>
    </w:p>
    <w:p>
      <w:pPr>
        <w:jc w:val="both"/>
        <w:ind w:left="321" w:hanging="321"/>
        <w:spacing w:after="0" w:line="285" w:lineRule="auto"/>
        <w:tabs>
          <w:tab w:leader="none" w:pos="321" w:val="left"/>
        </w:tabs>
        <w:numPr>
          <w:ilvl w:val="0"/>
          <w:numId w:val="2"/>
        </w:numPr>
        <w:rPr>
          <w:rFonts w:ascii="Arial" w:cs="Arial" w:eastAsia="Arial" w:hAnsi="Arial"/>
          <w:sz w:val="16"/>
          <w:szCs w:val="16"/>
          <w:color w:val="auto"/>
        </w:rPr>
      </w:pPr>
      <w:r>
        <w:rPr>
          <w:rFonts w:ascii="Arial" w:cs="Arial" w:eastAsia="Arial" w:hAnsi="Arial"/>
          <w:sz w:val="16"/>
          <w:szCs w:val="16"/>
          <w:color w:val="auto"/>
        </w:rPr>
        <w:t>“LTV” refers to lifetime value, or the value that we expect to generate from a customer during the period that the customer continues to use our services. We calculate LTV as the product of (i) our average ACV per customer, multiplied by (ii) our adjusted gross margin, which excludes expenses that are non-cash or one-time in nature, including equity compensation costs, amortization related to acquired technology, and acquisition-related integration and compensation expenses, multiplied by (iii) the fraction that is one divided by the annual rate that customers cancel subscriptions, which is defined as the percentage of ACV for customers that cancel during the period divided by the ACV at the beginning of the period.</w:t>
      </w:r>
    </w:p>
    <w:p>
      <w:pPr>
        <w:spacing w:after="0" w:line="86" w:lineRule="exact"/>
        <w:rPr>
          <w:rFonts w:ascii="Arial" w:cs="Arial" w:eastAsia="Arial" w:hAnsi="Arial"/>
          <w:sz w:val="16"/>
          <w:szCs w:val="16"/>
          <w:color w:val="auto"/>
        </w:rPr>
      </w:pPr>
    </w:p>
    <w:p>
      <w:pPr>
        <w:ind w:left="321" w:hanging="321"/>
        <w:spacing w:after="0"/>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“NeverBounce” refers to Metrics Delivered LLC.</w:t>
      </w:r>
    </w:p>
    <w:p>
      <w:pPr>
        <w:spacing w:after="0" w:line="14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“OpCo Units” refers to the new class of units of ZoomInfo OpCo created by the Reclassification, and does not include Class P Units. Each OpCo Unit and HoldCo Unit will have equivalent value and exchange rights for Class A common stock, subject to applicable vesting.</w:t>
      </w:r>
    </w:p>
    <w:p>
      <w:pPr>
        <w:spacing w:after="0" w:line="79"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“paid users” refers to employees or other affiliated persons of a customer that have been granted access to our system under the terms of a contract with a customer.</w:t>
      </w:r>
    </w:p>
    <w:p>
      <w:pPr>
        <w:spacing w:after="0" w:line="79"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“Pre-IPO Blocker Holders” refers to the pre-IPO owners that hold their interests in us through the Blocker Companies immediately prior to the consummation of this offering.</w:t>
      </w:r>
    </w:p>
    <w:p>
      <w:pPr>
        <w:spacing w:after="0" w:line="79" w:lineRule="exact"/>
        <w:rPr>
          <w:rFonts w:ascii="Arial" w:cs="Arial" w:eastAsia="Arial" w:hAnsi="Arial"/>
          <w:sz w:val="17"/>
          <w:szCs w:val="17"/>
          <w:color w:val="auto"/>
        </w:rPr>
      </w:pPr>
    </w:p>
    <w:p>
      <w:pPr>
        <w:ind w:left="321" w:hanging="321"/>
        <w:spacing w:after="0"/>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“Pre-IPO HoldCo Unitholders” refers to the pre-IPO owners that hold HoldCo Units immediately prior to the consummation of this offering.</w:t>
      </w:r>
    </w:p>
    <w:p>
      <w:pPr>
        <w:spacing w:after="0" w:line="145" w:lineRule="exact"/>
        <w:rPr>
          <w:rFonts w:ascii="Arial" w:cs="Arial" w:eastAsia="Arial" w:hAnsi="Arial"/>
          <w:sz w:val="17"/>
          <w:szCs w:val="17"/>
          <w:color w:val="auto"/>
        </w:rPr>
      </w:pPr>
    </w:p>
    <w:p>
      <w:pPr>
        <w:ind w:left="321" w:hanging="321"/>
        <w:spacing w:after="0"/>
        <w:tabs>
          <w:tab w:leader="none" w:pos="321"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“Pre-IPO OpCo Unitholders” refers to the pre-IPO owners that hold OpCo Units immediately prior to the consummation of this offering.</w:t>
      </w: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921"/>
          </w:cols>
          <w:pgMar w:left="639" w:top="337" w:right="339" w:bottom="1440" w:gutter="0" w:footer="0" w:header="0"/>
        </w:sectPr>
      </w:pPr>
    </w:p>
    <w:bookmarkStart w:id="7" w:name="page8"/>
    <w:bookmarkEnd w:id="7"/>
    <w:p>
      <w:pPr>
        <w:ind w:left="321" w:hanging="321"/>
        <w:spacing w:after="0"/>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“RainKing” refers to Rain King Software, Inc.</w:t>
      </w:r>
    </w:p>
    <w:p>
      <w:pPr>
        <w:spacing w:after="0" w:line="145" w:lineRule="exact"/>
        <w:rPr>
          <w:rFonts w:ascii="Arial" w:cs="Arial" w:eastAsia="Arial" w:hAnsi="Arial"/>
          <w:sz w:val="17"/>
          <w:szCs w:val="17"/>
          <w:color w:val="auto"/>
        </w:rPr>
      </w:pPr>
    </w:p>
    <w:p>
      <w:pPr>
        <w:ind w:left="321" w:hanging="321"/>
        <w:spacing w:after="0"/>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“Reorganization Tax Receivable Agreement” refers to the tax receivable agreement entered into with the Pre-IPO Blocker Holders.</w:t>
      </w:r>
    </w:p>
    <w:p>
      <w:pPr>
        <w:spacing w:after="0" w:line="171"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“Series A Preferred Units” refers to the Series A preferred units of ZoomInfo OpCo outstanding immediately prior to the consummation of this offering and the use of proceeds therefrom.</w:t>
      </w:r>
    </w:p>
    <w:p>
      <w:pPr>
        <w:spacing w:after="0" w:line="79" w:lineRule="exact"/>
        <w:rPr>
          <w:rFonts w:ascii="Arial" w:cs="Arial" w:eastAsia="Arial" w:hAnsi="Arial"/>
          <w:sz w:val="17"/>
          <w:szCs w:val="17"/>
          <w:color w:val="auto"/>
        </w:rPr>
      </w:pPr>
    </w:p>
    <w:p>
      <w:pPr>
        <w:ind w:left="321" w:hanging="321"/>
        <w:spacing w:after="0"/>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“Sponsors” refers, collectively, to TA Associates, Carlyle, and 22C Capital.</w:t>
      </w:r>
    </w:p>
    <w:p>
      <w:pPr>
        <w:spacing w:after="0" w:line="145" w:lineRule="exact"/>
        <w:rPr>
          <w:rFonts w:ascii="Arial" w:cs="Arial" w:eastAsia="Arial" w:hAnsi="Arial"/>
          <w:sz w:val="17"/>
          <w:szCs w:val="17"/>
          <w:color w:val="auto"/>
        </w:rPr>
      </w:pPr>
    </w:p>
    <w:p>
      <w:pPr>
        <w:ind w:left="321" w:hanging="321"/>
        <w:spacing w:after="0"/>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“TA Associates” refers to investment funds associated with TA Associates.</w:t>
      </w:r>
    </w:p>
    <w:p>
      <w:pPr>
        <w:spacing w:after="0" w:line="145" w:lineRule="exact"/>
        <w:rPr>
          <w:rFonts w:ascii="Arial" w:cs="Arial" w:eastAsia="Arial" w:hAnsi="Arial"/>
          <w:sz w:val="17"/>
          <w:szCs w:val="17"/>
          <w:color w:val="auto"/>
        </w:rPr>
      </w:pPr>
    </w:p>
    <w:p>
      <w:pPr>
        <w:ind w:left="321" w:hanging="321"/>
        <w:spacing w:after="0"/>
        <w:tabs>
          <w:tab w:leader="none" w:pos="321" w:val="left"/>
        </w:tabs>
        <w:numPr>
          <w:ilvl w:val="0"/>
          <w:numId w:val="3"/>
        </w:numPr>
        <w:rPr>
          <w:rFonts w:ascii="Arial" w:cs="Arial" w:eastAsia="Arial" w:hAnsi="Arial"/>
          <w:sz w:val="16"/>
          <w:szCs w:val="16"/>
          <w:color w:val="auto"/>
        </w:rPr>
      </w:pPr>
      <w:r>
        <w:rPr>
          <w:rFonts w:ascii="Arial" w:cs="Arial" w:eastAsia="Arial" w:hAnsi="Arial"/>
          <w:sz w:val="16"/>
          <w:szCs w:val="16"/>
          <w:color w:val="auto"/>
        </w:rPr>
        <w:t>“tax receivable agreements” refers, collectively, to the Exchange Tax Receivable Agreement and the Reorganization Tax Receivable Agreement.</w:t>
      </w:r>
    </w:p>
    <w:p>
      <w:pPr>
        <w:spacing w:after="0" w:line="182" w:lineRule="exact"/>
        <w:rPr>
          <w:rFonts w:ascii="Arial" w:cs="Arial" w:eastAsia="Arial" w:hAnsi="Arial"/>
          <w:sz w:val="16"/>
          <w:szCs w:val="16"/>
          <w:color w:val="auto"/>
        </w:rPr>
      </w:pPr>
    </w:p>
    <w:p>
      <w:pPr>
        <w:jc w:val="both"/>
        <w:ind w:left="321" w:hanging="321"/>
        <w:spacing w:after="0" w:line="262" w:lineRule="auto"/>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“total addressable market” or “TAM” refers to the revenue opportunity that we believe is available to go-to-market intelligence solutions, such as ours. We calculate our TAM as the sum of (i) the product of (a) the number of specifically identified companies in our system with 10 to 99 employees and who sell to other businesses, multiplied by (b) the average ACV that we generate from companies with 10 to 99 employees, plus (ii) the product of (a) the number of specifically identified companies in our system with 100 to 999 employees and who sell to other businesses, multiplied by (b) the average ACV that we generate from companies with 100 to 999 employees, plus (iii) the product of (a) the number of specifically identified companies in our system with 1,000 or more employees, multiplied by (b) the average ACV that we generated from the top quartile of customers with 1,000 or more employees.</w:t>
      </w:r>
    </w:p>
    <w:p>
      <w:pPr>
        <w:spacing w:after="0" w:line="104" w:lineRule="exact"/>
        <w:rPr>
          <w:rFonts w:ascii="Arial" w:cs="Arial" w:eastAsia="Arial" w:hAnsi="Arial"/>
          <w:sz w:val="17"/>
          <w:szCs w:val="17"/>
          <w:color w:val="auto"/>
        </w:rPr>
      </w:pPr>
    </w:p>
    <w:p>
      <w:pPr>
        <w:jc w:val="both"/>
        <w:ind w:left="321" w:hanging="321"/>
        <w:spacing w:after="0" w:line="273" w:lineRule="auto"/>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“ZoomInfo,” the “Company,” “we,” “us,” and “our” refer, (1) prior to the consummation of the Reorganization Transactions and the Offering Transactions, to ZoomInfo OpCo and its consolidated subsidiaries and, (2) after the consummation of the Reorganization Transactions and the Offering Transactions, to ZoomInfo Technologies Inc. and its consolidated subsidiaries.</w:t>
      </w:r>
    </w:p>
    <w:p>
      <w:pPr>
        <w:spacing w:after="0" w:line="92"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“ZoomInfo HoldCo” refers to ZoomInfo Intermediate Holdings LLC, a Delaware limited liability company, and a direct subsidiary of ZoomInfo Technologies Inc. following the Reorganization Transactions.</w:t>
      </w:r>
    </w:p>
    <w:p>
      <w:pPr>
        <w:spacing w:after="0" w:line="79"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3"/>
        </w:numPr>
        <w:rPr>
          <w:rFonts w:ascii="Arial" w:cs="Arial" w:eastAsia="Arial" w:hAnsi="Arial"/>
          <w:sz w:val="17"/>
          <w:szCs w:val="17"/>
          <w:color w:val="auto"/>
        </w:rPr>
      </w:pPr>
      <w:r>
        <w:rPr>
          <w:rFonts w:ascii="Arial" w:cs="Arial" w:eastAsia="Arial" w:hAnsi="Arial"/>
          <w:sz w:val="17"/>
          <w:szCs w:val="17"/>
          <w:color w:val="auto"/>
        </w:rPr>
        <w:t>“ZoomInfo OpCo” refers to ZoomInfo Holdings LLC (formerly known as DiscoverOrg Holdings, LLC), a Delaware limited liability company, and a direct subsidiary of ZoomInfo HoldCo and indirect subsidiary of ZoomInfo Technologies Inc. following the Reorganization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141605</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
        <w:spacing w:after="0"/>
        <w:rPr>
          <w:sz w:val="20"/>
          <w:szCs w:val="20"/>
          <w:color w:val="auto"/>
        </w:rPr>
      </w:pPr>
      <w:r>
        <w:rPr>
          <w:rFonts w:ascii="Arial" w:cs="Arial" w:eastAsia="Arial" w:hAnsi="Arial"/>
          <w:sz w:val="17"/>
          <w:szCs w:val="17"/>
          <w:color w:val="auto"/>
        </w:rPr>
        <w:t>Unless indicated otherwise, the information included in this prospectus assumes the following:</w:t>
      </w:r>
    </w:p>
    <w:p>
      <w:pPr>
        <w:spacing w:after="0" w:line="171" w:lineRule="exact"/>
        <w:rPr>
          <w:sz w:val="20"/>
          <w:szCs w:val="20"/>
          <w:color w:val="auto"/>
        </w:rPr>
      </w:pPr>
    </w:p>
    <w:p>
      <w:pPr>
        <w:ind w:left="321" w:hanging="321"/>
        <w:spacing w:after="0" w:line="289" w:lineRule="auto"/>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an additional 6,675,000 shares of Class A common stock from us solely to cover over-allotments; and</w:t>
      </w:r>
    </w:p>
    <w:p>
      <w:pPr>
        <w:spacing w:after="0" w:line="105" w:lineRule="exact"/>
        <w:rPr>
          <w:rFonts w:ascii="Arial" w:cs="Arial" w:eastAsia="Arial" w:hAnsi="Arial"/>
          <w:sz w:val="17"/>
          <w:szCs w:val="17"/>
          <w:color w:val="auto"/>
        </w:rPr>
      </w:pPr>
    </w:p>
    <w:p>
      <w:pPr>
        <w:ind w:left="321" w:hanging="321"/>
        <w:spacing w:after="0"/>
        <w:tabs>
          <w:tab w:leader="none" w:pos="321" w:val="left"/>
        </w:tabs>
        <w:numPr>
          <w:ilvl w:val="0"/>
          <w:numId w:val="4"/>
        </w:numPr>
        <w:rPr>
          <w:rFonts w:ascii="Arial" w:cs="Arial" w:eastAsia="Arial" w:hAnsi="Arial"/>
          <w:sz w:val="17"/>
          <w:szCs w:val="17"/>
          <w:color w:val="auto"/>
        </w:rPr>
      </w:pPr>
      <w:r>
        <w:rPr>
          <w:rFonts w:ascii="Arial" w:cs="Arial" w:eastAsia="Arial" w:hAnsi="Arial"/>
          <w:sz w:val="17"/>
          <w:szCs w:val="17"/>
          <w:color w:val="auto"/>
        </w:rPr>
        <w:t>a four-for-one reverse unit split by ZoomInfo OpCo.</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921"/>
          </w:cols>
          <w:pgMar w:left="639"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4420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4420870"/>
                    </a:xfrm>
                    <a:prstGeom prst="rect">
                      <a:avLst/>
                    </a:prstGeom>
                    <a:noFill/>
                  </pic:spPr>
                </pic:pic>
              </a:graphicData>
            </a:graphic>
          </wp:anchor>
        </w:drawing>
        <w:t>SUMMARY</w:t>
      </w:r>
    </w:p>
    <w:p>
      <w:pPr>
        <w:spacing w:after="0" w:line="177" w:lineRule="exact"/>
        <w:rPr>
          <w:sz w:val="20"/>
          <w:szCs w:val="20"/>
          <w:color w:val="auto"/>
        </w:rPr>
      </w:pPr>
    </w:p>
    <w:p>
      <w:pPr>
        <w:jc w:val="both"/>
        <w:ind w:right="20" w:firstLine="314"/>
        <w:spacing w:after="0" w:line="265"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shares of our Class A common stock. Before you decide to invest in shares of our Class A common stock, you should read this entire prospectus carefully, including the sections entitled “Risk Factors” and “Management’s Discussion and Analysis of Financial Condition and Results of Operations” and our consolidated financial statements and the related notes thereto included elsewhere in this prospectus. This summary contains forward-looking statements that involve risks and uncertainties.</w:t>
      </w:r>
    </w:p>
    <w:p>
      <w:pPr>
        <w:spacing w:after="0" w:line="120"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Overview</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03" w:lineRule="exact"/>
        <w:rPr>
          <w:sz w:val="20"/>
          <w:szCs w:val="20"/>
          <w:color w:val="auto"/>
        </w:rPr>
      </w:pPr>
    </w:p>
    <w:p>
      <w:pPr>
        <w:jc w:val="both"/>
        <w:ind w:right="20" w:firstLine="314"/>
        <w:spacing w:after="0" w:line="289" w:lineRule="auto"/>
        <w:rPr>
          <w:sz w:val="20"/>
          <w:szCs w:val="20"/>
          <w:color w:val="auto"/>
        </w:rPr>
      </w:pPr>
      <w:r>
        <w:rPr>
          <w:rFonts w:ascii="Arial" w:cs="Arial" w:eastAsia="Arial" w:hAnsi="Arial"/>
          <w:sz w:val="16"/>
          <w:szCs w:val="16"/>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0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Today, approximately 202,000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go-to-market intelligence platform delivers comprehensive and high-quality intelligence and analytics on approximately 14 million companies, including advanced attributes, technologies used by companies, intent signals, and decision-maker contact information. Our intelligence is kept up to date in real time.</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By leveraging artificial intelligence (“AI”) and machine learning techniques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60"/>
          </w:cols>
          <w:pgMar w:left="820" w:top="658" w:right="819" w:bottom="1440" w:gutter="0" w:footer="0" w:header="0"/>
        </w:sectPr>
      </w:pPr>
    </w:p>
    <w:bookmarkStart w:id="9" w:name="page10"/>
    <w:bookmarkEnd w:id="9"/>
    <w:p>
      <w:pPr>
        <w:jc w:val="both"/>
        <w:ind w:firstLine="314"/>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93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0575" cy="6932930"/>
                    </a:xfrm>
                    <a:prstGeom prst="rect">
                      <a:avLst/>
                    </a:prstGeom>
                    <a:noFill/>
                  </pic:spPr>
                </pic:pic>
              </a:graphicData>
            </a:graphic>
          </wp:anchor>
        </w:drawing>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Independent of size or industry, we believe our platform can make almost any sales and marketing team more effective and more efficient.</w:t>
      </w:r>
    </w:p>
    <w:p>
      <w:pPr>
        <w:spacing w:after="0" w:line="18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This broad applicability drives our TAM of approximately $24 billion, according to our estimates. Using the ZoomInfo platform, we have identified over 740,000 global businesses that sell to other businesses and have more than ten employees, which represent our potential customers. Our current customer base of over 15,000 implies penetration of approximately 2%.</w:t>
      </w:r>
    </w:p>
    <w:p>
      <w:pPr>
        <w:spacing w:after="0" w:line="11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March 31,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630 of our customers spend more than $100,000 in ACV, with 15 customers spending over $1,000,000 in ACV.</w:t>
      </w:r>
    </w:p>
    <w:p>
      <w:pPr>
        <w:spacing w:after="0" w:line="130"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$54.6 million and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60"/>
          </w:cols>
          <w:pgMar w:left="820" w:top="664" w:right="819" w:bottom="1440" w:gutter="0" w:footer="0" w:header="0"/>
        </w:sectPr>
      </w:pPr>
    </w:p>
    <w:bookmarkStart w:id="10" w:name="page11"/>
    <w:bookmarkEnd w:id="10"/>
    <w:p>
      <w:pPr>
        <w:jc w:val="both"/>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882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6882765"/>
                    </a:xfrm>
                    <a:prstGeom prst="rect">
                      <a:avLst/>
                    </a:prstGeom>
                    <a:noFill/>
                  </pic:spPr>
                </pic:pic>
              </a:graphicData>
            </a:graphic>
          </wp:anchor>
        </w:drawing>
        <w:t>million for the three months ended March 31, 2019 and March 31, 2020, respectively. We and Pre-Acquisition ZI generated net income (loss) of $(28.6) million and $(27.5) million in 2018, respectively, and $(78.0) million in 2019 and $0.8 million for the one month ended January 31, 2019, respectively. We generated net income (loss) of $(40.2) million and $(5.9) million for the three months ended March 31, 2019 and March 31, 2020, respectively. We generated Adjusted Operating Income of $83.6 million and $167.1 million in 2018 and 2019, respectively. We generated Adjusted Operating Income of $31.7 million and $49.1 million for the three months ended March 31, 2019 and March 31, 2020,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Industry Background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 is Fundamental to Every Business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For every company, sales and marketing is a fundamental function that defines its success. As a result, businesses typically spend significantly on sales and marketing activities. For example, Forbes Global 2000 companies collectively spent over $2 trillion on sales and marketing activities alone in 2018 according to Capital IQ.</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Business-to-Business (“B2B”) Sales and Marketing has Changed</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Prior to the advent of sales and marketing technologies, businesses that sold to other businesses operated in an analog world, relying on field sales representatives to gather customer information and navigate sales processes. This process was manual, expensive, and inefficient. The data gathered was limited in depth, breadth, and accuracy, and began decaying as soon as it was captured. To address these problems, businesses invested in new technologies like customer relationship management (“CRM”) to digitally transform the way they sell. The CRM market grew from $12 billion in 2009 to $42 billion in 2018, representing a nearly 250% increase, according to a 2019 Global Industry Analysts, Inc. report. CRM systems were adopted primarily to manage the sales process, while marketing automation systems and new forms of customer engagement were developed to automate different go-to-market tasks. 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 is Still Inefficient</w:t>
      </w:r>
    </w:p>
    <w:p>
      <w:pPr>
        <w:spacing w:after="0" w:line="177"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77" w:lineRule="exact"/>
        <w:rPr>
          <w:sz w:val="20"/>
          <w:szCs w:val="20"/>
          <w:color w:val="auto"/>
        </w:rPr>
      </w:pPr>
    </w:p>
    <w:p>
      <w:pPr>
        <w:ind w:left="620" w:right="20" w:hanging="312"/>
        <w:spacing w:after="0" w:line="296"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It’s hard to find and engage with decision makers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Inaccurate or missing contact information plagues efforts to engage with a broad 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targets quickly and efficiently.</w:t>
      </w:r>
    </w:p>
    <w:p>
      <w:pPr>
        <w:spacing w:after="0" w:line="100"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It’s hard to know when to engage. </w:t>
      </w:r>
      <w:r>
        <w:rPr>
          <w:rFonts w:ascii="Arial" w:cs="Arial" w:eastAsia="Arial" w:hAnsi="Arial"/>
          <w:sz w:val="17"/>
          <w:szCs w:val="17"/>
          <w:color w:val="auto"/>
        </w:rPr>
        <w:t>Sales and marketing professionals need to manually gather information across various sources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when a potential customer intends to make a purchase.</w:t>
      </w:r>
    </w:p>
    <w:p>
      <w:pPr>
        <w:spacing w:after="0" w:line="99" w:lineRule="exact"/>
        <w:rPr>
          <w:rFonts w:ascii="Arial" w:cs="Arial" w:eastAsia="Arial" w:hAnsi="Arial"/>
          <w:sz w:val="17"/>
          <w:szCs w:val="17"/>
          <w:color w:val="auto"/>
        </w:rPr>
      </w:pPr>
    </w:p>
    <w:p>
      <w:pPr>
        <w:ind w:left="620" w:right="20" w:hanging="312"/>
        <w:spacing w:after="0" w:line="296"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No data-driven way to prioritize targets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Prioritization decisions for sales and marketing resources are often made based on intuition,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random knowledge gathering, or incomplete and inaccurate data.</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a Need for a Comprehensive Go-to-Market Intelligence Solution</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w:t>
      </w:r>
    </w:p>
    <w:p>
      <w:pPr>
        <w:spacing w:after="0" w:line="11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According to a Forrester report we commissioned, only 1.2% of companies have mature B2B intelligence practices and technology. Companies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60"/>
          </w:cols>
          <w:pgMar w:left="820" w:top="664" w:right="819" w:bottom="1440" w:gutter="0" w:footer="0" w:header="0"/>
        </w:sectPr>
      </w:pPr>
    </w:p>
    <w:bookmarkStart w:id="11" w:name="page12"/>
    <w:bookmarkEnd w:id="11"/>
    <w:p>
      <w:pPr>
        <w:jc w:val="both"/>
        <w:ind w:right="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7830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6783070"/>
                    </a:xfrm>
                    <a:prstGeom prst="rect">
                      <a:avLst/>
                    </a:prstGeom>
                    <a:noFill/>
                  </pic:spPr>
                </pic:pic>
              </a:graphicData>
            </a:graphic>
          </wp:anchor>
        </w:drawing>
        <w:t>implemented some B2B intelligence practices and technology have realized 35% more leads and 45% higher-quality leads, leading to higher revenue and faster growth.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ZoomInfo Platform</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cloud-based go-to-market intelligence platform give sales and marketing professionals highly accurate and comprehensive information and insights on the organizations and professionals they target.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We provide a comprehensive 360-degree view on approximately 14 million companies and over 120 million professionals. We combine this with deep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 Our intelligence is kept up to date in real time. This enables us to provide our customers with a contractual guarantee that at least 95% of the employment information they access will be current.</w:t>
      </w:r>
    </w:p>
    <w:p>
      <w:pPr>
        <w:spacing w:after="0" w:line="107"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Our Data Engine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Machine Learning and Artificial Intelligence Technologies</w:t>
      </w:r>
    </w:p>
    <w:p>
      <w:pPr>
        <w:spacing w:after="0" w:line="17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We are able to deliver high-quality intelligence at scale by leveraging an AI- and ML-powered engine that gathers data from millions of sources and standardizes, matches to entities, verifies, cleans, and applies the processed data to companies and people. To help train our AI and ML technologies and augment our contributory network, we have a team of 300 research analysts with deep expertise in cleaning B2B data.</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Our Data Sources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have a number of data sources, including proprietary sources, that enrich our platform:</w:t>
      </w:r>
    </w:p>
    <w:p>
      <w:pPr>
        <w:spacing w:after="0" w:line="171" w:lineRule="exact"/>
        <w:rPr>
          <w:sz w:val="20"/>
          <w:szCs w:val="20"/>
          <w:color w:val="auto"/>
        </w:rPr>
      </w:pPr>
    </w:p>
    <w:p>
      <w:pPr>
        <w:ind w:left="620" w:right="20" w:hanging="312"/>
        <w:spacing w:after="0" w:line="289"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Contributory Network. </w:t>
      </w:r>
      <w:r>
        <w:rPr>
          <w:rFonts w:ascii="Arial" w:cs="Arial" w:eastAsia="Arial" w:hAnsi="Arial"/>
          <w:sz w:val="17"/>
          <w:szCs w:val="17"/>
          <w:color w:val="auto"/>
        </w:rPr>
        <w:t>Our free users and many of our paying customers contribute data that enhances our platform. Our contributory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captures data on approximately 50 million contact record events daily.</w:t>
      </w:r>
    </w:p>
    <w:p>
      <w:pPr>
        <w:spacing w:after="0" w:line="105" w:lineRule="exact"/>
        <w:rPr>
          <w:rFonts w:ascii="Arial" w:cs="Arial" w:eastAsia="Arial" w:hAnsi="Arial"/>
          <w:sz w:val="17"/>
          <w:szCs w:val="17"/>
          <w:color w:val="auto"/>
        </w:rPr>
      </w:pPr>
    </w:p>
    <w:p>
      <w:pPr>
        <w:ind w:left="620" w:right="20" w:hanging="312"/>
        <w:spacing w:after="0" w:line="322"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Unstructured Public Information. </w:t>
      </w:r>
      <w:r>
        <w:rPr>
          <w:rFonts w:ascii="Arial" w:cs="Arial" w:eastAsia="Arial" w:hAnsi="Arial"/>
          <w:sz w:val="16"/>
          <w:szCs w:val="16"/>
          <w:color w:val="auto"/>
        </w:rPr>
        <w:t>Our patented and proprietary technologies extract and parse unstructured information found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webpages, newsfeeds, blogs, and other public sources, and then match that information with entities that we have previously identified.</w:t>
      </w:r>
    </w:p>
    <w:p>
      <w:pPr>
        <w:spacing w:after="0" w:line="82" w:lineRule="exact"/>
        <w:rPr>
          <w:rFonts w:ascii="Arial" w:cs="Arial" w:eastAsia="Arial" w:hAnsi="Arial"/>
          <w:sz w:val="16"/>
          <w:szCs w:val="16"/>
          <w:color w:val="auto"/>
        </w:rPr>
      </w:pPr>
    </w:p>
    <w:p>
      <w:pPr>
        <w:ind w:left="620" w:right="20" w:hanging="312"/>
        <w:spacing w:after="0" w:line="289"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Training Lab. </w:t>
      </w:r>
      <w:r>
        <w:rPr>
          <w:rFonts w:ascii="Arial" w:cs="Arial" w:eastAsia="Arial" w:hAnsi="Arial"/>
          <w:sz w:val="17"/>
          <w:szCs w:val="17"/>
          <w:color w:val="auto"/>
        </w:rPr>
        <w:t>We have developed hundreds of processes, largely automated, to gather information from sources, such as PBX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directories, website traffic and source code, and proprietary surveys.</w:t>
      </w:r>
    </w:p>
    <w:p>
      <w:pPr>
        <w:spacing w:after="0" w:line="105"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Generally Available Information. </w:t>
      </w:r>
      <w:r>
        <w:rPr>
          <w:rFonts w:ascii="Arial" w:cs="Arial" w:eastAsia="Arial" w:hAnsi="Arial"/>
          <w:sz w:val="17"/>
          <w:szCs w:val="17"/>
          <w:color w:val="auto"/>
        </w:rPr>
        <w:t>Our technology adds value to public information and a limited amount of purchased third-party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combining them with our proprietary insights.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Benefits of Our Platform</w:t>
      </w:r>
    </w:p>
    <w:p>
      <w:pPr>
        <w:spacing w:after="0" w:line="177" w:lineRule="exact"/>
        <w:rPr>
          <w:sz w:val="20"/>
          <w:szCs w:val="20"/>
          <w:color w:val="auto"/>
        </w:rPr>
      </w:pPr>
    </w:p>
    <w:p>
      <w:pPr>
        <w:ind w:left="620" w:right="20" w:hanging="312"/>
        <w:spacing w:after="0" w:line="289"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and Measurable Revenue Improvement. </w:t>
      </w:r>
      <w:r>
        <w:rPr>
          <w:rFonts w:ascii="Arial" w:cs="Arial" w:eastAsia="Arial" w:hAnsi="Arial"/>
          <w:sz w:val="17"/>
          <w:szCs w:val="17"/>
          <w:color w:val="auto"/>
        </w:rPr>
        <w:t>Our platform increases revenue for our customers who can easily measure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because we integrate with the systems that they use to attribute revenue.</w:t>
      </w:r>
    </w:p>
    <w:p>
      <w:pPr>
        <w:spacing w:after="0" w:line="105" w:lineRule="exact"/>
        <w:rPr>
          <w:rFonts w:ascii="Arial" w:cs="Arial" w:eastAsia="Arial" w:hAnsi="Arial"/>
          <w:sz w:val="17"/>
          <w:szCs w:val="17"/>
          <w:color w:val="auto"/>
        </w:rPr>
      </w:pPr>
    </w:p>
    <w:p>
      <w:pPr>
        <w:jc w:val="both"/>
        <w:ind w:left="620" w:right="20" w:hanging="312"/>
        <w:spacing w:after="0" w:line="297"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Unmatched Accuracy, Depth, and Coverage of Data. </w:t>
      </w:r>
      <w:r>
        <w:rPr>
          <w:rFonts w:ascii="Arial" w:cs="Arial" w:eastAsia="Arial" w:hAnsi="Arial"/>
          <w:sz w:val="16"/>
          <w:szCs w:val="16"/>
          <w:color w:val="auto"/>
        </w:rPr>
        <w:t>We are able to provide a guarantee of 95%+ accuracy as a result of our focus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coupled with proprietary methods to extract, parse, match, and clean data. We do not believe that any other solution provides the depth and breadth of data that we provide on approximately 14 million companies and over 120 million professionals.</w:t>
      </w:r>
    </w:p>
    <w:p>
      <w:pPr>
        <w:spacing w:after="0" w:line="102" w:lineRule="exact"/>
        <w:rPr>
          <w:rFonts w:ascii="Arial" w:cs="Arial" w:eastAsia="Arial" w:hAnsi="Arial"/>
          <w:sz w:val="16"/>
          <w:szCs w:val="16"/>
          <w:color w:val="auto"/>
        </w:rPr>
      </w:pPr>
    </w:p>
    <w:p>
      <w:pPr>
        <w:ind w:left="620" w:right="20" w:hanging="312"/>
        <w:spacing w:after="0" w:line="289"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We integrate unique data points that are proprietary to ZoomInfo with our customers’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enrich their information and develop unique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60"/>
          </w:cols>
          <w:pgMar w:left="820" w:top="664" w:right="819" w:bottom="1440" w:gutter="0" w:footer="0" w:header="0"/>
        </w:sectPr>
      </w:pPr>
    </w:p>
    <w:bookmarkStart w:id="12" w:name="page13"/>
    <w:bookmarkEnd w:id="12"/>
    <w:p>
      <w:pPr>
        <w:jc w:val="both"/>
        <w:ind w:left="620" w:right="20" w:hanging="312"/>
        <w:spacing w:after="0" w:line="270"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7115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7115810"/>
                    </a:xfrm>
                    <a:prstGeom prst="rect">
                      <a:avLst/>
                    </a:prstGeom>
                    <a:noFill/>
                  </pic:spPr>
                </pic:pic>
              </a:graphicData>
            </a:graphic>
          </wp:anchor>
        </w:drawing>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insights are available on our cloud-based platform and can also be delivered directly into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workflows and supporting infrastructure, including Salesforce, Marketo, HubSpot, Microsoft Dynamics, Oracle Sales Cloud, and other platforms. The vast majority of our customers integrate ZoomInfo with their most-used CRM or sales &amp; marketing automation system.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Competitive Strengths</w:t>
      </w:r>
    </w:p>
    <w:p>
      <w:pPr>
        <w:spacing w:after="0" w:line="177" w:lineRule="exact"/>
        <w:rPr>
          <w:sz w:val="20"/>
          <w:szCs w:val="20"/>
          <w:color w:val="auto"/>
        </w:rPr>
      </w:pPr>
    </w:p>
    <w:p>
      <w:pPr>
        <w:ind w:left="620" w:right="20" w:hanging="312"/>
        <w:spacing w:after="0" w:line="289"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 Leader with a Comprehensive Go-to-Market Intelligence Platform. </w:t>
      </w:r>
      <w:r>
        <w:rPr>
          <w:rFonts w:ascii="Arial" w:cs="Arial" w:eastAsia="Arial" w:hAnsi="Arial"/>
          <w:sz w:val="17"/>
          <w:szCs w:val="17"/>
          <w:color w:val="auto"/>
        </w:rPr>
        <w:t>We provide the most accurate and comprehensive go-to-market intelligence platform available.</w:t>
      </w:r>
    </w:p>
    <w:p>
      <w:pPr>
        <w:spacing w:after="0" w:line="105"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Finely Tuned Go-to-Market Model. </w:t>
      </w:r>
      <w:r>
        <w:rPr>
          <w:rFonts w:ascii="Arial" w:cs="Arial" w:eastAsia="Arial" w:hAnsi="Arial"/>
          <w:sz w:val="17"/>
          <w:szCs w:val="17"/>
          <w:color w:val="auto"/>
        </w:rPr>
        <w:t>We utilize the ZoomInfo platform to power our efficient go-to-market motion. For the 12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March 31, 2020, our average LTV to average CAC was over 10x.</w:t>
      </w:r>
    </w:p>
    <w:p>
      <w:pPr>
        <w:spacing w:after="0" w:line="105"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High-Velocity Software Development. </w:t>
      </w:r>
      <w:r>
        <w:rPr>
          <w:rFonts w:ascii="Arial" w:cs="Arial" w:eastAsia="Arial" w:hAnsi="Arial"/>
          <w:sz w:val="17"/>
          <w:szCs w:val="17"/>
          <w:color w:val="auto"/>
        </w:rPr>
        <w:t>We foster an innovative, fast-paced engineering culture that enabled the release of 112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and services in 2019.</w:t>
      </w:r>
    </w:p>
    <w:p>
      <w:pPr>
        <w:spacing w:after="0" w:line="105" w:lineRule="exact"/>
        <w:rPr>
          <w:rFonts w:ascii="Arial" w:cs="Arial" w:eastAsia="Arial" w:hAnsi="Arial"/>
          <w:sz w:val="17"/>
          <w:szCs w:val="17"/>
          <w:color w:val="auto"/>
        </w:rPr>
      </w:pPr>
    </w:p>
    <w:p>
      <w:pPr>
        <w:jc w:val="both"/>
        <w:ind w:left="620" w:right="20" w:hanging="312"/>
        <w:spacing w:after="0" w:line="273"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Enthusiasm Driven by Our Base of “Fanatic Users.” </w:t>
      </w:r>
      <w:r>
        <w:rPr>
          <w:rFonts w:ascii="Arial" w:cs="Arial" w:eastAsia="Arial" w:hAnsi="Arial"/>
          <w:sz w:val="17"/>
          <w:szCs w:val="17"/>
          <w:color w:val="auto"/>
        </w:rPr>
        <w:t>We have approximately 82,000 “Fanatic Users,” which we define as users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over 100 activities, such as searches, exports, record views, and list match requests, among others, on the platform per month. We believe our Fanatic Users drive viral adoption of our platform.</w:t>
      </w:r>
    </w:p>
    <w:p>
      <w:pPr>
        <w:spacing w:after="0" w:line="118"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and Significant Network Effects. </w:t>
      </w:r>
      <w:r>
        <w:rPr>
          <w:rFonts w:ascii="Arial" w:cs="Arial" w:eastAsia="Arial" w:hAnsi="Arial"/>
          <w:sz w:val="17"/>
          <w:szCs w:val="17"/>
          <w:color w:val="auto"/>
        </w:rPr>
        <w:t>As our user base grows, so does the data we receive, which enables us to provide greater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to our customers.</w:t>
      </w:r>
    </w:p>
    <w:p>
      <w:pPr>
        <w:spacing w:after="0" w:line="105" w:lineRule="exact"/>
        <w:rPr>
          <w:rFonts w:ascii="Arial" w:cs="Arial" w:eastAsia="Arial" w:hAnsi="Arial"/>
          <w:sz w:val="17"/>
          <w:szCs w:val="17"/>
          <w:color w:val="auto"/>
        </w:rPr>
      </w:pPr>
    </w:p>
    <w:p>
      <w:pPr>
        <w:jc w:val="both"/>
        <w:ind w:left="620" w:right="20" w:hanging="312"/>
        <w:spacing w:after="0" w:line="273"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highly talented, customer-centric senior leadership, led by our co-founder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Henry Schuck, enables us to rapidly develop new products, move more quickly than our competition, and build our fast-paced, execution-oriented culture.</w:t>
      </w:r>
    </w:p>
    <w:p>
      <w:pPr>
        <w:spacing w:after="0" w:line="113"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Our Market Opportunity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estimate the TAM for our platform to be approximately $24 billion, based on data as of March 31, 2020.</w:t>
      </w:r>
    </w:p>
    <w:p>
      <w:pPr>
        <w:spacing w:after="0" w:line="17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For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 The aggregate calculated value represents our estimated TAM. Data for numbers of companies by employee count is from our ZoomInfo platform that we have identified as relevant prospects for our platform.</w:t>
      </w:r>
    </w:p>
    <w:p>
      <w:pPr>
        <w:spacing w:after="0" w:line="110"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Our Growth Strategy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71" w:lineRule="exact"/>
        <w:rPr>
          <w:sz w:val="20"/>
          <w:szCs w:val="20"/>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Acquire New Customers</w:t>
      </w:r>
    </w:p>
    <w:p>
      <w:pPr>
        <w:spacing w:after="0" w:line="171"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Deliver Additional High-Value Solutions to Our Existing Customers</w:t>
      </w:r>
    </w:p>
    <w:p>
      <w:pPr>
        <w:spacing w:after="0" w:line="171"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Drive Incremental Penetration Within Enterprises</w:t>
      </w:r>
    </w:p>
    <w:p>
      <w:pPr>
        <w:spacing w:after="0" w:line="171"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Platform for Adjacent Use Cases such as Recruiting</w:t>
      </w:r>
    </w:p>
    <w:p>
      <w:pPr>
        <w:spacing w:after="0" w:line="171"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Expand to International Markets</w:t>
      </w:r>
    </w:p>
    <w:p>
      <w:pPr>
        <w:spacing w:after="0" w:line="171" w:lineRule="exact"/>
        <w:rPr>
          <w:rFonts w:ascii="Arial" w:cs="Arial" w:eastAsia="Arial" w:hAnsi="Arial"/>
          <w:sz w:val="17"/>
          <w:szCs w:val="17"/>
          <w:color w:val="auto"/>
        </w:rPr>
      </w:pPr>
    </w:p>
    <w:p>
      <w:pPr>
        <w:ind w:left="620" w:hanging="31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Selective Acquisitions to Complement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60"/>
          </w:cols>
          <w:pgMar w:left="820" w:top="658" w:right="81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217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6217285"/>
                    </a:xfrm>
                    <a:prstGeom prst="rect">
                      <a:avLst/>
                    </a:prstGeom>
                    <a:noFill/>
                  </pic:spPr>
                </pic:pic>
              </a:graphicData>
            </a:graphic>
          </wp:anchor>
        </w:drawing>
        <w:t>Recent Developments</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In December 2019, a novel strain of Coronavirus disease (“COVID-19”) was reported, and in March 2020, the WHO characterized COVID-19 as a pandemic. The COVID-19 pandemic has resulted in travel restrictions, prohibitions of non-essential activities, disruption and shutdown of certain businesses, and greater uncertainty in global financial markets. Such conditions are creating disruption in global supply chains, increasing rates of unemployment, and adversely impacting many industries. The outbreak could have a continued adverse impact on economic and market conditions and trigger a period of global economic slowdown.</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the date of this prospectus, the full impact of the COVID-19 pandemic on the global economy and the extent to which the COVID-19 pandemic may impact our financial condition or results of operations remain uncertain. Furthermore, because of our largely subscription-based business model, the effect of the COVID-19 pandemic may not be fully reflected in our results of operations and overall financial condition until future periods, if at all.</w:t>
      </w:r>
    </w:p>
    <w:p>
      <w:pPr>
        <w:spacing w:after="0" w:line="126"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As a result of the COVID-19 pandemic, we expect we will experience slowed growth or decline in new customer demand for our platform and lower demand from our existing customers for upgrades within our platform. We have experienced and expect to continue to experience an increase in potential customers seeking lower prices or other more favorable contract terms and current customers attempting to obtain concessions on the terms of existing contracts, including requests for early termination or waiver of payment obligations, all of which has adversely affected and could materially adversely impact our business, results of operations, and overall financial condition in future periods. The extent and continued impact of the COVID-19 pandemic on our operational and financial condition will depend on certain developments, including: the duration and spread of the outbreak; government responses to the pandemic;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and not within our control.</w:t>
      </w:r>
    </w:p>
    <w:p>
      <w:pPr>
        <w:spacing w:after="0" w:line="10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In response to the COVID-19 pandemic, in the first quarter of 2020, we temporarily closed all of our offices, including our office in Israel, and enabled our entire work force to work remotely. We have also implemented travel restrictions for non-essential business. These changes remain in effect in the second quarter of 2020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“Risk Factors” for further discussion of the possible impact of the COVID-19 pandemic on our business.</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To illustrate the performance of our business during the COVID-19 pandemic, we are disclosing certain new business ACV and net ACV changes.</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New business ACV, which quantifies in a given period the annualized value of contracts with new customers that subscribed in such period, was $9.7 million in March 2020, representing 36% year-over-year growth, and $8.8 million in April 2020, representing 87% year-over-year growth. With respect to new business ACV, April 2020 was our highest first month of any quarter since the Zoom Information Acquisition. This growth may be attributable to factors including:</w:t>
      </w:r>
    </w:p>
    <w:p>
      <w:pPr>
        <w:spacing w:after="0" w:line="126" w:lineRule="exact"/>
        <w:rPr>
          <w:sz w:val="20"/>
          <w:szCs w:val="20"/>
          <w:color w:val="auto"/>
        </w:rPr>
      </w:pPr>
    </w:p>
    <w:p>
      <w:pPr>
        <w:ind w:left="620" w:right="20" w:hanging="312"/>
        <w:spacing w:after="0" w:line="289"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companies looking to improve the effectiveness and efficiency of their sales teams, particularly as historical sales activities involving in-person meetings and travel are less feasible;</w:t>
      </w:r>
    </w:p>
    <w:p>
      <w:pPr>
        <w:spacing w:after="0" w:line="105"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solution’s easily identifiable and quickly-realized return on investment (“ROI”), which is even more important when selling in this environment; and</w:t>
      </w:r>
    </w:p>
    <w:p>
      <w:pPr>
        <w:spacing w:after="0" w:line="105" w:lineRule="exact"/>
        <w:rPr>
          <w:rFonts w:ascii="Arial" w:cs="Arial" w:eastAsia="Arial" w:hAnsi="Arial"/>
          <w:sz w:val="17"/>
          <w:szCs w:val="17"/>
          <w:color w:val="auto"/>
        </w:rPr>
      </w:pPr>
    </w:p>
    <w:p>
      <w:pPr>
        <w:ind w:left="620" w:hanging="31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short sales cycle and the relatively low price point of our 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60"/>
          </w:cols>
          <w:pgMar w:left="820" w:top="658" w:right="8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7265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726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Largely due to growth in new business ACV, we experienced a positive Net Change in ACV in both March 2020 and April 2020. “Net Change in ACV” is defined as ACV at the end of the period minus ACV at the beginning of a period. Net Change in ACV is impacted by new contracts signed with new and existing customers, renewals and non-renewals of existing contracts, cancellations of contracts, and amendments or any other changes to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ACV represents the total annualized value that a customer has agreed to pay for subscription services at any particular point in time under contract(s) that are or were enforceable at that point in time and does not represent revenue recognized from such contract(s). ACV is not meant to be considered in isolation or as a substitute for revenue or any other GAAP measures and is not indicative of our actual financial results for the quarter ended March 31, 2020 or for any other period or of future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60"/>
          </w:cols>
          <w:pgMar w:left="820" w:top="1440" w:right="81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450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0575" cy="6450330"/>
                    </a:xfrm>
                    <a:prstGeom prst="rect">
                      <a:avLst/>
                    </a:prstGeom>
                    <a:noFill/>
                  </pic:spPr>
                </pic:pic>
              </a:graphicData>
            </a:graphic>
          </wp:anchor>
        </w:drawing>
        <w:t>Investment Risks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An investment in shares of our Class A common stock involves substantial risks and uncertainties that may adversely affect our business, financial condition, results of operations, and cash flows. Some of the more significant challenges and risks relating to an investment in our Company include, among other things, the following:</w:t>
      </w:r>
    </w:p>
    <w:p>
      <w:pPr>
        <w:spacing w:after="0" w:line="119" w:lineRule="exact"/>
        <w:rPr>
          <w:sz w:val="20"/>
          <w:szCs w:val="20"/>
          <w:color w:val="auto"/>
        </w:rPr>
      </w:pPr>
    </w:p>
    <w:p>
      <w:pPr>
        <w:ind w:left="620" w:right="20" w:hanging="312"/>
        <w:spacing w:after="0" w:line="289"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COVID-19 pandemic, including the global economic uncertainty and measures taken in response, could materially impact our business and future results of operations;</w:t>
      </w:r>
    </w:p>
    <w:p>
      <w:pPr>
        <w:spacing w:after="0" w:line="105"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larger well-funded companies shifting their existing business models to become more competitive with us;</w:t>
      </w:r>
    </w:p>
    <w:p>
      <w:pPr>
        <w:spacing w:after="0" w:line="171"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provide or adapt our platform for changes in laws and regulations or public perception, or changes in the enforcement of such laws, relating to data privacy;</w:t>
      </w:r>
    </w:p>
    <w:p>
      <w:pPr>
        <w:spacing w:after="0" w:line="105"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effects of companies more effectively catering to our customers by offering more tailored products or platforms at lower costs;</w:t>
      </w:r>
    </w:p>
    <w:p>
      <w:pPr>
        <w:spacing w:after="0" w:line="182" w:lineRule="exact"/>
        <w:rPr>
          <w:rFonts w:ascii="Arial" w:cs="Arial" w:eastAsia="Arial" w:hAnsi="Arial"/>
          <w:sz w:val="16"/>
          <w:szCs w:val="16"/>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adverse general economic and market conditions reducing spending on sales and marketing;</w:t>
      </w:r>
    </w:p>
    <w:p>
      <w:pPr>
        <w:spacing w:after="0" w:line="171"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effects of declining demand for sales and marketing subscription platforms;</w:t>
      </w:r>
    </w:p>
    <w:p>
      <w:pPr>
        <w:spacing w:after="0" w:line="171"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improve our technology and keep up with new processes for data collection, organization, and cleansing;</w:t>
      </w:r>
    </w:p>
    <w:p>
      <w:pPr>
        <w:spacing w:after="0" w:line="171"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provide a highly accurate, reliable, and comprehensive platform moving forward;</w:t>
      </w:r>
    </w:p>
    <w:p>
      <w:pPr>
        <w:spacing w:after="0" w:line="171"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reliance on third-party systems that we do not control to integrate with our system and our potential inability to continue to support integration;</w:t>
      </w:r>
    </w:p>
    <w:p>
      <w:pPr>
        <w:spacing w:after="0" w:line="105"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05"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attract new customers and expand existing subscriptions;</w:t>
      </w:r>
    </w:p>
    <w:p>
      <w:pPr>
        <w:spacing w:after="0" w:line="171"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05"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failure to protect and maintain our brand and our ability to attract and retain customers;</w:t>
      </w:r>
    </w:p>
    <w:p>
      <w:pPr>
        <w:spacing w:after="0" w:line="171" w:lineRule="exact"/>
        <w:rPr>
          <w:rFonts w:ascii="Arial" w:cs="Arial" w:eastAsia="Arial" w:hAnsi="Arial"/>
          <w:sz w:val="17"/>
          <w:szCs w:val="17"/>
          <w:color w:val="auto"/>
        </w:rPr>
      </w:pPr>
    </w:p>
    <w:p>
      <w:pPr>
        <w:jc w:val="both"/>
        <w:ind w:left="620" w:right="20" w:hanging="312"/>
        <w:spacing w:after="0" w:line="273"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18" w:lineRule="exact"/>
        <w:rPr>
          <w:rFonts w:ascii="Arial" w:cs="Arial" w:eastAsia="Arial" w:hAnsi="Arial"/>
          <w:sz w:val="17"/>
          <w:szCs w:val="17"/>
          <w:color w:val="auto"/>
        </w:rPr>
      </w:pPr>
    </w:p>
    <w:p>
      <w:pPr>
        <w:ind w:left="620" w:hanging="31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parties to our stockholders agreement controlling us and their interests conflicting with ours or yours in the future; and</w:t>
      </w:r>
    </w:p>
    <w:p>
      <w:pPr>
        <w:spacing w:after="0" w:line="171" w:lineRule="exact"/>
        <w:rPr>
          <w:rFonts w:ascii="Arial" w:cs="Arial" w:eastAsia="Arial" w:hAnsi="Arial"/>
          <w:sz w:val="17"/>
          <w:szCs w:val="17"/>
          <w:color w:val="auto"/>
        </w:rPr>
      </w:pPr>
    </w:p>
    <w:p>
      <w:pPr>
        <w:jc w:val="both"/>
        <w:ind w:left="620" w:right="20" w:hanging="312"/>
        <w:spacing w:after="0" w:line="273"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being, upon the listing of our Class A common stock on the Nasdaq, a “controlled company” within the meaning of the Nasdaq rules and, as a result, qualifying for exemptions from certain corporate governance requirements, as a result of which you will not have the same protections afforded to stockholders of companies that are subject to such requirements.</w:t>
      </w:r>
    </w:p>
    <w:p>
      <w:pPr>
        <w:spacing w:after="0" w:line="119" w:lineRule="exact"/>
        <w:rPr>
          <w:sz w:val="20"/>
          <w:szCs w:val="20"/>
          <w:color w:val="auto"/>
        </w:rPr>
      </w:pPr>
    </w:p>
    <w:p>
      <w:pPr>
        <w:ind w:right="20" w:firstLine="314"/>
        <w:spacing w:after="0" w:line="289" w:lineRule="auto"/>
        <w:rPr>
          <w:sz w:val="20"/>
          <w:szCs w:val="20"/>
          <w:color w:val="auto"/>
        </w:rPr>
      </w:pPr>
      <w:r>
        <w:rPr>
          <w:rFonts w:ascii="Arial" w:cs="Arial" w:eastAsia="Arial" w:hAnsi="Arial"/>
          <w:sz w:val="17"/>
          <w:szCs w:val="17"/>
          <w:color w:val="auto"/>
        </w:rPr>
        <w:t>Please see “Risk Factors” for a discussion of these and other factors you should consider before making an investment in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60"/>
          </w:cols>
          <w:pgMar w:left="820" w:top="658" w:right="81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550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6550025"/>
                    </a:xfrm>
                    <a:prstGeom prst="rect">
                      <a:avLst/>
                    </a:prstGeom>
                    <a:noFill/>
                  </pic:spPr>
                </pic:pic>
              </a:graphicData>
            </a:graphic>
          </wp:anchor>
        </w:drawing>
        <w:t>Organizational Structure</w:t>
      </w:r>
    </w:p>
    <w:p>
      <w:pPr>
        <w:spacing w:after="0" w:line="177" w:lineRule="exact"/>
        <w:rPr>
          <w:sz w:val="20"/>
          <w:szCs w:val="20"/>
          <w:color w:val="auto"/>
        </w:rPr>
      </w:pPr>
    </w:p>
    <w:p>
      <w:pPr>
        <w:jc w:val="both"/>
        <w:ind w:right="20" w:firstLine="314"/>
        <w:spacing w:after="0" w:line="285" w:lineRule="auto"/>
        <w:rPr>
          <w:sz w:val="20"/>
          <w:szCs w:val="20"/>
          <w:color w:val="auto"/>
        </w:rPr>
      </w:pPr>
      <w:r>
        <w:rPr>
          <w:rFonts w:ascii="Arial" w:cs="Arial" w:eastAsia="Arial" w:hAnsi="Arial"/>
          <w:sz w:val="16"/>
          <w:szCs w:val="16"/>
          <w:color w:val="auto"/>
        </w:rPr>
        <w:t>For a simplified diagram depicting our current organizational structure, see “Organizational Structure.” 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and consolidate the financial results, of ZoomInfo OpCo through ZoomInfo HoldCo and, through ZoomInfo OpCo and its subsidiaries, conduct our business. Prior to the completion of this offering:</w:t>
      </w:r>
    </w:p>
    <w:p>
      <w:pPr>
        <w:spacing w:after="0" w:line="113" w:lineRule="exact"/>
        <w:rPr>
          <w:sz w:val="20"/>
          <w:szCs w:val="20"/>
          <w:color w:val="auto"/>
        </w:rPr>
      </w:pPr>
    </w:p>
    <w:p>
      <w:pPr>
        <w:ind w:left="620" w:hanging="31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ZoomInfo OpCo will effect a four-for-one reverse unit split;</w:t>
      </w:r>
    </w:p>
    <w:p>
      <w:pPr>
        <w:spacing w:after="0" w:line="171" w:lineRule="exact"/>
        <w:rPr>
          <w:rFonts w:ascii="Arial" w:cs="Arial" w:eastAsia="Arial" w:hAnsi="Arial"/>
          <w:sz w:val="17"/>
          <w:szCs w:val="17"/>
          <w:color w:val="auto"/>
        </w:rPr>
      </w:pPr>
    </w:p>
    <w:p>
      <w:pPr>
        <w:jc w:val="both"/>
        <w:ind w:left="620" w:right="20" w:hanging="312"/>
        <w:spacing w:after="0" w:line="262"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ZoomInfo Technologies Inc. will form a new merger subsidiary with respect to each of the Blocker Companies through which certain of our Pre-IPO Blocker Holders hold their interests in ZoomInfo OpCo, each merger subsidiary will merge with and into the respective Blocker Companies in reverse-subsidiary mergers, and the surviving entities will merge with and into ZoomInfo Technologies Inc. (such mergers, the “Blocker Mergers”), which Blocker Mergers will result in the Pre-IPO Blocker Holders receiving a combination of (i) shares of Class C common stock of ZoomInfo Technologies Inc. and (ii) a cash amount in respect of reductions in such Pre-IPO Blocker Holders’ equity interests, based on the initial offering price of the Class A common stock (see “Organizational Structure—Blocker Mergers”);</w:t>
      </w:r>
    </w:p>
    <w:p>
      <w:pPr>
        <w:spacing w:after="0" w:line="130" w:lineRule="exact"/>
        <w:rPr>
          <w:rFonts w:ascii="Arial" w:cs="Arial" w:eastAsia="Arial" w:hAnsi="Arial"/>
          <w:sz w:val="17"/>
          <w:szCs w:val="17"/>
          <w:color w:val="auto"/>
        </w:rPr>
      </w:pPr>
    </w:p>
    <w:p>
      <w:pPr>
        <w:jc w:val="both"/>
        <w:ind w:left="620" w:right="20" w:hanging="312"/>
        <w:spacing w:after="0" w:line="273"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certain pre-IPO owners will acquire interests in ZoomInfo HoldCo as a result of the merger of an entity that holds OpCo Units on behalf of such pre-IPO owners into ZoomInfo HoldCo (the “ZoomInfo HoldCo Contributions”) and the redemption of some OpCo Units pursuant to which the holders of such OpCo Units receive HoldCo Units; and</w:t>
      </w:r>
    </w:p>
    <w:p>
      <w:pPr>
        <w:spacing w:after="0" w:line="118" w:lineRule="exact"/>
        <w:rPr>
          <w:rFonts w:ascii="Arial" w:cs="Arial" w:eastAsia="Arial" w:hAnsi="Arial"/>
          <w:sz w:val="17"/>
          <w:szCs w:val="17"/>
          <w:color w:val="auto"/>
        </w:rPr>
      </w:pPr>
    </w:p>
    <w:p>
      <w:pPr>
        <w:jc w:val="both"/>
        <w:ind w:left="620" w:right="20" w:hanging="312"/>
        <w:spacing w:after="0" w:line="267"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limited liability company agreement of each of ZoomInfo OpCo and ZoomInfo HoldCo will be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26"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refer to the Reclassification, together with the Blocker Mergers and the ZoomInfo HoldCo Contributions, as the “Reorganization Transactions.” Pursuant to the amended and restated limited liability company agreement of ZoomInfo OpCo, the Pre-IPO OpCo Unitholders (or certain permitted transferees) will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agreement of ZoomInfo HoldCo, the Pre-IPO HoldCo Unitholders (or certain permitted transferees) will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For a description of the amended and restated limited liability company agreements of ZoomInfo OpCo and ZoomInfo HoldCo, please read “Certain Relationships and Related Person Transactions.”</w:t>
      </w:r>
    </w:p>
    <w:p>
      <w:pPr>
        <w:spacing w:after="0" w:line="122"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Immediately following the consummation of this offering, the Pre-IPO OpCo Unitholders and the Pre-IPO HoldCo Unitholders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the consummation of this offering, 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60"/>
          </w:cols>
          <w:pgMar w:left="820" w:top="658" w:right="819" w:bottom="1440" w:gutter="0" w:footer="0" w:header="0"/>
        </w:sectPr>
      </w:pPr>
    </w:p>
    <w:bookmarkStart w:id="17" w:name="page18"/>
    <w:bookmarkEnd w:id="17"/>
    <w:p>
      <w:pPr>
        <w:jc w:val="both"/>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283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0575" cy="6283960"/>
                    </a:xfrm>
                    <a:prstGeom prst="rect">
                      <a:avLst/>
                    </a:prstGeom>
                    <a:noFill/>
                  </pic:spPr>
                </pic:pic>
              </a:graphicData>
            </a:graphic>
          </wp:anchor>
        </w:drawing>
        <w:t>common stock into shares of Class A common stock) on all matters on which stockholders of ZoomInfo Technologies Inc. are entitled to vote generally.</w:t>
      </w:r>
    </w:p>
    <w:p>
      <w:pPr>
        <w:spacing w:after="0" w:line="106" w:lineRule="exact"/>
        <w:rPr>
          <w:sz w:val="20"/>
          <w:szCs w:val="20"/>
          <w:color w:val="auto"/>
        </w:rPr>
      </w:pPr>
    </w:p>
    <w:p>
      <w:pPr>
        <w:jc w:val="both"/>
        <w:ind w:right="20" w:firstLine="314"/>
        <w:spacing w:after="0" w:line="279"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18"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Our post-offering organizational structure is commonly referred to as an umbrella partnership-C-corporation (“UP-C”) structure. This organizational structure will allow our Pre-IPO OpCo Unitholders to retain their equity ownership in ZoomInfo OpCo, an entity that is classified as a partnership for U.S. federal income tax purposes, in the form of OpCo Units. Investors in this offering and the Pre-IPO Blocker Holders will, by contrast, hold their equity ownership in ZoomInfo Technologies Inc., a Delaware corporation that is a domestic corporation for U.S. federal income tax purposes, in the form of shares of Class A or Class C common stock. Pre-IPO HoldCo Unitholders will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will give rise to any significant business or strategic benefit or detriment to us.</w:t>
      </w:r>
    </w:p>
    <w:p>
      <w:pPr>
        <w:spacing w:after="0" w:line="121"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As described below under “Certain Relationships and Related Person Transactions—Tax Receivable Agreements,” prior to the completion of this offering, we will enter into two tax receivable agreements. We will enter into (i) the Exchange Tax Receivable Agreement with certain Pre-IPO OpCo Unitholders and (ii) the Reorganization Tax Receivable Agreement with the Pre-IPO Blocker Holders. These tax receivable agreements will provide for the payment by ZoomInfo Technologies Inc. or any member of its affiliated, consolidated, combined, or unitary tax group (collectively, the “ZoomInfo Tax Group”) to such pre-IPO owners and certain Pre-IPO HoldCo Unitholders of 85% of the benefits, if any,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the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260"/>
          </w:cols>
          <w:pgMar w:left="820" w:top="664" w:right="819" w:bottom="1440" w:gutter="0" w:footer="0" w:header="0"/>
        </w:sectPr>
      </w:pPr>
    </w:p>
    <w:bookmarkStart w:id="18" w:name="page19"/>
    <w:bookmarkEnd w:id="18"/>
    <w:p>
      <w:pPr>
        <w:jc w:val="both"/>
        <w:ind w:firstLine="314"/>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4187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4187825"/>
                    </a:xfrm>
                    <a:prstGeom prst="rect">
                      <a:avLst/>
                    </a:prstGeom>
                    <a:noFill/>
                  </pic:spPr>
                </pic:pic>
              </a:graphicData>
            </a:graphic>
          </wp:anchor>
        </w:drawing>
        <w:t>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 We estimate the amount of existing tax basis with respect to which our pre-IPO owners will be entitled to receive payments under the tax receivable agreements (assuming all Pre-IPO OpCo Unitholders excluding the Blocker Companies exchange their OpCo Units (together with a corresponding number of shares of Class B common stock) on the date of this offering) is approximately $352.2 million. Certain late payments under the tax receivable agreements generally will accrue interest at an uncapped rate equal to one year LIBOR (or its successor rate) plus 500 basis points. See “Certain Relationships and Related Person Transactions—Tax Receivable Agreements.”</w:t>
      </w:r>
    </w:p>
    <w:p>
      <w:pPr>
        <w:spacing w:after="0" w:line="11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that will be in effect at the time of this offering provides that certain distributions to cover the taxes of the ZoomInfo Tax Group and the other holders of OpCo Units and Class P Units will be made based upon assumed tax rates and other assumptions provided in such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intend to enter into a tax sharing agreement with ZoomInfo HoldCo prior to consummation of this offering (the “tax sharing agreement”). Pursuant to the tax sharing agreement, ZoomInfo HoldCo will be required to make certain payments to us to enable us to pay taxes of the ZoomInfo Tax Group and to meet our obligations under the tax receivable agreements.</w:t>
      </w:r>
    </w:p>
    <w:p>
      <w:pPr>
        <w:spacing w:after="0" w:line="121" w:lineRule="exact"/>
        <w:rPr>
          <w:sz w:val="20"/>
          <w:szCs w:val="20"/>
          <w:color w:val="auto"/>
        </w:rPr>
      </w:pPr>
    </w:p>
    <w:p>
      <w:pPr>
        <w:jc w:val="both"/>
        <w:ind w:right="20" w:firstLine="314"/>
        <w:spacing w:after="0" w:line="285" w:lineRule="auto"/>
        <w:rPr>
          <w:sz w:val="20"/>
          <w:szCs w:val="20"/>
          <w:color w:val="auto"/>
        </w:rPr>
      </w:pPr>
      <w:r>
        <w:rPr>
          <w:rFonts w:ascii="Arial" w:cs="Arial" w:eastAsia="Arial" w:hAnsi="Arial"/>
          <w:sz w:val="16"/>
          <w:szCs w:val="16"/>
          <w:color w:val="auto"/>
        </w:rPr>
        <w:t>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on its consolidated financial statements and record a non-controlling interest related to the OpCo Units and HoldCo Units held by our pre-IPO owners on its consolidated balance sheet and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260"/>
          </w:cols>
          <w:pgMar w:left="820" w:top="664" w:right="819" w:bottom="1440" w:gutter="0" w:footer="0" w:header="0"/>
        </w:sectPr>
      </w:pPr>
    </w:p>
    <w:bookmarkStart w:id="19" w:name="page20"/>
    <w:bookmarkEnd w:id="19"/>
    <w:p>
      <w:pPr>
        <w:jc w:val="both"/>
        <w:ind w:left="6" w:firstLine="314"/>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7182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7182485"/>
                    </a:xfrm>
                    <a:prstGeom prst="rect">
                      <a:avLst/>
                    </a:prstGeom>
                    <a:noFill/>
                  </pic:spPr>
                </pic:pic>
              </a:graphicData>
            </a:graphic>
          </wp:anchor>
        </w:drawing>
        <w:t>The simplified diagram below depicts our organizational structure immediately following the consummation of the Offering Transactions (as described under “Organizational Structure—Offering Transactions”) and the Reorganization Transactions (assuming no exercise of the over-allotment option by the underwriters). Unless otherwise stated or the context otherwise requires, the information provided in this prospectus reflects the consummation of the Offering Transactions and the Reorganization Transactions.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________________</w:t>
      </w:r>
    </w:p>
    <w:p>
      <w:pPr>
        <w:spacing w:after="0" w:line="8" w:lineRule="exact"/>
        <w:rPr>
          <w:sz w:val="20"/>
          <w:szCs w:val="20"/>
          <w:color w:val="auto"/>
        </w:rPr>
      </w:pPr>
    </w:p>
    <w:p>
      <w:pPr>
        <w:jc w:val="both"/>
        <w:ind w:left="306" w:right="20" w:hanging="306"/>
        <w:spacing w:after="0" w:line="256" w:lineRule="auto"/>
        <w:tabs>
          <w:tab w:leader="none" w:pos="306" w:val="left"/>
        </w:tabs>
        <w:numPr>
          <w:ilvl w:val="0"/>
          <w:numId w:val="14"/>
        </w:numPr>
        <w:rPr>
          <w:rFonts w:ascii="Arial" w:cs="Arial" w:eastAsia="Arial" w:hAnsi="Arial"/>
          <w:sz w:val="13"/>
          <w:szCs w:val="13"/>
          <w:color w:val="auto"/>
        </w:rPr>
      </w:pPr>
      <w:r>
        <w:rPr>
          <w:rFonts w:ascii="Arial" w:cs="Arial" w:eastAsia="Arial" w:hAnsi="Arial"/>
          <w:sz w:val="13"/>
          <w:szCs w:val="13"/>
          <w:color w:val="auto"/>
        </w:rPr>
        <w:t>Each share of Class B common stock will provide the holder with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this offering, the Pre-IPO OpCo Unitholders and the Pre-IPO HoldCo Unitholders will hold 234,932,785 and 4,231,310 shares of our Class B common stock, respectively, collectively representing 100% of our outstanding Class B common stock, and will collectively hold 70.0% of the voting power in ZoomInfo Technologies Inc. Immediately following this offering, the holders of our Class B and Class C common stock will collectively hold 98.7% of the voting power in ZoomInfo Technologies Inc. For additional information, see “Organizational Structure—Organizational Structure Following this Offering and the Transactions” and “Description of Capital Stock—Common Stock—Class B Common Stock.”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266"/>
          </w:cols>
          <w:pgMar w:left="814" w:top="664" w:right="819" w:bottom="1440" w:gutter="0" w:footer="0" w:header="0"/>
        </w:sectPr>
      </w:pPr>
    </w:p>
    <w:bookmarkStart w:id="20" w:name="page21"/>
    <w:bookmarkEnd w:id="20"/>
    <w:p>
      <w:pPr>
        <w:jc w:val="both"/>
        <w:ind w:left="306" w:right="20" w:hanging="306"/>
        <w:spacing w:after="0" w:line="255" w:lineRule="auto"/>
        <w:tabs>
          <w:tab w:leader="none" w:pos="306" w:val="left"/>
        </w:tabs>
        <w:numPr>
          <w:ilvl w:val="0"/>
          <w:numId w:val="1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5909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0575" cy="5909945"/>
                    </a:xfrm>
                    <a:prstGeom prst="rect">
                      <a:avLst/>
                    </a:prstGeom>
                    <a:noFill/>
                  </pic:spPr>
                </pic:pic>
              </a:graphicData>
            </a:graphic>
          </wp:anchor>
        </w:drawing>
        <w:t>Each share of Class C common stock will provide the holder with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98,106,387 shares of our Class C common stock, representing 100% of our Class C common stock, and will collectively hold 28.7% of the voting power in ZoomInfo Technologies Inc. Immediately following this offering, the holders of our Class B and Class C common stock will collectively hold 98.7% of the voting power in ZoomInfo Technologies Inc. For additional information, see “Organizational Structure—Organizational Structure Following this Offering and the Transactions” and “Description of Capital Stock—Common Stock—Class C Common Stock.”</w:t>
      </w:r>
    </w:p>
    <w:p>
      <w:pPr>
        <w:jc w:val="both"/>
        <w:ind w:left="306" w:right="20" w:hanging="306"/>
        <w:spacing w:after="0" w:line="234" w:lineRule="auto"/>
        <w:tabs>
          <w:tab w:leader="none" w:pos="30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Assuming such Class P Units are fully vested, at the time of this offering, 10,657,948 shares of Class A common stock would be issuable upon the exchange of 14,471,631 Class P Units that are held by the Continuing Class P Unitholders. For additional information, see “Organizational Structure—Reclassification and Amendment and Restatement of Limited Liability Company Agreement of ZoomInfo OpCo” and “Certain Relationships and Related Person Transactions—ZoomInfo OpCo Amended and Restated Limited Liability Company Agreement.”</w:t>
      </w:r>
    </w:p>
    <w:p>
      <w:pPr>
        <w:jc w:val="both"/>
        <w:ind w:left="306" w:right="20" w:hanging="306"/>
        <w:spacing w:after="0" w:line="238" w:lineRule="auto"/>
        <w:tabs>
          <w:tab w:leader="none" w:pos="306" w:val="left"/>
        </w:tabs>
        <w:numPr>
          <w:ilvl w:val="0"/>
          <w:numId w:val="15"/>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our first lien revolving credit facility and our first lien term loan facility, as amended (together, the “first lien credit facilities”), and our second lien term loan facility (together with the first lien credit facilities, the “secured credit facilities”). See “Description of Certain Indebtedness.”</w:t>
      </w:r>
    </w:p>
    <w:p>
      <w:pPr>
        <w:spacing w:after="0" w:line="144" w:lineRule="exact"/>
        <w:rPr>
          <w:sz w:val="20"/>
          <w:szCs w:val="20"/>
          <w:color w:val="auto"/>
        </w:rPr>
      </w:pPr>
    </w:p>
    <w:p>
      <w:pPr>
        <w:jc w:val="both"/>
        <w:ind w:left="6" w:firstLine="314"/>
        <w:spacing w:after="0" w:line="267" w:lineRule="auto"/>
        <w:rPr>
          <w:sz w:val="20"/>
          <w:szCs w:val="20"/>
          <w:color w:val="auto"/>
        </w:rPr>
      </w:pPr>
      <w:r>
        <w:rPr>
          <w:rFonts w:ascii="Arial" w:cs="Arial" w:eastAsia="Arial" w:hAnsi="Arial"/>
          <w:sz w:val="17"/>
          <w:szCs w:val="17"/>
          <w:color w:val="auto"/>
        </w:rPr>
        <w:t>The following table presents the outstanding common stock, OpCo Units, and HoldCo Units (i) on an actual basis, excluding the conversion of 14,471,631 Class P Units held by the Continuing Class P Unitholders, which are convertible for 10,657,948 shares of Class A common stock upon vesting, and (ii) on a diluted basis, assuming the conversion of such Class P Units, upon completion of the Reorganization Transactions and the Offering Transactions (assuming no exercise of the over-allotment option by the underwriters):</w:t>
      </w:r>
    </w:p>
    <w:p>
      <w:pPr>
        <w:sectPr>
          <w:pgSz w:w="11900" w:h="16838" w:orient="portrait"/>
          <w:cols w:equalWidth="0" w:num="1">
            <w:col w:w="10266"/>
          </w:cols>
          <w:pgMar w:left="814" w:top="65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6"/>
        <w:spacing w:after="0"/>
        <w:rPr>
          <w:sz w:val="20"/>
          <w:szCs w:val="20"/>
          <w:color w:val="auto"/>
        </w:rPr>
      </w:pPr>
      <w:r>
        <w:rPr>
          <w:rFonts w:ascii="Arial" w:cs="Arial" w:eastAsia="Arial" w:hAnsi="Arial"/>
          <w:sz w:val="14"/>
          <w:szCs w:val="14"/>
          <w:color w:val="auto"/>
        </w:rPr>
        <w:t>Public Stockholders</w:t>
      </w:r>
      <w:r>
        <w:rPr>
          <w:rFonts w:ascii="Arial" w:cs="Arial" w:eastAsia="Arial" w:hAnsi="Arial"/>
          <w:sz w:val="8"/>
          <w:szCs w:val="8"/>
          <w:color w:val="auto"/>
        </w:rPr>
        <w:t>(1)</w:t>
      </w:r>
    </w:p>
    <w:p>
      <w:pPr>
        <w:spacing w:after="0" w:line="101" w:lineRule="exact"/>
        <w:rPr>
          <w:sz w:val="20"/>
          <w:szCs w:val="20"/>
          <w:color w:val="auto"/>
        </w:rPr>
      </w:pPr>
    </w:p>
    <w:p>
      <w:pPr>
        <w:ind w:left="26"/>
        <w:spacing w:after="0"/>
        <w:rPr>
          <w:sz w:val="20"/>
          <w:szCs w:val="20"/>
          <w:color w:val="auto"/>
        </w:rPr>
      </w:pPr>
      <w:r>
        <w:rPr>
          <w:rFonts w:ascii="Arial" w:cs="Arial" w:eastAsia="Arial" w:hAnsi="Arial"/>
          <w:sz w:val="14"/>
          <w:szCs w:val="14"/>
          <w:color w:val="auto"/>
        </w:rPr>
        <w:t>Pre-IPO OpCo Unitholders</w:t>
      </w:r>
    </w:p>
    <w:p>
      <w:pPr>
        <w:spacing w:after="0" w:line="101" w:lineRule="exact"/>
        <w:rPr>
          <w:sz w:val="20"/>
          <w:szCs w:val="20"/>
          <w:color w:val="auto"/>
        </w:rPr>
      </w:pPr>
    </w:p>
    <w:p>
      <w:pPr>
        <w:ind w:left="26"/>
        <w:spacing w:after="0"/>
        <w:rPr>
          <w:sz w:val="20"/>
          <w:szCs w:val="20"/>
          <w:color w:val="auto"/>
        </w:rPr>
      </w:pPr>
      <w:r>
        <w:rPr>
          <w:rFonts w:ascii="Arial" w:cs="Arial" w:eastAsia="Arial" w:hAnsi="Arial"/>
          <w:sz w:val="14"/>
          <w:szCs w:val="14"/>
          <w:color w:val="auto"/>
        </w:rPr>
        <w:t>Pre-IPO HoldCo Unitholders</w:t>
      </w:r>
    </w:p>
    <w:p>
      <w:pPr>
        <w:spacing w:after="0" w:line="101" w:lineRule="exact"/>
        <w:rPr>
          <w:sz w:val="20"/>
          <w:szCs w:val="20"/>
          <w:color w:val="auto"/>
        </w:rPr>
      </w:pPr>
    </w:p>
    <w:p>
      <w:pPr>
        <w:ind w:left="26"/>
        <w:spacing w:after="0"/>
        <w:rPr>
          <w:sz w:val="20"/>
          <w:szCs w:val="20"/>
          <w:color w:val="auto"/>
        </w:rPr>
      </w:pPr>
      <w:r>
        <w:rPr>
          <w:rFonts w:ascii="Arial" w:cs="Arial" w:eastAsia="Arial" w:hAnsi="Arial"/>
          <w:sz w:val="14"/>
          <w:szCs w:val="14"/>
          <w:color w:val="auto"/>
        </w:rPr>
        <w:t>Pre-IPO Blocker Holders</w:t>
      </w:r>
    </w:p>
    <w:p>
      <w:pPr>
        <w:spacing w:after="0" w:line="101" w:lineRule="exact"/>
        <w:rPr>
          <w:sz w:val="20"/>
          <w:szCs w:val="20"/>
          <w:color w:val="auto"/>
        </w:rPr>
      </w:pPr>
    </w:p>
    <w:p>
      <w:pPr>
        <w:ind w:left="26"/>
        <w:spacing w:after="0"/>
        <w:rPr>
          <w:sz w:val="20"/>
          <w:szCs w:val="20"/>
          <w:color w:val="auto"/>
        </w:rPr>
      </w:pPr>
      <w:r>
        <w:rPr>
          <w:rFonts w:ascii="Arial" w:cs="Arial" w:eastAsia="Arial" w:hAnsi="Arial"/>
          <w:sz w:val="14"/>
          <w:szCs w:val="14"/>
          <w:color w:val="auto"/>
        </w:rPr>
        <w:t>ZoomInfo Technologies Inc.</w:t>
      </w:r>
    </w:p>
    <w:p>
      <w:pPr>
        <w:spacing w:after="0" w:line="101" w:lineRule="exact"/>
        <w:rPr>
          <w:sz w:val="20"/>
          <w:szCs w:val="20"/>
          <w:color w:val="auto"/>
        </w:rPr>
      </w:pPr>
    </w:p>
    <w:p>
      <w:pPr>
        <w:ind w:left="26"/>
        <w:spacing w:after="0"/>
        <w:rPr>
          <w:sz w:val="20"/>
          <w:szCs w:val="20"/>
          <w:color w:val="auto"/>
        </w:rPr>
      </w:pPr>
      <w:r>
        <w:rPr>
          <w:rFonts w:ascii="Arial" w:cs="Arial" w:eastAsia="Arial" w:hAnsi="Arial"/>
          <w:sz w:val="14"/>
          <w:szCs w:val="14"/>
          <w:color w:val="auto"/>
        </w:rPr>
        <w:t>ZoomInfo HoldCo</w:t>
      </w:r>
    </w:p>
    <w:p>
      <w:pPr>
        <w:spacing w:after="0" w:line="101" w:lineRule="exact"/>
        <w:rPr>
          <w:sz w:val="20"/>
          <w:szCs w:val="20"/>
          <w:color w:val="auto"/>
        </w:rPr>
      </w:pPr>
    </w:p>
    <w:p>
      <w:pPr>
        <w:ind w:left="266"/>
        <w:spacing w:after="0"/>
        <w:rPr>
          <w:sz w:val="20"/>
          <w:szCs w:val="20"/>
          <w:color w:val="auto"/>
        </w:rPr>
      </w:pPr>
      <w:r>
        <w:rPr>
          <w:rFonts w:ascii="Arial" w:cs="Arial" w:eastAsia="Arial" w:hAnsi="Arial"/>
          <w:sz w:val="14"/>
          <w:szCs w:val="14"/>
          <w:color w:val="auto"/>
        </w:rPr>
        <w:t>Total outstanding</w:t>
      </w:r>
    </w:p>
    <w:p>
      <w:pPr>
        <w:spacing w:after="0" w:line="35" w:lineRule="exact"/>
        <w:rPr>
          <w:sz w:val="20"/>
          <w:szCs w:val="20"/>
          <w:color w:val="auto"/>
        </w:rPr>
      </w:pPr>
    </w:p>
    <w:p>
      <w:pPr>
        <w:ind w:left="426" w:hanging="156"/>
        <w:spacing w:after="0" w:line="227" w:lineRule="auto"/>
        <w:rPr>
          <w:sz w:val="20"/>
          <w:szCs w:val="20"/>
          <w:color w:val="auto"/>
        </w:rPr>
      </w:pPr>
      <w:r>
        <w:rPr>
          <w:rFonts w:ascii="Arial" w:cs="Arial" w:eastAsia="Arial" w:hAnsi="Arial"/>
          <w:sz w:val="14"/>
          <w:szCs w:val="14"/>
          <w:color w:val="auto"/>
        </w:rPr>
        <w:t>Total, after giving effect to the conversion of Class P Units held by Continuing Class P Unitholders</w:t>
      </w:r>
      <w:r>
        <w:rPr>
          <w:rFonts w:ascii="Arial" w:cs="Arial" w:eastAsia="Arial" w:hAnsi="Arial"/>
          <w:sz w:val="8"/>
          <w:szCs w:val="8"/>
          <w:color w:val="auto"/>
        </w:rPr>
        <w:t>(2)</w:t>
      </w:r>
    </w:p>
    <w:p>
      <w:pPr>
        <w:spacing w:after="0" w:line="20" w:lineRule="exact"/>
        <w:rPr>
          <w:sz w:val="20"/>
          <w:szCs w:val="20"/>
          <w:color w:val="auto"/>
        </w:rPr>
      </w:pPr>
    </w:p>
    <w:p>
      <w:pPr>
        <w:jc w:val="both"/>
        <w:ind w:left="426" w:right="60" w:hanging="156"/>
        <w:spacing w:after="0" w:line="246" w:lineRule="auto"/>
        <w:rPr>
          <w:sz w:val="20"/>
          <w:szCs w:val="20"/>
          <w:color w:val="auto"/>
        </w:rPr>
      </w:pPr>
      <w:r>
        <w:rPr>
          <w:rFonts w:ascii="Arial" w:cs="Arial" w:eastAsia="Arial" w:hAnsi="Arial"/>
          <w:sz w:val="13"/>
          <w:szCs w:val="13"/>
          <w:color w:val="auto"/>
        </w:rPr>
        <w:t>Total, after giving further effect to the vesting of employee equity grants under our 2020 Omnibus Incentive Plan</w:t>
      </w:r>
      <w:r>
        <w:rPr>
          <w:rFonts w:ascii="Arial" w:cs="Arial" w:eastAsia="Arial" w:hAnsi="Arial"/>
          <w:sz w:val="7"/>
          <w:szCs w:val="7"/>
          <w:color w:val="auto"/>
        </w:rPr>
        <w:t>(3)</w:t>
      </w:r>
    </w:p>
    <w:p>
      <w:pPr>
        <w:spacing w:after="0" w:line="16" w:lineRule="exact"/>
        <w:rPr>
          <w:sz w:val="20"/>
          <w:szCs w:val="20"/>
          <w:color w:val="auto"/>
        </w:rPr>
      </w:pPr>
    </w:p>
    <w:p>
      <w:pPr>
        <w:ind w:left="6"/>
        <w:spacing w:after="0"/>
        <w:rPr>
          <w:sz w:val="20"/>
          <w:szCs w:val="20"/>
          <w:color w:val="auto"/>
        </w:rPr>
      </w:pPr>
      <w:r>
        <w:rPr>
          <w:rFonts w:ascii="Arial" w:cs="Arial" w:eastAsia="Arial" w:hAnsi="Arial"/>
          <w:sz w:val="14"/>
          <w:szCs w:val="14"/>
          <w:color w:val="auto"/>
        </w:rPr>
        <w:t>________________</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146"/>
        </w:trPr>
        <w:tc>
          <w:tcPr>
            <w:tcW w:w="1360" w:type="dxa"/>
            <w:vAlign w:val="bottom"/>
            <w:gridSpan w:val="2"/>
          </w:tcPr>
          <w:p>
            <w:pPr>
              <w:jc w:val="right"/>
              <w:ind w:right="220"/>
              <w:spacing w:after="0" w:line="146" w:lineRule="exact"/>
              <w:rPr>
                <w:sz w:val="20"/>
                <w:szCs w:val="20"/>
                <w:color w:val="auto"/>
              </w:rPr>
            </w:pPr>
            <w:r>
              <w:rPr>
                <w:rFonts w:ascii="Arial" w:cs="Arial" w:eastAsia="Arial" w:hAnsi="Arial"/>
                <w:sz w:val="14"/>
                <w:szCs w:val="14"/>
                <w:b w:val="1"/>
                <w:bCs w:val="1"/>
                <w:color w:val="auto"/>
                <w:w w:val="96"/>
              </w:rPr>
              <w:t>Class A Common</w:t>
            </w:r>
          </w:p>
        </w:tc>
        <w:tc>
          <w:tcPr>
            <w:tcW w:w="13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Class B Common</w:t>
            </w:r>
          </w:p>
        </w:tc>
        <w:tc>
          <w:tcPr>
            <w:tcW w:w="1320" w:type="dxa"/>
            <w:vAlign w:val="bottom"/>
            <w:gridSpan w:val="2"/>
          </w:tcPr>
          <w:p>
            <w:pPr>
              <w:jc w:val="right"/>
              <w:ind w:right="180"/>
              <w:spacing w:after="0" w:line="146" w:lineRule="exact"/>
              <w:rPr>
                <w:sz w:val="20"/>
                <w:szCs w:val="20"/>
                <w:color w:val="auto"/>
              </w:rPr>
            </w:pPr>
            <w:r>
              <w:rPr>
                <w:rFonts w:ascii="Arial" w:cs="Arial" w:eastAsia="Arial" w:hAnsi="Arial"/>
                <w:sz w:val="14"/>
                <w:szCs w:val="14"/>
                <w:b w:val="1"/>
                <w:bCs w:val="1"/>
                <w:color w:val="auto"/>
                <w:w w:val="96"/>
              </w:rPr>
              <w:t>Class C Common</w:t>
            </w:r>
          </w:p>
        </w:tc>
        <w:tc>
          <w:tcPr>
            <w:tcW w:w="13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11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HoldCo Units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OpCo Units</w:t>
            </w:r>
          </w:p>
        </w:tc>
        <w:tc>
          <w:tcPr>
            <w:tcW w:w="0" w:type="dxa"/>
            <w:vAlign w:val="bottom"/>
          </w:tcPr>
          <w:p>
            <w:pPr>
              <w:spacing w:after="0"/>
              <w:rPr>
                <w:sz w:val="1"/>
                <w:szCs w:val="1"/>
                <w:color w:val="auto"/>
              </w:rPr>
            </w:pPr>
          </w:p>
        </w:tc>
      </w:tr>
      <w:tr>
        <w:trPr>
          <w:trHeight w:val="188"/>
        </w:trPr>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Stock</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Stock</w:t>
            </w:r>
          </w:p>
        </w:tc>
        <w:tc>
          <w:tcPr>
            <w:tcW w:w="13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45,378,984</w:t>
            </w: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45,378,984</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234,932,785</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234,932,785</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color w:val="auto"/>
              </w:rPr>
              <w:t>234,932,785</w:t>
            </w: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4,231,310</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4,231,310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4,231,310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143,485,371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2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147,716,681</w:t>
            </w:r>
          </w:p>
        </w:tc>
        <w:tc>
          <w:tcPr>
            <w:tcW w:w="0" w:type="dxa"/>
            <w:vAlign w:val="bottom"/>
          </w:tcPr>
          <w:p>
            <w:pPr>
              <w:spacing w:after="0"/>
              <w:rPr>
                <w:sz w:val="1"/>
                <w:szCs w:val="1"/>
                <w:color w:val="auto"/>
              </w:rPr>
            </w:pPr>
          </w:p>
        </w:tc>
      </w:tr>
      <w:tr>
        <w:trPr>
          <w:trHeight w:val="229"/>
        </w:trPr>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45,378,984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239,164,095</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382,649,466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147,716,681</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382,649,466</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56,036,932</w:t>
            </w: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239,164,095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393,307,414</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158,374,629</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393,307,414</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1240" w:type="dxa"/>
            <w:vAlign w:val="bottom"/>
          </w:tcPr>
          <w:p>
            <w:pPr>
              <w:jc w:val="right"/>
              <w:ind w:right="30"/>
              <w:spacing w:after="0"/>
              <w:rPr>
                <w:sz w:val="20"/>
                <w:szCs w:val="20"/>
                <w:color w:val="auto"/>
              </w:rPr>
            </w:pPr>
            <w:r>
              <w:rPr>
                <w:rFonts w:ascii="Arial" w:cs="Arial" w:eastAsia="Arial" w:hAnsi="Arial"/>
                <w:sz w:val="14"/>
                <w:szCs w:val="14"/>
                <w:color w:val="auto"/>
              </w:rPr>
              <w:t>56,597,992</w:t>
            </w:r>
          </w:p>
        </w:tc>
        <w:tc>
          <w:tcPr>
            <w:tcW w:w="12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239,164,095</w:t>
            </w:r>
          </w:p>
        </w:tc>
        <w:tc>
          <w:tcPr>
            <w:tcW w:w="1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393,868,474</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158,935,689</w:t>
            </w:r>
          </w:p>
        </w:tc>
        <w:tc>
          <w:tcPr>
            <w:tcW w:w="1400" w:type="dxa"/>
            <w:vAlign w:val="bottom"/>
            <w:gridSpan w:val="3"/>
          </w:tcPr>
          <w:p>
            <w:pPr>
              <w:jc w:val="right"/>
              <w:ind w:right="10"/>
              <w:spacing w:after="0"/>
              <w:rPr>
                <w:sz w:val="20"/>
                <w:szCs w:val="20"/>
                <w:color w:val="auto"/>
              </w:rPr>
            </w:pPr>
            <w:r>
              <w:rPr>
                <w:rFonts w:ascii="Arial" w:cs="Arial" w:eastAsia="Arial" w:hAnsi="Arial"/>
                <w:sz w:val="14"/>
                <w:szCs w:val="14"/>
                <w:color w:val="auto"/>
              </w:rPr>
              <w:t>393,868,474</w:t>
            </w: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2">
            <w:col w:w="2246" w:space="120"/>
            <w:col w:w="7900"/>
          </w:cols>
          <w:pgMar w:left="814" w:top="658" w:right="819" w:bottom="1440" w:gutter="0" w:footer="0" w:header="0"/>
          <w:type w:val="continuous"/>
        </w:sectPr>
      </w:pPr>
    </w:p>
    <w:p>
      <w:pPr>
        <w:ind w:left="306" w:right="20" w:hanging="306"/>
        <w:spacing w:after="0" w:line="234" w:lineRule="auto"/>
        <w:tabs>
          <w:tab w:leader="none" w:pos="30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878,984 shares of Class A common stock issued to former employees of ZoomInfo OpCo in exchange for vested direct and indirect interests in ZoomInfo OpCo held prior to the offering.</w:t>
      </w:r>
    </w:p>
    <w:p>
      <w:pPr>
        <w:ind w:left="306" w:right="20" w:hanging="306"/>
        <w:spacing w:after="0" w:line="234" w:lineRule="auto"/>
        <w:tabs>
          <w:tab w:leader="none" w:pos="30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06" w:right="20" w:hanging="306"/>
        <w:spacing w:after="0" w:line="238" w:lineRule="auto"/>
        <w:tabs>
          <w:tab w:leader="none" w:pos="30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513,440 restricted stock units and 47,620 LTIP Units to be granted in connection with this offering under the 2020 Omnibus Incentive Plan. In addition, 577,879 stock options, which we refer to as “leverage restoration options,” and 630,000 Class P Units, in each case with a strike price equal to the public offering price per share of Class A common stock, are expected to be granted in connection with the offering under the 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266"/>
          </w:cols>
          <w:pgMar w:left="814" w:top="658" w:right="819" w:bottom="1440" w:gutter="0" w:footer="0" w:header="0"/>
          <w:type w:val="continuous"/>
        </w:sectPr>
      </w:pPr>
    </w:p>
    <w:bookmarkStart w:id="21" w:name="page22"/>
    <w:bookmarkEnd w:id="21"/>
    <w:p>
      <w:pPr>
        <w:jc w:val="both"/>
        <w:ind w:left="20" w:firstLine="31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7232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0575" cy="7232015"/>
                    </a:xfrm>
                    <a:prstGeom prst="rect">
                      <a:avLst/>
                    </a:prstGeom>
                    <a:noFill/>
                  </pic:spPr>
                </pic:pic>
              </a:graphicData>
            </a:graphic>
          </wp:anchor>
        </w:drawing>
        <w:t>The following table presents the economic interests and combined voting power in ZoomInfo Technologies Inc. held by the Sponsors, the Founders, management and others, and public stockholders (which does not reflect the exchange of any Class P Unit for a share of Class A common stock), upon completion of the Reorganization Transactions and the Offering Transactions (assuming no exercise of the over-allotment option by the underwriters):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220" w:type="dxa"/>
            <w:vAlign w:val="bottom"/>
            <w:gridSpan w:val="3"/>
          </w:tcPr>
          <w:p>
            <w:pPr>
              <w:jc w:val="center"/>
              <w:ind w:left="939"/>
              <w:spacing w:after="0"/>
              <w:rPr>
                <w:sz w:val="20"/>
                <w:szCs w:val="20"/>
                <w:color w:val="auto"/>
              </w:rPr>
            </w:pPr>
            <w:r>
              <w:rPr>
                <w:rFonts w:ascii="Arial" w:cs="Arial" w:eastAsia="Arial" w:hAnsi="Arial"/>
                <w:sz w:val="14"/>
                <w:szCs w:val="14"/>
                <w:b w:val="1"/>
                <w:bCs w:val="1"/>
                <w:color w:val="auto"/>
                <w:w w:val="89"/>
              </w:rPr>
              <w:t>Common Stock</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vMerge w:val="restart"/>
          </w:tcPr>
          <w:p>
            <w:pPr>
              <w:ind w:left="1180"/>
              <w:spacing w:after="0"/>
              <w:rPr>
                <w:sz w:val="20"/>
                <w:szCs w:val="20"/>
                <w:color w:val="auto"/>
              </w:rPr>
            </w:pPr>
            <w:r>
              <w:rPr>
                <w:rFonts w:ascii="Arial" w:cs="Arial" w:eastAsia="Arial" w:hAnsi="Arial"/>
                <w:sz w:val="14"/>
                <w:szCs w:val="14"/>
                <w:b w:val="1"/>
                <w:bCs w:val="1"/>
                <w:color w:val="auto"/>
              </w:rPr>
              <w:t>Voting Power</w:t>
            </w:r>
            <w:r>
              <w:rPr>
                <w:rFonts w:ascii="Arial" w:cs="Arial" w:eastAsia="Arial" w:hAnsi="Arial"/>
                <w:sz w:val="8"/>
                <w:szCs w:val="8"/>
                <w:b w:val="1"/>
                <w:bCs w:val="1"/>
                <w:color w:val="auto"/>
              </w:rPr>
              <w:t>(2)</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222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Owned</w:t>
            </w:r>
            <w:r>
              <w:rPr>
                <w:rFonts w:ascii="Arial" w:cs="Arial" w:eastAsia="Arial" w:hAnsi="Arial"/>
                <w:sz w:val="8"/>
                <w:szCs w:val="8"/>
                <w:b w:val="1"/>
                <w:bCs w:val="1"/>
                <w:color w:val="auto"/>
                <w:w w:val="92"/>
              </w:rPr>
              <w:t>(1)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720" w:type="dxa"/>
            <w:vAlign w:val="bottom"/>
          </w:tcPr>
          <w:p>
            <w:pPr>
              <w:spacing w:after="0"/>
              <w:rPr>
                <w:sz w:val="22"/>
                <w:szCs w:val="22"/>
                <w:color w:val="auto"/>
              </w:rPr>
            </w:pPr>
          </w:p>
        </w:tc>
        <w:tc>
          <w:tcPr>
            <w:tcW w:w="2220" w:type="dxa"/>
            <w:vAlign w:val="bottom"/>
            <w:gridSpan w:val="3"/>
          </w:tcPr>
          <w:p>
            <w:pPr>
              <w:ind w:left="56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right"/>
              <w:ind w:right="6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20" w:type="dxa"/>
            <w:vAlign w:val="bottom"/>
            <w:gridSpan w:val="3"/>
          </w:tcPr>
          <w:p>
            <w:pPr>
              <w:ind w:left="600"/>
              <w:spacing w:after="0"/>
              <w:rPr>
                <w:sz w:val="20"/>
                <w:szCs w:val="20"/>
                <w:color w:val="auto"/>
              </w:rPr>
            </w:pPr>
            <w:r>
              <w:rPr>
                <w:rFonts w:ascii="Arial" w:cs="Arial" w:eastAsia="Arial" w:hAnsi="Arial"/>
                <w:sz w:val="14"/>
                <w:szCs w:val="14"/>
                <w:b w:val="1"/>
                <w:bCs w:val="1"/>
                <w:color w:val="auto"/>
              </w:rPr>
              <w:t>Votes</w:t>
            </w:r>
          </w:p>
        </w:tc>
        <w:tc>
          <w:tcPr>
            <w:tcW w:w="1000" w:type="dxa"/>
            <w:vAlign w:val="bottom"/>
          </w:tcPr>
          <w:p>
            <w:pPr>
              <w:jc w:val="right"/>
              <w:ind w:right="6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3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Sponsors</w:t>
            </w:r>
          </w:p>
        </w:tc>
        <w:tc>
          <w:tcPr>
            <w:tcW w:w="15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251,207,121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2,512,071,210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62"/>
        </w:trPr>
        <w:tc>
          <w:tcPr>
            <w:tcW w:w="3720" w:type="dxa"/>
            <w:vAlign w:val="bottom"/>
          </w:tcPr>
          <w:p>
            <w:pPr>
              <w:ind w:left="40"/>
              <w:spacing w:after="0" w:line="262" w:lineRule="exact"/>
              <w:rPr>
                <w:sz w:val="20"/>
                <w:szCs w:val="20"/>
                <w:color w:val="auto"/>
              </w:rPr>
            </w:pPr>
            <w:r>
              <w:rPr>
                <w:rFonts w:ascii="Arial" w:cs="Arial" w:eastAsia="Arial" w:hAnsi="Arial"/>
                <w:sz w:val="17"/>
                <w:szCs w:val="17"/>
                <w:color w:val="auto"/>
              </w:rPr>
              <w:t>Founders</w:t>
            </w:r>
            <w:r>
              <w:rPr>
                <w:rFonts w:ascii="Arial" w:cs="Arial" w:eastAsia="Arial" w:hAnsi="Arial"/>
                <w:sz w:val="24"/>
                <w:szCs w:val="24"/>
                <w:color w:val="auto"/>
                <w:vertAlign w:val="superscript"/>
              </w:rPr>
              <w:t>(3)</w:t>
            </w:r>
          </w:p>
        </w:tc>
        <w:tc>
          <w:tcPr>
            <w:tcW w:w="1520" w:type="dxa"/>
            <w:vAlign w:val="bottom"/>
          </w:tcPr>
          <w:p>
            <w:pPr>
              <w:jc w:val="right"/>
              <w:ind w:right="19"/>
              <w:spacing w:after="0"/>
              <w:rPr>
                <w:sz w:val="20"/>
                <w:szCs w:val="20"/>
                <w:color w:val="auto"/>
              </w:rPr>
            </w:pPr>
            <w:r>
              <w:rPr>
                <w:rFonts w:ascii="Arial" w:cs="Arial" w:eastAsia="Arial" w:hAnsi="Arial"/>
                <w:sz w:val="17"/>
                <w:szCs w:val="17"/>
                <w:color w:val="auto"/>
              </w:rPr>
              <w:t>66,011,392</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660,113,920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42"/>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Management and Others</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20,051,969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200,519,690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62"/>
        </w:trPr>
        <w:tc>
          <w:tcPr>
            <w:tcW w:w="3720" w:type="dxa"/>
            <w:vAlign w:val="bottom"/>
            <w:tcBorders>
              <w:bottom w:val="single" w:sz="8" w:color="CCEEFF"/>
            </w:tcBorders>
          </w:tcPr>
          <w:p>
            <w:pPr>
              <w:ind w:left="40"/>
              <w:spacing w:after="0" w:line="262" w:lineRule="exact"/>
              <w:rPr>
                <w:sz w:val="20"/>
                <w:szCs w:val="20"/>
                <w:color w:val="auto"/>
              </w:rPr>
            </w:pPr>
            <w:r>
              <w:rPr>
                <w:rFonts w:ascii="Arial" w:cs="Arial" w:eastAsia="Arial" w:hAnsi="Arial"/>
                <w:sz w:val="17"/>
                <w:szCs w:val="17"/>
                <w:color w:val="auto"/>
              </w:rPr>
              <w:t>Public Stockholders</w:t>
            </w:r>
            <w:r>
              <w:rPr>
                <w:rFonts w:ascii="Arial" w:cs="Arial" w:eastAsia="Arial" w:hAnsi="Arial"/>
                <w:sz w:val="24"/>
                <w:szCs w:val="24"/>
                <w:color w:val="auto"/>
                <w:vertAlign w:val="superscript"/>
              </w:rPr>
              <w:t>(4)</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45,378,984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45,378,984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8"/>
        </w:trPr>
        <w:tc>
          <w:tcPr>
            <w:tcW w:w="3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382,649,466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3,418,083,804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Arial" w:cs="Arial" w:eastAsia="Arial" w:hAnsi="Arial"/>
                <w:sz w:val="14"/>
                <w:szCs w:val="14"/>
                <w:color w:val="auto"/>
              </w:rPr>
              <w:t>__________________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72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20" w:right="20" w:hanging="306"/>
        <w:spacing w:after="0" w:line="252" w:lineRule="auto"/>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will relate to one OpCo Unit or HoldCo Unit at the time of the closing of this offering.</w:t>
      </w:r>
    </w:p>
    <w:p>
      <w:pPr>
        <w:ind w:left="320" w:right="20" w:hanging="306"/>
        <w:spacing w:after="0" w:line="234"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beneficial ownership, reflects one vote per share of Class A common stock, ten votes per share of Class B common stock, and ten votes per share of Class C common stock. See “Principal Stockholders” for additional information.</w:t>
      </w:r>
    </w:p>
    <w:p>
      <w:pPr>
        <w:jc w:val="both"/>
        <w:ind w:left="320" w:right="20" w:hanging="306"/>
        <w:spacing w:after="0" w:line="234"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I, LLC and HSKB Funds II, LLC. See “Principal Stockholders” for additional information.</w:t>
      </w:r>
    </w:p>
    <w:p>
      <w:pPr>
        <w:spacing w:after="0" w:line="1" w:lineRule="exact"/>
        <w:rPr>
          <w:rFonts w:ascii="Arial" w:cs="Arial" w:eastAsia="Arial" w:hAnsi="Arial"/>
          <w:sz w:val="14"/>
          <w:szCs w:val="14"/>
          <w:color w:val="auto"/>
        </w:rPr>
      </w:pPr>
    </w:p>
    <w:p>
      <w:pPr>
        <w:ind w:left="320" w:right="20" w:hanging="306"/>
        <w:spacing w:after="0" w:line="242"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878,984 shares of Class A common stock issued to former employees of ZoomInfo OpCo in exchange for vested direct and indirect interests in ZoomInfo OpCo held prior to the offering.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77" w:lineRule="exact"/>
        <w:rPr>
          <w:sz w:val="20"/>
          <w:szCs w:val="20"/>
          <w:color w:val="auto"/>
        </w:rPr>
      </w:pPr>
    </w:p>
    <w:p>
      <w:pPr>
        <w:jc w:val="both"/>
        <w:ind w:left="20" w:firstLine="314"/>
        <w:spacing w:after="0" w:line="289"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companies that conduct initial public offerings and file periodic reports with the Securities and Exchange Commission (the “SEC”). These provisions include, but are not limited to:</w:t>
      </w:r>
    </w:p>
    <w:p>
      <w:pPr>
        <w:spacing w:after="0" w:line="109" w:lineRule="exact"/>
        <w:rPr>
          <w:sz w:val="20"/>
          <w:szCs w:val="20"/>
          <w:color w:val="auto"/>
        </w:rPr>
      </w:pPr>
    </w:p>
    <w:p>
      <w:pPr>
        <w:jc w:val="both"/>
        <w:ind w:left="640" w:right="20" w:hanging="312"/>
        <w:spacing w:after="0" w:line="273"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p>
      <w:pPr>
        <w:spacing w:after="0" w:line="118" w:lineRule="exact"/>
        <w:rPr>
          <w:rFonts w:ascii="Arial" w:cs="Arial" w:eastAsia="Arial" w:hAnsi="Arial"/>
          <w:sz w:val="17"/>
          <w:szCs w:val="17"/>
          <w:color w:val="auto"/>
        </w:rPr>
      </w:pPr>
    </w:p>
    <w:p>
      <w:pPr>
        <w:ind w:left="640" w:right="20" w:hanging="312"/>
        <w:spacing w:after="0" w:line="289"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of 2002, as amended (“SOX”);</w:t>
      </w:r>
    </w:p>
    <w:p>
      <w:pPr>
        <w:spacing w:after="0" w:line="105" w:lineRule="exact"/>
        <w:rPr>
          <w:rFonts w:ascii="Arial" w:cs="Arial" w:eastAsia="Arial" w:hAnsi="Arial"/>
          <w:sz w:val="17"/>
          <w:szCs w:val="17"/>
          <w:color w:val="auto"/>
        </w:rPr>
      </w:pPr>
    </w:p>
    <w:p>
      <w:pPr>
        <w:ind w:left="640" w:right="20" w:hanging="312"/>
        <w:spacing w:after="0" w:line="289"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including in this prospectus;</w:t>
      </w:r>
    </w:p>
    <w:p>
      <w:pPr>
        <w:spacing w:after="0" w:line="105" w:lineRule="exact"/>
        <w:rPr>
          <w:rFonts w:ascii="Arial" w:cs="Arial" w:eastAsia="Arial" w:hAnsi="Arial"/>
          <w:sz w:val="17"/>
          <w:szCs w:val="17"/>
          <w:color w:val="auto"/>
        </w:rPr>
      </w:pPr>
    </w:p>
    <w:p>
      <w:pPr>
        <w:jc w:val="both"/>
        <w:ind w:left="640" w:right="20" w:hanging="312"/>
        <w:spacing w:after="0" w:line="273"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w:t>
      </w:r>
    </w:p>
    <w:p>
      <w:pPr>
        <w:spacing w:after="0" w:line="118" w:lineRule="exact"/>
        <w:rPr>
          <w:rFonts w:ascii="Arial" w:cs="Arial" w:eastAsia="Arial" w:hAnsi="Arial"/>
          <w:sz w:val="17"/>
          <w:szCs w:val="17"/>
          <w:color w:val="auto"/>
        </w:rPr>
      </w:pPr>
    </w:p>
    <w:p>
      <w:pPr>
        <w:ind w:left="640" w:right="20" w:hanging="312"/>
        <w:spacing w:after="0" w:line="289"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will remain an emerging growth company until the earliest to occur of:</w:t>
      </w:r>
    </w:p>
    <w:p>
      <w:pPr>
        <w:spacing w:after="0" w:line="171" w:lineRule="exact"/>
        <w:rPr>
          <w:sz w:val="20"/>
          <w:szCs w:val="20"/>
          <w:color w:val="auto"/>
        </w:rPr>
      </w:pPr>
    </w:p>
    <w:p>
      <w:pPr>
        <w:ind w:left="640" w:hanging="312"/>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last day of the fiscal year that follows the fifth anniversary of the completion of this offering;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30" w:lineRule="exact"/>
        <w:rPr>
          <w:rFonts w:ascii="Arial" w:cs="Arial" w:eastAsia="Arial" w:hAnsi="Arial"/>
          <w:sz w:val="17"/>
          <w:szCs w:val="17"/>
          <w:color w:val="auto"/>
        </w:rPr>
      </w:pPr>
    </w:p>
    <w:p>
      <w:pPr>
        <w:ind w:left="5060"/>
        <w:spacing w:after="0"/>
        <w:rPr>
          <w:rFonts w:ascii="Arial" w:cs="Arial" w:eastAsia="Arial" w:hAnsi="Arial"/>
          <w:sz w:val="17"/>
          <w:szCs w:val="17"/>
          <w:color w:val="auto"/>
        </w:rPr>
      </w:pPr>
      <w:r>
        <w:rPr>
          <w:rFonts w:ascii="Arial" w:cs="Arial" w:eastAsia="Arial" w:hAnsi="Arial"/>
          <w:sz w:val="17"/>
          <w:szCs w:val="17"/>
          <w:color w:val="auto"/>
        </w:rPr>
        <w:t>14</w:t>
      </w:r>
    </w:p>
    <w:p>
      <w:pPr>
        <w:sectPr>
          <w:pgSz w:w="11900" w:h="16838" w:orient="portrait"/>
          <w:cols w:equalWidth="0" w:num="1">
            <w:col w:w="10280"/>
          </w:cols>
          <w:pgMar w:left="800" w:top="664" w:right="819" w:bottom="1440" w:gutter="0" w:footer="0" w:header="0"/>
        </w:sectPr>
      </w:pPr>
    </w:p>
    <w:bookmarkStart w:id="22" w:name="page23"/>
    <w:bookmarkEnd w:id="22"/>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816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0575" cy="6816090"/>
                    </a:xfrm>
                    <a:prstGeom prst="rect">
                      <a:avLst/>
                    </a:prstGeom>
                    <a:noFill/>
                  </pic:spPr>
                </pic:pic>
              </a:graphicData>
            </a:graphic>
          </wp:anchor>
        </w:drawing>
        <w:t>the last day of the fiscal year in which we have total annual gross revenue of at least $1.07 billion;</w:t>
      </w:r>
    </w:p>
    <w:p>
      <w:pPr>
        <w:spacing w:after="0" w:line="171"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date on which we are deemed to be a “large accelerated filer,” as defined in the Securities Exchange Act of 1934, as amended (the “Exchange Act”); and</w:t>
      </w:r>
    </w:p>
    <w:p>
      <w:pPr>
        <w:spacing w:after="0" w:line="105" w:lineRule="exact"/>
        <w:rPr>
          <w:rFonts w:ascii="Arial" w:cs="Arial" w:eastAsia="Arial" w:hAnsi="Arial"/>
          <w:sz w:val="17"/>
          <w:szCs w:val="17"/>
          <w:color w:val="auto"/>
        </w:rPr>
      </w:pPr>
    </w:p>
    <w:p>
      <w:pPr>
        <w:ind w:left="620" w:hanging="312"/>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date on which we have issued more than $1 billion in non-convertible debt over a three-year period.</w:t>
      </w:r>
    </w:p>
    <w:p>
      <w:pPr>
        <w:spacing w:after="0" w:line="171" w:lineRule="exact"/>
        <w:rPr>
          <w:sz w:val="20"/>
          <w:szCs w:val="20"/>
          <w:color w:val="auto"/>
        </w:rPr>
      </w:pPr>
    </w:p>
    <w:p>
      <w:pPr>
        <w:jc w:val="both"/>
        <w:ind w:right="20" w:firstLine="314"/>
        <w:spacing w:after="0" w:line="297"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may elect to take advantage of other reduced reporting requirements in our future filings with the SEC. As a result, the information that we provide to our Class A stockholders may be different than what you might receive from other public reporting companies in which you hold equity interests.</w:t>
      </w:r>
    </w:p>
    <w:p>
      <w:pPr>
        <w:spacing w:after="0" w:line="103" w:lineRule="exact"/>
        <w:rPr>
          <w:sz w:val="20"/>
          <w:szCs w:val="20"/>
          <w:color w:val="auto"/>
        </w:rPr>
      </w:pPr>
    </w:p>
    <w:p>
      <w:pPr>
        <w:jc w:val="both"/>
        <w:ind w:right="20" w:firstLine="314"/>
        <w:spacing w:after="0" w:line="297" w:lineRule="auto"/>
        <w:rPr>
          <w:sz w:val="20"/>
          <w:szCs w:val="20"/>
          <w:color w:val="auto"/>
        </w:rPr>
      </w:pPr>
      <w:r>
        <w:rPr>
          <w:rFonts w:ascii="Arial" w:cs="Arial" w:eastAsia="Arial" w:hAnsi="Arial"/>
          <w:sz w:val="16"/>
          <w:szCs w:val="16"/>
          <w:color w:val="auto"/>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spacing w:after="0" w:line="10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For additional information, see the section titled “Risk Factors—Risks Related to this Offering and Ownership of Our Class A Common Stock—We are an “emerging growth company,” and the reduced disclosure requirements applicable to emerging growth companies may make our Class A common stock less attractive to investors.”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Sponsors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 Associates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Founded in 1968, TA Associates is one of the most experienced global growth private equity firms in the world. TA Associates invests in growing companies with opportunities for sustained growth, and employs a long-term approach, utilizing its strategic resources, to help management teams build lasting value in great companies. With approximately $33.5 billion raised since inception and over five decades of experience, TA Associates offers its portfolio companies strategic guidance, global insight, strategic acquisition support, recruiting assistance, and a significant network of contacts, in addition to sound financial backing. The firm’s investment team is based in Boston, Menlo Park, London, Mumbai, and Hong Kong.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Carlyle Group</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Carlyle Group Inc. (NASDAQ: CG) is a global investment firm with deep industry expertise that deploys private capital across four business segments: Corporate Private Equity, Real Assets, Global Credit, and Investment Solutions. With $217 billion of assets under management as of March 31, 2020, The Carlyle Group’s purpose is to invest wisely and create value on behalf of its investors, portfolio companies, and the communities in which they invest. The Carlyle Group is a leading private equity investor having completed more than 650 transactions representing over $105 billion in equity investments, with particular strength in technology, business services, and communications sectors, which represent over 310 investments and $34 billion of equity invested. The Carlyle Group employs more than 1,775 people in 32 offices across six continents.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22C Capital</w:t>
      </w:r>
    </w:p>
    <w:p>
      <w:pPr>
        <w:spacing w:after="0" w:line="177"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22C Capital is a private investment firm based in New York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cross-disciplinary experience building and running market-leading data analytics companies, including co-founding and leading Capital IQ.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260"/>
          </w:cols>
          <w:pgMar w:left="820" w:top="664" w:right="819" w:bottom="1440" w:gutter="0" w:footer="0" w:header="0"/>
        </w:sectPr>
      </w:pPr>
    </w:p>
    <w:bookmarkStart w:id="23" w:name="page24"/>
    <w:bookmarkEnd w:id="23"/>
    <w:p>
      <w:pPr>
        <w:jc w:val="both"/>
        <w:ind w:firstLine="314"/>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5485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5485765"/>
                    </a:xfrm>
                    <a:prstGeom prst="rect">
                      <a:avLst/>
                    </a:prstGeom>
                    <a:noFill/>
                  </pic:spPr>
                </pic:pic>
              </a:graphicData>
            </a:graphic>
          </wp:anchor>
        </w:drawing>
        <w:t>After the completion of this offering, the parties to our stockholders agreement will beneficially own approximately 89.6% of the combined voting power of our Class A, Class B, and Class C common stock (or 89.4% if 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and each share of Class C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As a result, we will be a “controlled company” within the meaning of the Nasdaq corporate governance standards. Under these corporate governance standards, a company of which more than 50% of the voting power is beneficially owned by an individual, group, or 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its board of directors have a nominating and corporate governance committee that is composed entirely of independent directors with a written charter addressing the committee’s purpose and responsibilities. Accordingly, you will not have the same protections afforded to shareholders of companies that are subject to all of these corporate governance requirements. In the event that we cease to be a “controlled company” and our Class A common stock continues to be listed on the Nasdaq, we will be required to comply with these provisions within the applicable transition periods.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Corporate Information</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ZoomInfo Technologies Inc. was incorporated in Delaware on November 14, 2019. Our principal executive office is located at 805 Broadway Street, Suite 900, Vancouver, Washington 98660, and our telephone number is (800) 914-1220. We maintain a website at www.zoominfo.com. The reference to our website is intended to be an inactive textual reference only. The information contained on, or that can be accessed through, our website is not part of this prospectus and investors should not rely on such information in deciding whether to purchase shares of our common stock.</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own, or have rights to, trademarks, service marks, or trade names that we use in connection with the operation of our business, including ZOOMINFO and DISCOVERORG, which we consider important to our marketing activities. This prospectus also contains trademarks of other companies that to our knowledge are the property of their respective holders, and we do not intend our use or display of such marks to imply relationships with, or endorsements of us by, any other company.</w:t>
      </w:r>
    </w:p>
    <w:p>
      <w:pPr>
        <w:spacing w:after="0" w:line="124" w:lineRule="exact"/>
        <w:rPr>
          <w:sz w:val="20"/>
          <w:szCs w:val="20"/>
          <w:color w:val="auto"/>
        </w:rPr>
      </w:pPr>
    </w:p>
    <w:p>
      <w:pPr>
        <w:jc w:val="both"/>
        <w:ind w:firstLine="314"/>
        <w:spacing w:after="0" w:line="237" w:lineRule="auto"/>
        <w:rPr>
          <w:sz w:val="20"/>
          <w:szCs w:val="20"/>
          <w:color w:val="auto"/>
        </w:rPr>
      </w:pPr>
      <w:r>
        <w:rPr>
          <w:rFonts w:ascii="Arial" w:cs="Arial" w:eastAsia="Arial" w:hAnsi="Arial"/>
          <w:sz w:val="17"/>
          <w:szCs w:val="17"/>
          <w:color w:val="auto"/>
        </w:rPr>
        <w:t xml:space="preserve">Solely for convenience, the trademarks, service marks, and trade names referred to in this prospectus are used without the </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All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260"/>
          </w:cols>
          <w:pgMar w:left="820" w:top="664" w:right="8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7955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7955915"/>
                    </a:xfrm>
                    <a:prstGeom prst="rect">
                      <a:avLst/>
                    </a:prstGeom>
                    <a:noFill/>
                  </pic:spPr>
                </pic:pic>
              </a:graphicData>
            </a:graphic>
          </wp:anchor>
        </w:drawing>
        <w:t>The Offering</w:t>
      </w:r>
    </w:p>
    <w:p>
      <w:pPr>
        <w:sectPr>
          <w:pgSz w:w="11900" w:h="16838" w:orient="portrait"/>
          <w:cols w:equalWidth="0" w:num="1">
            <w:col w:w="10200"/>
          </w:cols>
          <w:pgMar w:left="840" w:top="658" w:right="85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Issuer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offered by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right="200" w:hanging="313"/>
        <w:spacing w:after="0" w:line="289" w:lineRule="auto"/>
        <w:rPr>
          <w:sz w:val="20"/>
          <w:szCs w:val="20"/>
          <w:color w:val="auto"/>
        </w:rPr>
      </w:pPr>
      <w:r>
        <w:rPr>
          <w:rFonts w:ascii="Arial" w:cs="Arial" w:eastAsia="Arial" w:hAnsi="Arial"/>
          <w:sz w:val="17"/>
          <w:szCs w:val="17"/>
          <w:color w:val="auto"/>
        </w:rPr>
        <w:t>Class A common stock outstanding after giving effect to this offering</w:t>
      </w:r>
    </w:p>
    <w:p>
      <w:pPr>
        <w:spacing w:after="0" w:line="328" w:lineRule="exact"/>
        <w:rPr>
          <w:sz w:val="20"/>
          <w:szCs w:val="20"/>
          <w:color w:val="auto"/>
        </w:rPr>
      </w:pPr>
    </w:p>
    <w:p>
      <w:pPr>
        <w:ind w:left="320" w:hanging="313"/>
        <w:spacing w:after="0" w:line="265" w:lineRule="auto"/>
        <w:rPr>
          <w:sz w:val="20"/>
          <w:szCs w:val="20"/>
          <w:color w:val="auto"/>
        </w:rPr>
      </w:pPr>
      <w:r>
        <w:rPr>
          <w:rFonts w:ascii="Arial" w:cs="Arial" w:eastAsia="Arial" w:hAnsi="Arial"/>
          <w:sz w:val="17"/>
          <w:szCs w:val="17"/>
          <w:color w:val="auto"/>
        </w:rPr>
        <w:t>Class A common stock outstanding after this offering assuming exchange of all OpCo Units and HoldCo Units held by the Pre-IPO OpCo Unitholders and the Pre-IPO HoldCo Unitholders, respectively, and conversion of all 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right="300" w:hanging="313"/>
        <w:spacing w:after="0" w:line="289" w:lineRule="auto"/>
        <w:rPr>
          <w:sz w:val="20"/>
          <w:szCs w:val="20"/>
          <w:color w:val="auto"/>
        </w:rPr>
      </w:pPr>
      <w:r>
        <w:rPr>
          <w:rFonts w:ascii="Arial" w:cs="Arial" w:eastAsia="Arial" w:hAnsi="Arial"/>
          <w:sz w:val="17"/>
          <w:szCs w:val="17"/>
          <w:color w:val="auto"/>
        </w:rPr>
        <w:t>Voting power held by investors in this offering after giving effect to this offering</w:t>
      </w:r>
    </w:p>
    <w:p>
      <w:pPr>
        <w:spacing w:after="0" w:line="328" w:lineRule="exact"/>
        <w:rPr>
          <w:sz w:val="20"/>
          <w:szCs w:val="20"/>
          <w:color w:val="auto"/>
        </w:rPr>
      </w:pPr>
    </w:p>
    <w:p>
      <w:pPr>
        <w:ind w:left="320" w:right="20" w:hanging="313"/>
        <w:spacing w:after="0" w:line="289" w:lineRule="auto"/>
        <w:rPr>
          <w:sz w:val="20"/>
          <w:szCs w:val="20"/>
          <w:color w:val="auto"/>
        </w:rPr>
      </w:pPr>
      <w:r>
        <w:rPr>
          <w:rFonts w:ascii="Arial" w:cs="Arial" w:eastAsia="Arial" w:hAnsi="Arial"/>
          <w:sz w:val="17"/>
          <w:szCs w:val="17"/>
          <w:color w:val="auto"/>
        </w:rPr>
        <w:t>Voting power held by our pre-IPO owners after giving effect to this offering</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w:t>
      </w:r>
    </w:p>
    <w:p>
      <w:pPr>
        <w:spacing w:after="0" w:line="39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44,500,000 shares (plus up to an additional 6,675,000 shares at the option of the underwriters to cover over-allotments).</w:t>
      </w:r>
    </w:p>
    <w:p>
      <w:pPr>
        <w:spacing w:after="0" w:line="32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granted the underwriters a 30-day option from the date of this prospectus to purchase up to 6,675,000 additional shares of our Class A common stock at the initial public offering price, less the underwriting discount.</w:t>
      </w:r>
    </w:p>
    <w:p>
      <w:pPr>
        <w:spacing w:after="0" w:line="3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45,378,984 shares (or 52,053,984 shares if the underwriters exercise in full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382,649,466 shares (which does not reflect the exchange of any Class P Unit for a share of Class A common stock, and which remains unchanged if the underwriters exercise in full their option to purchase additional shares of Class A common stock).</w:t>
      </w:r>
    </w:p>
    <w:p>
      <w:pPr>
        <w:spacing w:after="0" w:line="34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1.3% (or 1.5% if the underwriters exercise in full their option to purchase additional shares of Class A common stock).</w:t>
      </w:r>
    </w:p>
    <w:p>
      <w:pPr>
        <w:spacing w:after="0" w:line="32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98.7% (or 98.5% if the underwriters exercise in full their option to purchase additional shares of Class A common stock).</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net proceeds to ZoomInfo Technologies Inc. from this offering, after deducting the underwriting discount, will be approximately $886.6 million (or $1,019.6 million if the underwriters exercise in full their option to purchase additional shares of Class A common stock). ZoomInfo OpCo will reimburse ZoomInfo Technologies Inc. for or bear all of the expenses payable by it in this offering. We estimate these offering expenses (excluding the underwriting discount) will be approximately $11.4 million.</w:t>
      </w:r>
    </w:p>
    <w:p>
      <w:pPr>
        <w:spacing w:after="0" w:line="3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ZoomInfo Technologies Inc. intends to use all of the net proceeds from this offering (including from any exercise by the underwriters of their option to purchase additional shares of Class A common stock):</w:t>
      </w:r>
    </w:p>
    <w:p>
      <w:pPr>
        <w:spacing w:after="0" w:line="289" w:lineRule="exact"/>
        <w:rPr>
          <w:sz w:val="20"/>
          <w:szCs w:val="20"/>
          <w:color w:val="auto"/>
        </w:rPr>
      </w:pPr>
    </w:p>
    <w:p>
      <w:pPr>
        <w:ind w:right="320" w:firstLine="313"/>
        <w:spacing w:after="0" w:line="285" w:lineRule="auto"/>
        <w:tabs>
          <w:tab w:leader="none" w:pos="6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purchase 41,853,783 newly issued HoldCo Units from ZoomInfo HoldCo for approximately $833.9 million (or 48,528,783 HoldCo Units for $966.9 million if the underwriters exercise in full their option to purchase additional shares of Class A common stock), which in turn will purchase the same number of newly issued OpCo Units from ZoomInfo OpCo;</w:t>
      </w:r>
    </w:p>
    <w:p>
      <w:pPr>
        <w:spacing w:after="0" w:line="125" w:lineRule="exact"/>
        <w:rPr>
          <w:rFonts w:ascii="Arial" w:cs="Arial" w:eastAsia="Arial" w:hAnsi="Arial"/>
          <w:sz w:val="16"/>
          <w:szCs w:val="16"/>
          <w:color w:val="auto"/>
        </w:rPr>
      </w:pPr>
    </w:p>
    <w:p>
      <w:pPr>
        <w:ind w:right="640" w:firstLine="313"/>
        <w:spacing w:after="0" w:line="289" w:lineRule="auto"/>
        <w:tabs>
          <w:tab w:leader="none" w:pos="629"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purchase 2,370,948 OpCo Units from certain Pre-IPO OpCo Unitholders for approximately $47.2 million;</w:t>
      </w:r>
    </w:p>
    <w:p>
      <w:pPr>
        <w:spacing w:after="0" w:line="200" w:lineRule="exact"/>
        <w:rPr>
          <w:sz w:val="20"/>
          <w:szCs w:val="20"/>
          <w:color w:val="auto"/>
        </w:rPr>
      </w:pPr>
    </w:p>
    <w:p>
      <w:pPr>
        <w:sectPr>
          <w:pgSz w:w="11900" w:h="16838" w:orient="portrait"/>
          <w:cols w:equalWidth="0" w:num="2">
            <w:col w:w="4420" w:space="100"/>
            <w:col w:w="5680"/>
          </w:cols>
          <w:pgMar w:left="840" w:top="658"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200"/>
          </w:cols>
          <w:pgMar w:left="840" w:top="658" w:right="859" w:bottom="1440" w:gutter="0" w:footer="0" w:header="0"/>
          <w:type w:val="continuous"/>
        </w:sectPr>
      </w:pPr>
    </w:p>
    <w:bookmarkStart w:id="25" w:name="page26"/>
    <w:bookmarkEnd w:id="25"/>
    <w:p>
      <w:pPr>
        <w:ind w:left="3920" w:right="20" w:firstLine="313"/>
        <w:spacing w:after="0" w:line="264" w:lineRule="auto"/>
        <w:tabs>
          <w:tab w:leader="none" w:pos="4549" w:val="left"/>
        </w:tabs>
        <w:numPr>
          <w:ilvl w:val="0"/>
          <w:numId w:val="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59264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5926455"/>
                    </a:xfrm>
                    <a:prstGeom prst="rect">
                      <a:avLst/>
                    </a:prstGeom>
                    <a:noFill/>
                  </pic:spPr>
                </pic:pic>
              </a:graphicData>
            </a:graphic>
          </wp:anchor>
        </w:drawing>
        <w:t xml:space="preserve">to fund $5.5 million of merger consideration </w:t>
      </w:r>
      <w:r>
        <w:rPr>
          <w:rFonts w:ascii="Arial" w:cs="Arial" w:eastAsia="Arial" w:hAnsi="Arial"/>
          <w:sz w:val="20"/>
          <w:szCs w:val="20"/>
          <w:color w:val="auto"/>
        </w:rPr>
        <w:t>(</w:t>
      </w:r>
      <w:r>
        <w:rPr>
          <w:rFonts w:ascii="Arial" w:cs="Arial" w:eastAsia="Arial" w:hAnsi="Arial"/>
          <w:sz w:val="17"/>
          <w:szCs w:val="17"/>
          <w:color w:val="auto"/>
        </w:rPr>
        <w:t>an aggregate cash amount equal to 275,269 shares of Class C common stock multiplied by the public offering price per share of Class A common stock, less the underwriting discount) payable to certain Pre-IPO Blocker Holders in connection with the Blocker Mergers.</w:t>
      </w:r>
    </w:p>
    <w:p>
      <w:pPr>
        <w:spacing w:after="0" w:line="140" w:lineRule="exact"/>
        <w:rPr>
          <w:sz w:val="20"/>
          <w:szCs w:val="20"/>
          <w:color w:val="auto"/>
        </w:rPr>
      </w:pPr>
    </w:p>
    <w:p>
      <w:pPr>
        <w:jc w:val="both"/>
        <w:ind w:left="3920"/>
        <w:spacing w:after="0" w:line="261" w:lineRule="auto"/>
        <w:rPr>
          <w:sz w:val="20"/>
          <w:szCs w:val="20"/>
          <w:color w:val="auto"/>
        </w:rPr>
      </w:pPr>
      <w:r>
        <w:rPr>
          <w:rFonts w:ascii="Arial" w:cs="Arial" w:eastAsia="Arial" w:hAnsi="Arial"/>
          <w:sz w:val="17"/>
          <w:szCs w:val="17"/>
          <w:color w:val="auto"/>
        </w:rPr>
        <w:t>The foregoing purchases of HoldCo Units and OpCo Units will be made at a price per unit equal to the public offering price per share of Class A common stock in this offering, less the underwriting discount. Upon each purchase of OpCo Units, the corresponding shares of Class B common stock will be canceled. The number of outstanding OpCo Units of ZoomInfo OpCo will equal the aggregate number of outstanding shares of Class A common stock, Class B common stock and Class C common stock. See “Organizational Structure— Offering Transactions.”</w:t>
      </w:r>
    </w:p>
    <w:p>
      <w:pPr>
        <w:spacing w:after="0" w:line="303" w:lineRule="exact"/>
        <w:rPr>
          <w:sz w:val="20"/>
          <w:szCs w:val="20"/>
          <w:color w:val="auto"/>
        </w:rPr>
      </w:pPr>
    </w:p>
    <w:p>
      <w:pPr>
        <w:jc w:val="both"/>
        <w:ind w:left="3920"/>
        <w:spacing w:after="0" w:line="289" w:lineRule="auto"/>
        <w:rPr>
          <w:sz w:val="20"/>
          <w:szCs w:val="20"/>
          <w:color w:val="auto"/>
        </w:rPr>
      </w:pPr>
      <w:r>
        <w:rPr>
          <w:rFonts w:ascii="Arial" w:cs="Arial" w:eastAsia="Arial" w:hAnsi="Arial"/>
          <w:sz w:val="16"/>
          <w:szCs w:val="16"/>
          <w:color w:val="auto"/>
        </w:rPr>
        <w:t>We will only retain the net proceeds that are used to purchase newly issued HoldCo Units from ZoomInfo HoldCo, which will, in turn, be used to purchase newly issued OpCo Units from ZoomInfo OpCo. ZoomInfo OpCo expects to use the proceeds it receives through ZoomInfo HoldCo from this offering:</w:t>
      </w:r>
    </w:p>
    <w:p>
      <w:pPr>
        <w:spacing w:after="0" w:line="280" w:lineRule="exact"/>
        <w:rPr>
          <w:sz w:val="20"/>
          <w:szCs w:val="20"/>
          <w:color w:val="auto"/>
        </w:rPr>
      </w:pPr>
    </w:p>
    <w:p>
      <w:pPr>
        <w:ind w:left="3920" w:right="220" w:firstLine="313"/>
        <w:spacing w:after="0" w:line="273" w:lineRule="auto"/>
        <w:tabs>
          <w:tab w:leader="none" w:pos="45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redeem and cancel all outstanding Series A Preferred Units for approximately $274.2 million, including accumulated but unpaid distributions and related prepayment premiums;</w:t>
      </w:r>
    </w:p>
    <w:p>
      <w:pPr>
        <w:spacing w:after="0" w:line="131" w:lineRule="exact"/>
        <w:rPr>
          <w:rFonts w:ascii="Arial" w:cs="Arial" w:eastAsia="Arial" w:hAnsi="Arial"/>
          <w:sz w:val="17"/>
          <w:szCs w:val="17"/>
          <w:color w:val="auto"/>
        </w:rPr>
      </w:pPr>
    </w:p>
    <w:p>
      <w:pPr>
        <w:ind w:left="3920" w:right="20" w:firstLine="313"/>
        <w:spacing w:after="0" w:line="273" w:lineRule="auto"/>
        <w:tabs>
          <w:tab w:leader="none" w:pos="45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repay the entire aggregate principal amount of our second lien term loans, for approximately $380.6 million, including related prepayment premiums and accrued interest;</w:t>
      </w:r>
    </w:p>
    <w:p>
      <w:pPr>
        <w:spacing w:after="0" w:line="127" w:lineRule="exact"/>
        <w:rPr>
          <w:rFonts w:ascii="Arial" w:cs="Arial" w:eastAsia="Arial" w:hAnsi="Arial"/>
          <w:sz w:val="17"/>
          <w:szCs w:val="17"/>
          <w:color w:val="auto"/>
        </w:rPr>
      </w:pPr>
    </w:p>
    <w:p>
      <w:pPr>
        <w:ind w:left="3920" w:right="240" w:firstLine="313"/>
        <w:spacing w:after="0" w:line="282" w:lineRule="auto"/>
        <w:tabs>
          <w:tab w:leader="none" w:pos="4549"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to repay $35.0 million </w:t>
      </w:r>
      <w:r>
        <w:rPr>
          <w:rFonts w:ascii="Arial" w:cs="Arial" w:eastAsia="Arial" w:hAnsi="Arial"/>
          <w:sz w:val="19"/>
          <w:szCs w:val="19"/>
          <w:color w:val="auto"/>
        </w:rPr>
        <w:t>of</w:t>
      </w:r>
      <w:r>
        <w:rPr>
          <w:rFonts w:ascii="Arial" w:cs="Arial" w:eastAsia="Arial" w:hAnsi="Arial"/>
          <w:sz w:val="17"/>
          <w:szCs w:val="17"/>
          <w:color w:val="auto"/>
        </w:rPr>
        <w:t xml:space="preserve"> outstanding borrowings under our first lien revolving credit facility; and</w:t>
      </w:r>
    </w:p>
    <w:p>
      <w:pPr>
        <w:spacing w:after="0" w:line="120" w:lineRule="exact"/>
        <w:rPr>
          <w:rFonts w:ascii="Arial" w:cs="Arial" w:eastAsia="Arial" w:hAnsi="Arial"/>
          <w:sz w:val="17"/>
          <w:szCs w:val="17"/>
          <w:color w:val="auto"/>
        </w:rPr>
      </w:pPr>
    </w:p>
    <w:p>
      <w:pPr>
        <w:ind w:left="4540" w:hanging="307"/>
        <w:spacing w:after="0"/>
        <w:tabs>
          <w:tab w:leader="none" w:pos="4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general corporate purposes.</w:t>
      </w:r>
    </w:p>
    <w:p>
      <w:pPr>
        <w:spacing w:after="0" w:line="184" w:lineRule="exact"/>
        <w:rPr>
          <w:sz w:val="20"/>
          <w:szCs w:val="20"/>
          <w:color w:val="auto"/>
        </w:rPr>
      </w:pPr>
    </w:p>
    <w:p>
      <w:pPr>
        <w:jc w:val="both"/>
        <w:ind w:left="3920"/>
        <w:spacing w:after="0" w:line="265" w:lineRule="auto"/>
        <w:rPr>
          <w:sz w:val="20"/>
          <w:szCs w:val="20"/>
          <w:color w:val="auto"/>
        </w:rPr>
      </w:pPr>
      <w:r>
        <w:rPr>
          <w:rFonts w:ascii="Arial" w:cs="Arial" w:eastAsia="Arial" w:hAnsi="Arial"/>
          <w:sz w:val="17"/>
          <w:szCs w:val="17"/>
          <w:color w:val="auto"/>
        </w:rPr>
        <w:t>We will not retain any of the net proceeds used to purchase OpCo Units from Pre-IPO OpCo Unitholders or to fund merger consideration for the Blocker Mergers. See “Use of Proceeds” and “Certain Relationships and Related Person Transactions—Purchase of OpCo Units and Payment of Blocker Merger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600"/>
          </w:cols>
          <w:pgMar w:left="1440" w:top="812" w:right="85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Voting rights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7"/>
          <w:szCs w:val="17"/>
          <w:color w:val="auto"/>
        </w:rPr>
        <w:t>Each share of our Class A common stock entitles its holder to one vote on all matters to be voted on by stockholders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-600075</wp:posOffset>
            </wp:positionV>
            <wp:extent cx="7140575" cy="6117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6117590"/>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800" w:space="720"/>
            <w:col w:w="5680"/>
          </w:cols>
          <w:pgMar w:left="840" w:top="821" w:right="859" w:bottom="1440" w:gutter="0" w:footer="0" w:header="0"/>
        </w:sectPr>
      </w:pPr>
    </w:p>
    <w:p>
      <w:pPr>
        <w:jc w:val="both"/>
        <w:ind w:left="4520"/>
        <w:spacing w:after="0" w:line="295" w:lineRule="auto"/>
        <w:rPr>
          <w:sz w:val="20"/>
          <w:szCs w:val="20"/>
          <w:color w:val="auto"/>
        </w:rPr>
      </w:pPr>
      <w:r>
        <w:rPr>
          <w:rFonts w:ascii="Arial" w:cs="Arial" w:eastAsia="Arial" w:hAnsi="Arial"/>
          <w:sz w:val="15"/>
          <w:szCs w:val="15"/>
          <w:color w:val="auto"/>
        </w:rPr>
        <w:t>Immediately following the consummation of this offering, the Pre-IPO OpCo Unitholders and the Pre-IPO HoldCo Unitholders will hold all of the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the consummation of this offering, 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66" w:lineRule="exact"/>
        <w:rPr>
          <w:sz w:val="20"/>
          <w:szCs w:val="20"/>
          <w:color w:val="auto"/>
        </w:rPr>
      </w:pPr>
    </w:p>
    <w:p>
      <w:pPr>
        <w:jc w:val="both"/>
        <w:ind w:left="4520"/>
        <w:spacing w:after="0" w:line="289" w:lineRule="auto"/>
        <w:rPr>
          <w:sz w:val="20"/>
          <w:szCs w:val="20"/>
          <w:color w:val="auto"/>
        </w:rPr>
      </w:pPr>
      <w:r>
        <w:rPr>
          <w:rFonts w:ascii="Arial" w:cs="Arial" w:eastAsia="Arial" w:hAnsi="Arial"/>
          <w:sz w:val="16"/>
          <w:szCs w:val="16"/>
          <w:color w:val="auto"/>
        </w:rPr>
        <w:t>Holders of outstanding shares of our Class A common stock, Class B common stock, and Class C common stock will vote as a single class on all matters on which stockholders are entitled to vote generally, except as otherwise required by law. See “Description of Capital Stock—Common Stock.”</w:t>
      </w:r>
    </w:p>
    <w:p>
      <w:pPr>
        <w:sectPr>
          <w:pgSz w:w="11900" w:h="16838" w:orient="portrait"/>
          <w:cols w:equalWidth="0" w:num="1">
            <w:col w:w="10200"/>
          </w:cols>
          <w:pgMar w:left="840" w:top="821" w:right="859" w:bottom="144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Dividend policy</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no current plans to pay dividends on our Class A common stock or Class C common stock. The declaration, amount, and payment of any future dividends will be at the sole discretion of our board of directors. Our board of directors may take into account general economic and business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(including ZoomInfo HoldCo and ZoomInfo OpCo) to us, and such other factors as our board of directors may deem relevant. Holders of our Class B common stock do not have any right to receive dividends, or to receive a distribution upon a liquidation, dissolution, or winding up of ZoomInfo Technologies Inc., with respect to their Class B common stock.</w:t>
      </w:r>
    </w:p>
    <w:p>
      <w:pPr>
        <w:spacing w:after="0" w:line="200" w:lineRule="exact"/>
        <w:rPr>
          <w:sz w:val="20"/>
          <w:szCs w:val="20"/>
          <w:color w:val="auto"/>
        </w:rPr>
      </w:pPr>
    </w:p>
    <w:p>
      <w:pPr>
        <w:sectPr>
          <w:pgSz w:w="11900" w:h="16838" w:orient="portrait"/>
          <w:cols w:equalWidth="0" w:num="2">
            <w:col w:w="3800" w:space="720"/>
            <w:col w:w="5680"/>
          </w:cols>
          <w:pgMar w:left="840" w:top="821"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200"/>
          </w:cols>
          <w:pgMar w:left="840" w:top="821" w:right="859" w:bottom="1440" w:gutter="0" w:footer="0" w:header="0"/>
          <w:type w:val="continuous"/>
        </w:sectPr>
      </w:pPr>
    </w:p>
    <w:bookmarkStart w:id="27" w:name="page28"/>
    <w:bookmarkEnd w:id="27"/>
    <w:p>
      <w:pPr>
        <w:jc w:val="both"/>
        <w:ind w:left="39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11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6117590"/>
                    </a:xfrm>
                    <a:prstGeom prst="rect">
                      <a:avLst/>
                    </a:prstGeom>
                    <a:noFill/>
                  </pic:spPr>
                </pic:pic>
              </a:graphicData>
            </a:graphic>
          </wp:anchor>
        </w:drawing>
        <w:t>ZoomInfo Technologies Inc. is a holding company and has no material assets other than a controlling equity interest in ZoomInfo HoldCo, which is a holding company and has no material assets other than a controlling equity interest in ZoomInfo OpCo. The limited liability company agreement of ZoomInfo OpCo that will be in effect at the time of this offering provides that certain distributions to cover the taxes of the ZoomInfo Tax Group and the other holders of OpCo Units and Class P Units will be made based upon assumed tax rates and other assumptions provided in such limited liability company agreement. The manager of ZoomInfo HoldCo has broad discretion to make distributions out of ZoomInfo HoldCo. In the event ZoomInfo Technologies Inc. declares any cash dividend, we expect that the manager of ZoomInfo HoldCo would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We intend to enter into the tax sharing agreement, pursuant to which ZoomInfo HoldCo will be required to make certain payments to us to enable us to pay taxes of the ZoomInfo Tax Group and to meet our obligations under the tax receivable agreements.</w:t>
      </w:r>
    </w:p>
    <w:p>
      <w:pPr>
        <w:spacing w:after="0" w:line="301" w:lineRule="exact"/>
        <w:rPr>
          <w:sz w:val="20"/>
          <w:szCs w:val="20"/>
          <w:color w:val="auto"/>
        </w:rPr>
      </w:pPr>
    </w:p>
    <w:p>
      <w:pPr>
        <w:jc w:val="both"/>
        <w:ind w:left="3920"/>
        <w:spacing w:after="0" w:line="276" w:lineRule="auto"/>
        <w:rPr>
          <w:sz w:val="20"/>
          <w:szCs w:val="20"/>
          <w:color w:val="auto"/>
        </w:rPr>
      </w:pPr>
      <w:r>
        <w:rPr>
          <w:rFonts w:ascii="Arial" w:cs="Arial" w:eastAsia="Arial" w:hAnsi="Arial"/>
          <w:sz w:val="16"/>
          <w:szCs w:val="16"/>
          <w:color w:val="auto"/>
        </w:rPr>
        <w:t>We anticipate that cash received by ZoomInfo HoldCo may, in certain periods, exceed ZoomInfo Technologies Inc.’s obligations to pay its liabilities and make payments under the tax receivable agreements. We expect that ZoomInfo HoldCo will use any such excess cash from time to time: to acquire additional newly issued OpCo Units from ZoomInfo OpCo at a per unit price determined by reference to the market value of our Class A common stock; to pay dividends, which may include special dividends, on our Class A common stock and Class C common stock; to fund repurchases of our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HoldCo Units or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600"/>
          </w:cols>
          <w:pgMar w:left="1440" w:top="821" w:right="8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283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0575" cy="6283960"/>
                    </a:xfrm>
                    <a:prstGeom prst="rect">
                      <a:avLst/>
                    </a:prstGeom>
                    <a:noFill/>
                  </pic:spPr>
                </pic:pic>
              </a:graphicData>
            </a:graphic>
          </wp:anchor>
        </w:drawing>
        <w:t>Exchange rights of holders of OpCo Units, Class P Units, LTIP Prior to this offering, we will amend and restate the limited liability company</w:t>
      </w:r>
    </w:p>
    <w:p>
      <w:pPr>
        <w:spacing w:after="0" w:line="38" w:lineRule="exact"/>
        <w:rPr>
          <w:sz w:val="20"/>
          <w:szCs w:val="20"/>
          <w:color w:val="auto"/>
        </w:rPr>
      </w:pPr>
    </w:p>
    <w:p>
      <w:pPr>
        <w:jc w:val="both"/>
        <w:ind w:left="4520" w:hanging="4204"/>
        <w:spacing w:after="0" w:line="274" w:lineRule="auto"/>
        <w:tabs>
          <w:tab w:leader="none" w:pos="4500" w:val="left"/>
        </w:tabs>
        <w:rPr>
          <w:sz w:val="20"/>
          <w:szCs w:val="20"/>
          <w:color w:val="auto"/>
        </w:rPr>
      </w:pPr>
      <w:r>
        <w:rPr>
          <w:rFonts w:ascii="Arial" w:cs="Arial" w:eastAsia="Arial" w:hAnsi="Arial"/>
          <w:sz w:val="17"/>
          <w:szCs w:val="17"/>
          <w:color w:val="auto"/>
        </w:rPr>
        <w:t>Units, and HoldCo Units</w:t>
      </w:r>
      <w:r>
        <w:rPr>
          <w:sz w:val="20"/>
          <w:szCs w:val="20"/>
          <w:color w:val="auto"/>
        </w:rPr>
        <w:tab/>
      </w:r>
      <w:r>
        <w:rPr>
          <w:rFonts w:ascii="Arial" w:cs="Arial" w:eastAsia="Arial" w:hAnsi="Arial"/>
          <w:sz w:val="16"/>
          <w:szCs w:val="16"/>
          <w:color w:val="auto"/>
        </w:rPr>
        <w:t>agreement of ZoomInfo OpCo so that the Pre-IPO OpCo Unitholders may, after the completion of this offering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will have the right to exchange their vested Class P Units into a number of shares of Class A common stock that will generally be equal in value to the implied “spread value” of the corresponding Class P Units (calculated based on the excess of the public trading price of Class A common stock at the time of the exchange over the per unit strike price of such Class P Units). Holders of vested LTIP Units may similarly become eligible to convert their LTIP Units into OpCo Units which, in turn, may be exchanged on a one-for-one basis for shares of Class A common stock of ZoomInfo Technologies Inc. as described above. See “Certain Relationships and Related Person Transactions—ZoomInfo OpCo Amended and Restated Limited Liability Company Agreement.” The limited liability company agreement of ZoomInfo HoldCo will provide that the Pre-IPO HoldCo Unitholders may, after the completion of this offering (subject to the terms of such limited liability company agreement), exchange their HoldCo Units (together with a corresponding number of shares of Class B common stock) for shares of Class A common stock of ZoomInfo Technologies Inc. on a one-for-one basis, subject to customary conversion rate adjustments for stock splits, stock dividends, and reclassifications. See “Certain Relationships and Related Person Transactions—ZoomInfo HoldCo Amended and Restated Limited Liability Company Agreement.”</w:t>
      </w:r>
    </w:p>
    <w:p>
      <w:pPr>
        <w:sectPr>
          <w:pgSz w:w="11900" w:h="16838" w:orient="portrait"/>
          <w:cols w:equalWidth="0" w:num="1">
            <w:col w:w="10200"/>
          </w:cols>
          <w:pgMar w:left="840" w:top="821" w:right="85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Conversion of Class C common stock</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200" w:lineRule="exact"/>
        <w:rPr>
          <w:sz w:val="20"/>
          <w:szCs w:val="20"/>
          <w:color w:val="auto"/>
        </w:rPr>
      </w:pPr>
    </w:p>
    <w:p>
      <w:pPr>
        <w:sectPr>
          <w:pgSz w:w="11900" w:h="16838" w:orient="portrait"/>
          <w:cols w:equalWidth="0" w:num="2">
            <w:col w:w="3800" w:space="720"/>
            <w:col w:w="5680"/>
          </w:cols>
          <w:pgMar w:left="840" w:top="821"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200"/>
          </w:cols>
          <w:pgMar w:left="840" w:top="821" w:right="8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5"/>
          <w:szCs w:val="15"/>
          <w:color w:val="auto"/>
        </w:rPr>
        <w:t>Tax receivable agreements</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5"/>
          <w:szCs w:val="15"/>
          <w:color w:val="auto"/>
        </w:rPr>
        <w:t>As described below under “Certain Relationships and Related Person Transactions—Tax Receivable Agreements,” 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-5382260</wp:posOffset>
            </wp:positionV>
            <wp:extent cx="7140575" cy="7614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7614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5680"/>
          </w:cols>
          <w:pgMar w:left="840" w:top="821" w:right="859" w:bottom="144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Indications of Interest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Prior to the date hereof, the cornerstone investors have indicated an interest in purchasing an aggregate of up to $100.0 million each (up to $300.0 million in the aggregate) in shares of our Class A common stock in this offering at the initial public offering price. Because this indication of interest is not a binding agreement or commitment to purchase, the cornerstone investors could determine to purchase more, less, or no shares in this offering or the underwriters could determine to sell more, less, or no shares to any of the cornerstone investors. The underwriters will receive the same discount on any of our shares of Class A common stock purchased by the cornerstone investors as they will from any other shares of Class A common stock sold to the public in this offering.</w:t>
      </w:r>
    </w:p>
    <w:p>
      <w:pPr>
        <w:spacing w:after="0" w:line="200" w:lineRule="exact"/>
        <w:rPr>
          <w:sz w:val="20"/>
          <w:szCs w:val="20"/>
          <w:color w:val="auto"/>
        </w:rPr>
      </w:pPr>
    </w:p>
    <w:p>
      <w:pPr>
        <w:sectPr>
          <w:pgSz w:w="11900" w:h="16838" w:orient="portrait"/>
          <w:cols w:equalWidth="0" w:num="2">
            <w:col w:w="3800" w:space="720"/>
            <w:col w:w="5680"/>
          </w:cols>
          <w:pgMar w:left="840" w:top="821"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200"/>
          </w:cols>
          <w:pgMar w:left="840" w:top="821" w:right="859" w:bottom="1440" w:gutter="0" w:footer="0" w:header="0"/>
          <w:type w:val="continuous"/>
        </w:sectPr>
      </w:pPr>
    </w:p>
    <w:bookmarkStart w:id="30" w:name="page31"/>
    <w:bookmarkEnd w:id="30"/>
    <w:p>
      <w:pPr>
        <w:ind w:left="20"/>
        <w:spacing w:after="0"/>
        <w:rPr>
          <w:sz w:val="20"/>
          <w:szCs w:val="20"/>
          <w:color w:val="auto"/>
        </w:rPr>
      </w:pPr>
      <w:r>
        <w:rPr>
          <w:rFonts w:ascii="Arial" w:cs="Arial" w:eastAsia="Arial" w:hAnsi="Arial"/>
          <w:sz w:val="17"/>
          <w:szCs w:val="17"/>
          <w:color w:val="auto"/>
        </w:rPr>
        <w:t>Risk factors</w:t>
      </w:r>
    </w:p>
    <w:p>
      <w:pPr>
        <w:spacing w:after="0" w:line="394" w:lineRule="exact"/>
        <w:rPr>
          <w:sz w:val="20"/>
          <w:szCs w:val="20"/>
          <w:color w:val="auto"/>
        </w:rPr>
      </w:pPr>
    </w:p>
    <w:p>
      <w:pPr>
        <w:ind w:left="340" w:hanging="313"/>
        <w:spacing w:after="0" w:line="289" w:lineRule="auto"/>
        <w:rPr>
          <w:sz w:val="20"/>
          <w:szCs w:val="20"/>
          <w:color w:val="auto"/>
        </w:rPr>
      </w:pPr>
      <w:r>
        <w:rPr>
          <w:rFonts w:ascii="Arial" w:cs="Arial" w:eastAsia="Arial" w:hAnsi="Arial"/>
          <w:sz w:val="17"/>
          <w:szCs w:val="17"/>
          <w:color w:val="auto"/>
        </w:rPr>
        <w:t>Certain U.S. federal income and estate tax consequences to non-U.S. holders</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Nasdaq trading symbol</w:t>
      </w:r>
    </w:p>
    <w:p>
      <w:pPr>
        <w:spacing w:after="0" w:line="20" w:lineRule="exact"/>
        <w:rPr>
          <w:sz w:val="20"/>
          <w:szCs w:val="20"/>
          <w:color w:val="auto"/>
        </w:rPr>
      </w:pPr>
      <w:r>
        <w:rPr>
          <w:sz w:val="20"/>
          <w:szCs w:val="20"/>
          <w:color w:val="auto"/>
        </w:rPr>
        <w:br w:type="column"/>
      </w:r>
    </w:p>
    <w:p>
      <w:pPr>
        <w:jc w:val="both"/>
        <w:ind w:right="40"/>
        <w:spacing w:after="0" w:line="289" w:lineRule="auto"/>
        <w:rPr>
          <w:sz w:val="20"/>
          <w:szCs w:val="20"/>
          <w:color w:val="auto"/>
        </w:rPr>
      </w:pPr>
      <w:r>
        <w:rPr>
          <w:rFonts w:ascii="Arial" w:cs="Arial" w:eastAsia="Arial" w:hAnsi="Arial"/>
          <w:sz w:val="17"/>
          <w:szCs w:val="17"/>
          <w:color w:val="auto"/>
        </w:rPr>
        <w:t>See “Risk Factors” for a discussion of risks you should carefully consider before deciding to invest in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-3199130</wp:posOffset>
            </wp:positionH>
            <wp:positionV relativeFrom="paragraph">
              <wp:posOffset>-600075</wp:posOffset>
            </wp:positionV>
            <wp:extent cx="7140575" cy="5793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5793105"/>
                    </a:xfrm>
                    <a:prstGeom prst="rect">
                      <a:avLst/>
                    </a:prstGeom>
                    <a:noFill/>
                  </pic:spPr>
                </pic:pic>
              </a:graphicData>
            </a:graphic>
          </wp:anchor>
        </w:drawing>
      </w:r>
    </w:p>
    <w:p>
      <w:pPr>
        <w:spacing w:after="0" w:line="308"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For a discussion of certain U.S. federal income and estate tax consequences that may be relevant to non-U.S. stockholders, see “Certain U.S. Federal Income and Estate Tax Consequences to Non-U.S. Holders.”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“ZI.”</w:t>
      </w:r>
    </w:p>
    <w:p>
      <w:pPr>
        <w:spacing w:after="0" w:line="200" w:lineRule="exact"/>
        <w:rPr>
          <w:sz w:val="20"/>
          <w:szCs w:val="20"/>
          <w:color w:val="auto"/>
        </w:rPr>
      </w:pPr>
    </w:p>
    <w:p>
      <w:pPr>
        <w:sectPr>
          <w:pgSz w:w="11900" w:h="16838" w:orient="portrait"/>
          <w:cols w:equalWidth="0" w:num="2">
            <w:col w:w="4160" w:space="380"/>
            <w:col w:w="5720"/>
          </w:cols>
          <w:pgMar w:left="820" w:top="821" w:right="819" w:bottom="1440" w:gutter="0" w:footer="0" w:header="0"/>
        </w:sectPr>
      </w:pPr>
    </w:p>
    <w:p>
      <w:pPr>
        <w:spacing w:after="0" w:line="11" w:lineRule="exact"/>
        <w:rPr>
          <w:sz w:val="20"/>
          <w:szCs w:val="20"/>
          <w:color w:val="auto"/>
        </w:rPr>
      </w:pPr>
    </w:p>
    <w:p>
      <w:pPr>
        <w:ind w:firstLine="314"/>
        <w:spacing w:after="0" w:line="322" w:lineRule="auto"/>
        <w:rPr>
          <w:sz w:val="20"/>
          <w:szCs w:val="20"/>
          <w:color w:val="auto"/>
        </w:rPr>
      </w:pPr>
      <w:r>
        <w:rPr>
          <w:rFonts w:ascii="Arial" w:cs="Arial" w:eastAsia="Arial" w:hAnsi="Arial"/>
          <w:sz w:val="16"/>
          <w:szCs w:val="16"/>
          <w:color w:val="auto"/>
        </w:rPr>
        <w:t>In this prospectus, unless otherwise indicated, the number of shares of Class A common stock outstanding and the other information based thereon reflects 45,378,984 shares of Class A common stock outstanding immediately following this offering and does not reflect:</w:t>
      </w:r>
    </w:p>
    <w:p>
      <w:pPr>
        <w:spacing w:after="0" w:line="83" w:lineRule="exact"/>
        <w:rPr>
          <w:sz w:val="20"/>
          <w:szCs w:val="20"/>
          <w:color w:val="auto"/>
        </w:rPr>
      </w:pPr>
    </w:p>
    <w:p>
      <w:pPr>
        <w:ind w:left="620" w:right="20" w:hanging="312"/>
        <w:spacing w:after="0" w:line="289"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6,675,000 shares of Class A common stock issuable upon exercise of the underwriters’ option to purchase additional shares of Class A common stock from us;</w:t>
      </w:r>
    </w:p>
    <w:p>
      <w:pPr>
        <w:spacing w:after="0" w:line="53" w:lineRule="exact"/>
        <w:rPr>
          <w:rFonts w:ascii="Arial" w:cs="Arial" w:eastAsia="Arial" w:hAnsi="Arial"/>
          <w:sz w:val="17"/>
          <w:szCs w:val="17"/>
          <w:color w:val="auto"/>
        </w:rPr>
      </w:pPr>
    </w:p>
    <w:p>
      <w:pPr>
        <w:jc w:val="both"/>
        <w:ind w:left="620" w:right="20" w:hanging="312"/>
        <w:spacing w:after="0" w:line="273"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239,164,095 shares of Class A common stock issuable upon exchange of 234,932,785 OpCo Units and 4,231,310 HoldCo Units and the related shares of Class B common stock that will be held by the Pre-IPO OpCo Unitholders and the Pre-IPO HoldCo Unitholders, respectively, immediately following this offering;</w:t>
      </w:r>
    </w:p>
    <w:p>
      <w:pPr>
        <w:spacing w:after="0" w:line="66"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98,106,387 shares of Class A common stock issuable upon conversion of 98,106,387 shares of Class C common stock that will be held by the Pre-IPO Blocker Holders immediately following this offering;</w:t>
      </w:r>
    </w:p>
    <w:p>
      <w:pPr>
        <w:spacing w:after="0" w:line="53" w:lineRule="exact"/>
        <w:rPr>
          <w:rFonts w:ascii="Arial" w:cs="Arial" w:eastAsia="Arial" w:hAnsi="Arial"/>
          <w:sz w:val="17"/>
          <w:szCs w:val="17"/>
          <w:color w:val="auto"/>
        </w:rPr>
      </w:pPr>
    </w:p>
    <w:p>
      <w:pPr>
        <w:ind w:left="620" w:right="20" w:hanging="312"/>
        <w:spacing w:after="0" w:line="289"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10,657,948 shares of Class A common stock issuable upon exchange of 14,471,631 Class P Units (assuming such Class P Units are fully vested) that will be held by the Continuing Class P Unitholders immediately following this offering; or</w:t>
      </w:r>
    </w:p>
    <w:p>
      <w:pPr>
        <w:spacing w:after="0" w:line="53" w:lineRule="exact"/>
        <w:rPr>
          <w:rFonts w:ascii="Arial" w:cs="Arial" w:eastAsia="Arial" w:hAnsi="Arial"/>
          <w:sz w:val="17"/>
          <w:szCs w:val="17"/>
          <w:color w:val="auto"/>
        </w:rPr>
      </w:pPr>
    </w:p>
    <w:p>
      <w:pPr>
        <w:ind w:left="620" w:right="20" w:hanging="312"/>
        <w:spacing w:after="0" w:line="322"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18,650,000 shares of Class A common stock that may be granted under our 2020 Omnibus Incentive Plan, which includes shares of Class A common stock underlying the following employee equity grants, in each case to be awarded in connection with the offering:</w:t>
      </w:r>
    </w:p>
    <w:p>
      <w:pPr>
        <w:spacing w:after="0" w:line="82" w:lineRule="exact"/>
        <w:rPr>
          <w:rFonts w:ascii="Arial" w:cs="Arial" w:eastAsia="Arial" w:hAnsi="Arial"/>
          <w:sz w:val="16"/>
          <w:szCs w:val="16"/>
          <w:color w:val="auto"/>
        </w:rPr>
      </w:pPr>
    </w:p>
    <w:p>
      <w:pPr>
        <w:ind w:left="940" w:hanging="318"/>
        <w:spacing w:after="0"/>
        <w:tabs>
          <w:tab w:leader="none" w:pos="9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513,440 restricted stock units;</w:t>
      </w:r>
    </w:p>
    <w:p>
      <w:pPr>
        <w:spacing w:after="0" w:line="171" w:lineRule="exact"/>
        <w:rPr>
          <w:rFonts w:ascii="Arial" w:cs="Arial" w:eastAsia="Arial" w:hAnsi="Arial"/>
          <w:sz w:val="17"/>
          <w:szCs w:val="17"/>
          <w:color w:val="auto"/>
        </w:rPr>
      </w:pPr>
    </w:p>
    <w:p>
      <w:pPr>
        <w:ind w:left="940" w:hanging="318"/>
        <w:spacing w:after="0"/>
        <w:tabs>
          <w:tab w:leader="none" w:pos="9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47,620 LTIP Units;</w:t>
      </w:r>
    </w:p>
    <w:p>
      <w:pPr>
        <w:spacing w:after="0" w:line="171" w:lineRule="exact"/>
        <w:rPr>
          <w:rFonts w:ascii="Arial" w:cs="Arial" w:eastAsia="Arial" w:hAnsi="Arial"/>
          <w:sz w:val="17"/>
          <w:szCs w:val="17"/>
          <w:color w:val="auto"/>
        </w:rPr>
      </w:pPr>
    </w:p>
    <w:p>
      <w:pPr>
        <w:ind w:left="940" w:right="20" w:hanging="318"/>
        <w:spacing w:after="0" w:line="289" w:lineRule="auto"/>
        <w:tabs>
          <w:tab w:leader="none" w:pos="9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577,879 stock options, which we refer to as “leverage restoration options,” with a strike price equal to the public offering price per share of Class A common stock; and</w:t>
      </w:r>
    </w:p>
    <w:p>
      <w:pPr>
        <w:spacing w:after="0" w:line="105" w:lineRule="exact"/>
        <w:rPr>
          <w:rFonts w:ascii="Arial" w:cs="Arial" w:eastAsia="Arial" w:hAnsi="Arial"/>
          <w:sz w:val="17"/>
          <w:szCs w:val="17"/>
          <w:color w:val="auto"/>
        </w:rPr>
      </w:pPr>
    </w:p>
    <w:p>
      <w:pPr>
        <w:ind w:left="940" w:right="20" w:hanging="318"/>
        <w:spacing w:after="0" w:line="289" w:lineRule="auto"/>
        <w:tabs>
          <w:tab w:leader="none" w:pos="9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630,000 Class P Units with a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strike price) equal to the public offering price per share of Class A common stock.</w:t>
      </w:r>
    </w:p>
    <w:p>
      <w:pPr>
        <w:spacing w:after="0" w:line="106" w:lineRule="exact"/>
        <w:rPr>
          <w:sz w:val="20"/>
          <w:szCs w:val="20"/>
          <w:color w:val="auto"/>
        </w:rPr>
      </w:pPr>
    </w:p>
    <w:p>
      <w:pPr>
        <w:ind w:left="620"/>
        <w:spacing w:after="0" w:line="289" w:lineRule="auto"/>
        <w:rPr>
          <w:sz w:val="20"/>
          <w:szCs w:val="20"/>
          <w:color w:val="auto"/>
        </w:rPr>
      </w:pPr>
      <w:r>
        <w:rPr>
          <w:rFonts w:ascii="Arial" w:cs="Arial" w:eastAsia="Arial" w:hAnsi="Arial"/>
          <w:sz w:val="17"/>
          <w:szCs w:val="17"/>
          <w:color w:val="auto"/>
        </w:rPr>
        <w:t>See “Executive Compensation—Compensation Arrangements to be Adopted in Connection with this Offering—2020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260"/>
          </w:cols>
          <w:pgMar w:left="820" w:top="821" w:right="819" w:bottom="1440" w:gutter="0" w:footer="0" w:header="0"/>
          <w:type w:val="continuous"/>
        </w:sectPr>
      </w:pPr>
    </w:p>
    <w:bookmarkStart w:id="31" w:name="page32"/>
    <w:bookmarkEnd w:id="31"/>
    <w:p>
      <w:pPr>
        <w:jc w:val="center"/>
        <w:ind w:right="-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665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6650355"/>
                    </a:xfrm>
                    <a:prstGeom prst="rect">
                      <a:avLst/>
                    </a:prstGeom>
                    <a:noFill/>
                  </pic:spPr>
                </pic:pic>
              </a:graphicData>
            </a:graphic>
          </wp:anchor>
        </w:drawing>
        <w:t>Summary Historical and Pro Forma Financial and Other Data</w:t>
      </w:r>
    </w:p>
    <w:p>
      <w:pPr>
        <w:spacing w:after="0" w:line="177" w:lineRule="exact"/>
        <w:rPr>
          <w:sz w:val="20"/>
          <w:szCs w:val="20"/>
          <w:color w:val="auto"/>
        </w:rPr>
      </w:pPr>
    </w:p>
    <w:p>
      <w:pPr>
        <w:jc w:val="both"/>
        <w:ind w:left="6" w:firstLine="314"/>
        <w:spacing w:after="0" w:line="275" w:lineRule="auto"/>
        <w:rPr>
          <w:sz w:val="20"/>
          <w:szCs w:val="20"/>
          <w:color w:val="auto"/>
        </w:rPr>
      </w:pPr>
      <w:r>
        <w:rPr>
          <w:rFonts w:ascii="Arial" w:cs="Arial" w:eastAsia="Arial" w:hAnsi="Arial"/>
          <w:sz w:val="16"/>
          <w:szCs w:val="16"/>
          <w:color w:val="auto"/>
        </w:rPr>
        <w:t>The following table presents the summary historical consolidated financial and other data for ZoomInfo OpCo and its subsidiaries and the summary pro forma combined and consolidated financial data for ZoomInfo Technologies Inc. for the periods and at the dates indicated. 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of ZoomInfo OpCo through ZoomInfo HoldCo and, through ZoomInfo OpCo and its subsidiaries, conduct our business. 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operations. The summary consolidated statements of operations data and summary consolidated statements of cash flows data presented below for the years ended December 31, 2018 and 2019 and the summary consolidated balance sheet data presented below as of December 31, 2018 and 2019 have been derived from the consolidated financial statements of ZoomInfo OpCo included elsewhere in this prospectus. The summary consolidated financial information of ZoomInfo OpCo as of March 31, 2020 and for the three months ended March 31, 2019 and 2020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32" w:lineRule="exact"/>
        <w:rPr>
          <w:sz w:val="20"/>
          <w:szCs w:val="20"/>
          <w:color w:val="auto"/>
        </w:rPr>
      </w:pPr>
    </w:p>
    <w:p>
      <w:pPr>
        <w:jc w:val="both"/>
        <w:ind w:left="6" w:right="20" w:firstLine="314"/>
        <w:spacing w:after="0" w:line="273" w:lineRule="auto"/>
        <w:rPr>
          <w:sz w:val="20"/>
          <w:szCs w:val="20"/>
          <w:color w:val="auto"/>
        </w:rPr>
      </w:pPr>
      <w:r>
        <w:rPr>
          <w:rFonts w:ascii="Arial" w:cs="Arial" w:eastAsia="Arial" w:hAnsi="Arial"/>
          <w:sz w:val="17"/>
          <w:szCs w:val="17"/>
          <w:color w:val="auto"/>
        </w:rPr>
        <w:t>The summary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w:t>
      </w:r>
    </w:p>
    <w:p>
      <w:pPr>
        <w:spacing w:after="0" w:line="119" w:lineRule="exact"/>
        <w:rPr>
          <w:sz w:val="20"/>
          <w:szCs w:val="20"/>
          <w:color w:val="auto"/>
        </w:rPr>
      </w:pPr>
    </w:p>
    <w:p>
      <w:pPr>
        <w:jc w:val="both"/>
        <w:ind w:left="6" w:firstLine="314"/>
        <w:spacing w:after="0" w:line="262"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summary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“Organizational Structure,” “Unaudited Pro Forma Combined and Consolidated Financial Information,” “Selected Historical Consolidated Financial Data,” “Management’s Discussion and Analysis of Financial Condition and Results of Operations,” “Description of Certain Indebtedness,” and the other information appearing elsewhere in this prospectus.</w:t>
      </w:r>
    </w:p>
    <w:p>
      <w:pPr>
        <w:spacing w:after="0" w:line="130" w:lineRule="exact"/>
        <w:rPr>
          <w:sz w:val="20"/>
          <w:szCs w:val="20"/>
          <w:color w:val="auto"/>
        </w:rPr>
      </w:pPr>
    </w:p>
    <w:p>
      <w:pPr>
        <w:jc w:val="both"/>
        <w:ind w:left="6" w:firstLine="314"/>
        <w:spacing w:after="0" w:line="275" w:lineRule="auto"/>
        <w:rPr>
          <w:sz w:val="20"/>
          <w:szCs w:val="20"/>
          <w:color w:val="auto"/>
        </w:rPr>
      </w:pPr>
      <w:r>
        <w:rPr>
          <w:rFonts w:ascii="Arial" w:cs="Arial" w:eastAsia="Arial" w:hAnsi="Arial"/>
          <w:sz w:val="16"/>
          <w:szCs w:val="16"/>
          <w:color w:val="auto"/>
        </w:rPr>
        <w:t>The summary unaudited pro forma combined and consolidated financial data of ZoomInfo Technologies Inc. presented below have been derived from our unaudited pro forma combined and consolidated financial statements included elsewhere in this prospectus. The summary unaudited pro forma combined and consolidated statement of operations data for the year ended December 31, 2019 give effect to (i) the acquisition of Pre-Acquisition ZI by ZoomInfo OpCo on February 1, 2019 (the “Zoom Information Acquisition”), (ii) the Reorganization Transactions, and (iii) the Offering Transactions, each as if they had occurred on January 1, 2019. The summary unaudited pro forma combined and consolidated statement of operations data for the three months ended March 31, 2020 give effect to (i) the Reorganization Transactions and</w:t>
      </w:r>
    </w:p>
    <w:p>
      <w:pPr>
        <w:spacing w:after="0" w:line="5" w:lineRule="exact"/>
        <w:rPr>
          <w:sz w:val="20"/>
          <w:szCs w:val="20"/>
          <w:color w:val="auto"/>
        </w:rPr>
      </w:pPr>
    </w:p>
    <w:p>
      <w:pPr>
        <w:jc w:val="both"/>
        <w:ind w:left="6" w:hanging="6"/>
        <w:spacing w:after="0" w:line="260"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Offering Transactions, each as if they had occurred on January 1, 2019. The summary unaudited pro forma consolidated balance sheet data as of March 31, 2020 gives effect to (i) the Reorganization Transactions and (ii) the Offering Transactions, each as if they had occurred on March 31, 2020. The summary unaudited combined and consolidated pro forma financial data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266"/>
          </w:cols>
          <w:pgMar w:left="814" w:top="658" w:right="8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5"/>
              <w:spacing w:after="0"/>
              <w:rPr>
                <w:sz w:val="20"/>
                <w:szCs w:val="20"/>
                <w:color w:val="auto"/>
              </w:rPr>
            </w:pPr>
            <w:r>
              <w:rPr>
                <w:rFonts w:ascii="Arial" w:cs="Arial" w:eastAsia="Arial" w:hAnsi="Arial"/>
                <w:sz w:val="13"/>
                <w:szCs w:val="13"/>
                <w:b w:val="1"/>
                <w:bCs w:val="1"/>
                <w:color w:val="auto"/>
                <w:w w:val="94"/>
              </w:rPr>
              <w:t>ZoomInfo</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9"/>
          </w:tcPr>
          <w:p>
            <w:pPr>
              <w:jc w:val="right"/>
              <w:ind w:right="740"/>
              <w:spacing w:after="0" w:line="144" w:lineRule="exact"/>
              <w:rPr>
                <w:sz w:val="20"/>
                <w:szCs w:val="20"/>
                <w:color w:val="auto"/>
              </w:rPr>
            </w:pPr>
            <w:r>
              <w:rPr>
                <w:rFonts w:ascii="Arial" w:cs="Arial" w:eastAsia="Arial" w:hAnsi="Arial"/>
                <w:sz w:val="13"/>
                <w:szCs w:val="13"/>
                <w:b w:val="1"/>
                <w:bCs w:val="1"/>
                <w:color w:val="auto"/>
              </w:rPr>
              <w:t>ZoomInfo OpCo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5"/>
              <w:spacing w:after="0" w:line="144" w:lineRule="exact"/>
              <w:rPr>
                <w:sz w:val="20"/>
                <w:szCs w:val="20"/>
                <w:color w:val="auto"/>
              </w:rPr>
            </w:pPr>
            <w:r>
              <w:rPr>
                <w:rFonts w:ascii="Arial" w:cs="Arial" w:eastAsia="Arial" w:hAnsi="Arial"/>
                <w:sz w:val="13"/>
                <w:szCs w:val="13"/>
                <w:b w:val="1"/>
                <w:bCs w:val="1"/>
                <w:color w:val="auto"/>
                <w:w w:val="87"/>
              </w:rPr>
              <w:t>Technologies Inc.</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3"/>
                <w:szCs w:val="13"/>
                <w:b w:val="1"/>
                <w:bCs w:val="1"/>
                <w:color w:val="auto"/>
              </w:rPr>
              <w:t>(DiscoverOrg Holdings, LLC)</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57"/>
        </w:trPr>
        <w:tc>
          <w:tcPr>
            <w:tcW w:w="3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5"/>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20" w:type="dxa"/>
            <w:vAlign w:val="bottom"/>
            <w:tcBorders>
              <w:bottom w:val="single" w:sz="8" w:color="auto"/>
            </w:tcBorders>
            <w:gridSpan w:val="7"/>
          </w:tcPr>
          <w:p>
            <w:pPr>
              <w:jc w:val="right"/>
              <w:ind w:right="105"/>
              <w:spacing w:after="0"/>
              <w:rPr>
                <w:sz w:val="20"/>
                <w:szCs w:val="20"/>
                <w:color w:val="auto"/>
              </w:rPr>
            </w:pPr>
            <w:r>
              <w:rPr>
                <w:rFonts w:ascii="Arial" w:cs="Arial" w:eastAsia="Arial" w:hAnsi="Arial"/>
                <w:sz w:val="13"/>
                <w:szCs w:val="13"/>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255"/>
        </w:trPr>
        <w:tc>
          <w:tcPr>
            <w:tcW w:w="322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i w:val="1"/>
                <w:iCs w:val="1"/>
                <w:color w:val="auto"/>
              </w:rPr>
              <w:t>($ in millions, except share amounts)</w:t>
            </w:r>
          </w:p>
        </w:tc>
        <w:tc>
          <w:tcPr>
            <w:tcW w:w="4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6"/>
              </w:rPr>
              <w:t>2019</w:t>
            </w:r>
          </w:p>
        </w:tc>
        <w:tc>
          <w:tcPr>
            <w:tcW w:w="0" w:type="dxa"/>
            <w:vAlign w:val="bottom"/>
          </w:tcPr>
          <w:p>
            <w:pPr>
              <w:spacing w:after="0"/>
              <w:rPr>
                <w:sz w:val="1"/>
                <w:szCs w:val="1"/>
                <w:color w:val="auto"/>
              </w:rPr>
            </w:pPr>
          </w:p>
        </w:tc>
      </w:tr>
      <w:tr>
        <w:trPr>
          <w:trHeight w:val="262"/>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4"/>
              </w:rPr>
              <w:t>Summary Statements of Operations Data</w:t>
            </w:r>
            <w:r>
              <w:rPr>
                <w:rFonts w:ascii="Arial" w:cs="Arial" w:eastAsia="Arial" w:hAnsi="Arial"/>
                <w:sz w:val="20"/>
                <w:szCs w:val="20"/>
                <w:b w:val="1"/>
                <w:bCs w:val="1"/>
                <w:color w:val="auto"/>
                <w:w w:val="94"/>
                <w:vertAlign w:val="superscript"/>
              </w:rPr>
              <w:t>(1)</w:t>
            </w:r>
            <w:r>
              <w:rPr>
                <w:rFonts w:ascii="Arial" w:cs="Arial" w:eastAsia="Arial" w:hAnsi="Arial"/>
                <w:sz w:val="16"/>
                <w:szCs w:val="16"/>
                <w:b w:val="1"/>
                <w:bCs w:val="1"/>
                <w:color w:val="auto"/>
                <w:w w:val="94"/>
              </w:rPr>
              <w:t>:</w:t>
            </w:r>
          </w:p>
        </w:tc>
        <w:tc>
          <w:tcPr>
            <w:tcW w:w="4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Revenue</w:t>
            </w:r>
          </w:p>
        </w:tc>
        <w:tc>
          <w:tcPr>
            <w:tcW w:w="480" w:type="dxa"/>
            <w:vAlign w:val="bottom"/>
          </w:tcPr>
          <w:p>
            <w:pPr>
              <w:spacing w:after="0"/>
              <w:rPr>
                <w:sz w:val="19"/>
                <w:szCs w:val="19"/>
                <w:color w:val="auto"/>
              </w:rPr>
            </w:pPr>
          </w:p>
        </w:tc>
        <w:tc>
          <w:tcPr>
            <w:tcW w:w="800" w:type="dxa"/>
            <w:vAlign w:val="bottom"/>
          </w:tcPr>
          <w:p>
            <w:pPr>
              <w:ind w:left="40"/>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ind w:right="21"/>
              <w:spacing w:after="0"/>
              <w:rPr>
                <w:sz w:val="20"/>
                <w:szCs w:val="20"/>
                <w:color w:val="auto"/>
              </w:rPr>
            </w:pPr>
            <w:r>
              <w:rPr>
                <w:rFonts w:ascii="Arial" w:cs="Arial" w:eastAsia="Arial" w:hAnsi="Arial"/>
                <w:sz w:val="16"/>
                <w:szCs w:val="16"/>
                <w:color w:val="auto"/>
                <w:w w:val="84"/>
              </w:rPr>
              <w:t>144.3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4"/>
          </w:tcPr>
          <w:p>
            <w:pPr>
              <w:jc w:val="right"/>
              <w:ind w:right="100"/>
              <w:spacing w:after="0"/>
              <w:rPr>
                <w:sz w:val="20"/>
                <w:szCs w:val="20"/>
                <w:color w:val="auto"/>
              </w:rPr>
            </w:pPr>
            <w:r>
              <w:rPr>
                <w:rFonts w:ascii="Arial" w:cs="Arial" w:eastAsia="Arial" w:hAnsi="Arial"/>
                <w:sz w:val="16"/>
                <w:szCs w:val="16"/>
                <w:color w:val="auto"/>
              </w:rPr>
              <w:t>293.3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54.6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334.6</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Cost of service</w:t>
            </w:r>
            <w:r>
              <w:rPr>
                <w:rFonts w:ascii="Arial" w:cs="Arial" w:eastAsia="Arial" w:hAnsi="Arial"/>
                <w:sz w:val="20"/>
                <w:szCs w:val="20"/>
                <w:color w:val="auto"/>
                <w:vertAlign w:val="superscript"/>
              </w:rPr>
              <w:t>(2)</w:t>
            </w:r>
          </w:p>
        </w:tc>
        <w:tc>
          <w:tcPr>
            <w:tcW w:w="4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30.1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83"/>
              </w:rPr>
              <w:t>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29"/>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Amortization of acquired technology</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3"/>
          </w:tcPr>
          <w:p>
            <w:pPr>
              <w:jc w:val="right"/>
              <w:ind w:right="21"/>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w w:val="83"/>
              </w:rPr>
              <w:t>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w w:val="84"/>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r>
              <w:rPr>
                <w:rFonts w:ascii="Arial" w:cs="Arial" w:eastAsia="Arial" w:hAnsi="Arial"/>
                <w:sz w:val="20"/>
                <w:szCs w:val="20"/>
                <w:color w:val="auto"/>
                <w:vertAlign w:val="superscript"/>
              </w:rPr>
              <w:t>(2)</w:t>
            </w:r>
          </w:p>
        </w:tc>
        <w:tc>
          <w:tcPr>
            <w:tcW w:w="48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188.6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3"/>
          </w:tcPr>
          <w:p>
            <w:pPr>
              <w:jc w:val="right"/>
              <w:ind w:right="21"/>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w w:val="83"/>
              </w:rPr>
              <w:t>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Interest expense, net</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3"/>
          </w:tcPr>
          <w:p>
            <w:pPr>
              <w:jc w:val="right"/>
              <w:ind w:right="21"/>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Loss on debt extinguishment</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83"/>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62"/>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Other (income) expense, net</w:t>
            </w:r>
            <w:r>
              <w:rPr>
                <w:rFonts w:ascii="Arial" w:cs="Arial" w:eastAsia="Arial" w:hAnsi="Arial"/>
                <w:sz w:val="20"/>
                <w:szCs w:val="20"/>
                <w:color w:val="auto"/>
                <w:vertAlign w:val="superscript"/>
              </w:rPr>
              <w:t>(3)</w:t>
            </w: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32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5"/>
              </w:rPr>
              <w:t>(31.5)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55"/>
        </w:trPr>
        <w:tc>
          <w:tcPr>
            <w:tcW w:w="3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Benefit from income taxes</w:t>
            </w: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5"/>
        </w:trPr>
        <w:tc>
          <w:tcPr>
            <w:tcW w:w="32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w:t>
            </w:r>
          </w:p>
        </w:tc>
        <w:tc>
          <w:tcPr>
            <w:tcW w:w="480" w:type="dxa"/>
            <w:vAlign w:val="bottom"/>
            <w:tcBorders>
              <w:bottom w:val="single" w:sz="8" w:color="CCEEFF"/>
            </w:tcBorders>
          </w:tcPr>
          <w:p>
            <w:pPr>
              <w:spacing w:after="0"/>
              <w:rPr>
                <w:sz w:val="23"/>
                <w:szCs w:val="23"/>
                <w:color w:val="auto"/>
              </w:rPr>
            </w:pPr>
          </w:p>
        </w:tc>
        <w:tc>
          <w:tcPr>
            <w:tcW w:w="8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95"/>
              </w:rPr>
              <w:t>(28.6)</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73"/>
        </w:trPr>
        <w:tc>
          <w:tcPr>
            <w:tcW w:w="3220" w:type="dxa"/>
            <w:vAlign w:val="bottom"/>
            <w:gridSpan w:val="2"/>
            <w:shd w:val="clear" w:color="auto" w:fill="CCEEFF"/>
          </w:tcPr>
          <w:p>
            <w:pPr>
              <w:ind w:left="480"/>
              <w:spacing w:after="0" w:line="173" w:lineRule="exact"/>
              <w:rPr>
                <w:sz w:val="20"/>
                <w:szCs w:val="20"/>
                <w:color w:val="auto"/>
              </w:rPr>
            </w:pPr>
            <w:r>
              <w:rPr>
                <w:rFonts w:ascii="Arial" w:cs="Arial" w:eastAsia="Arial" w:hAnsi="Arial"/>
                <w:sz w:val="16"/>
                <w:szCs w:val="16"/>
                <w:color w:val="auto"/>
                <w:w w:val="89"/>
              </w:rPr>
              <w:t>Less: Net income (loss) attributable to non-</w:t>
            </w: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2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controlling interests</w:t>
            </w: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93"/>
        </w:trPr>
        <w:tc>
          <w:tcPr>
            <w:tcW w:w="3700" w:type="dxa"/>
            <w:vAlign w:val="bottom"/>
            <w:gridSpan w:val="3"/>
          </w:tcPr>
          <w:p>
            <w:pPr>
              <w:ind w:left="40"/>
              <w:spacing w:after="0"/>
              <w:rPr>
                <w:sz w:val="20"/>
                <w:szCs w:val="20"/>
                <w:color w:val="auto"/>
              </w:rPr>
            </w:pPr>
            <w:r>
              <w:rPr>
                <w:rFonts w:ascii="Arial" w:cs="Arial" w:eastAsia="Arial" w:hAnsi="Arial"/>
                <w:sz w:val="16"/>
                <w:szCs w:val="16"/>
                <w:color w:val="auto"/>
                <w:w w:val="91"/>
              </w:rPr>
              <w:t>Net income (loss) attributable to ZoomInfo Technologies</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53"/>
        </w:trPr>
        <w:tc>
          <w:tcPr>
            <w:tcW w:w="322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Inc.</w:t>
            </w:r>
          </w:p>
        </w:tc>
        <w:tc>
          <w:tcPr>
            <w:tcW w:w="4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280"/>
              <w:spacing w:after="0"/>
              <w:rPr>
                <w:sz w:val="20"/>
                <w:szCs w:val="20"/>
                <w:color w:val="auto"/>
              </w:rPr>
            </w:pPr>
            <w:r>
              <w:rPr>
                <w:rFonts w:ascii="Arial" w:cs="Arial" w:eastAsia="Arial" w:hAnsi="Arial"/>
                <w:sz w:val="16"/>
                <w:szCs w:val="16"/>
                <w:color w:val="auto"/>
              </w:rPr>
              <w:t>Basic and diluted net loss per share</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6"/>
              </w:rPr>
              <w:t>Shares used in basic and diluted per share</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calculations</w:t>
            </w:r>
          </w:p>
        </w:tc>
        <w:tc>
          <w:tcPr>
            <w:tcW w:w="4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143,485,371</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ZoomInfo OpCo</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45"/>
              <w:spacing w:after="0"/>
              <w:rPr>
                <w:sz w:val="20"/>
                <w:szCs w:val="20"/>
                <w:color w:val="auto"/>
              </w:rPr>
            </w:pPr>
            <w:r>
              <w:rPr>
                <w:rFonts w:ascii="Arial" w:cs="Arial" w:eastAsia="Arial" w:hAnsi="Arial"/>
                <w:sz w:val="14"/>
                <w:szCs w:val="14"/>
                <w:b w:val="1"/>
                <w:bCs w:val="1"/>
                <w:color w:val="auto"/>
                <w:w w:val="94"/>
              </w:rPr>
              <w:t>ZoomInfo</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6"/>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ind w:left="40"/>
              <w:spacing w:after="0" w:line="144" w:lineRule="exact"/>
              <w:rPr>
                <w:sz w:val="20"/>
                <w:szCs w:val="20"/>
                <w:color w:val="auto"/>
              </w:rPr>
            </w:pPr>
            <w:r>
              <w:rPr>
                <w:rFonts w:ascii="Arial" w:cs="Arial" w:eastAsia="Arial" w:hAnsi="Arial"/>
                <w:sz w:val="14"/>
                <w:szCs w:val="14"/>
                <w:b w:val="1"/>
                <w:bCs w:val="1"/>
                <w:color w:val="auto"/>
                <w:w w:val="96"/>
              </w:rPr>
              <w:t>Technologies Inc.</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0"/>
          </w:tcPr>
          <w:p>
            <w:pPr>
              <w:jc w:val="right"/>
              <w:ind w:right="620"/>
              <w:spacing w:after="0"/>
              <w:rPr>
                <w:sz w:val="20"/>
                <w:szCs w:val="20"/>
                <w:color w:val="auto"/>
              </w:rPr>
            </w:pPr>
            <w:r>
              <w:rPr>
                <w:rFonts w:ascii="Arial" w:cs="Arial" w:eastAsia="Arial" w:hAnsi="Arial"/>
                <w:sz w:val="14"/>
                <w:szCs w:val="14"/>
                <w:b w:val="1"/>
                <w:bCs w:val="1"/>
                <w:color w:val="auto"/>
                <w:w w:val="94"/>
              </w:rPr>
              <w:t>(DiscoverOrg Holdings, LLC)</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As of March 31,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25"/>
              <w:spacing w:after="0" w:line="146"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55"/>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w w:val="83"/>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1"/>
              </w:rPr>
              <w:t>Summary Balance Sheet Data (at period end):</w:t>
            </w: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Cash and cash equivalents</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w:t>
            </w:r>
          </w:p>
        </w:tc>
        <w:tc>
          <w:tcPr>
            <w:tcW w:w="460" w:type="dxa"/>
            <w:vAlign w:val="bottom"/>
            <w:gridSpan w:val="3"/>
          </w:tcPr>
          <w:p>
            <w:pPr>
              <w:jc w:val="right"/>
              <w:ind w:right="1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41.4</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1,542.2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1,577.9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1,904.8</w:t>
            </w: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Long-term debt (including current portion)</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1,206.2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1,238.8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841.5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9"/>
              </w:rPr>
              <w:t>Unearned revenue (including current portion)</w:t>
            </w: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6"/>
                <w:szCs w:val="16"/>
                <w:color w:val="auto"/>
              </w:rPr>
              <w:t>173.2</w:t>
            </w: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1,503.6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1,597.8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1,200.9</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Temporary equity</w:t>
            </w:r>
            <w:r>
              <w:rPr>
                <w:rFonts w:ascii="Arial" w:cs="Arial" w:eastAsia="Arial" w:hAnsi="Arial"/>
                <w:sz w:val="20"/>
                <w:szCs w:val="20"/>
                <w:color w:val="auto"/>
                <w:vertAlign w:val="superscript"/>
              </w:rPr>
              <w:t>(4)</w:t>
            </w:r>
          </w:p>
        </w:tc>
        <w:tc>
          <w:tcPr>
            <w:tcW w:w="4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200.2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220" w:type="dxa"/>
            <w:vAlign w:val="bottom"/>
            <w:gridSpan w:val="2"/>
          </w:tcPr>
          <w:p>
            <w:pPr>
              <w:ind w:left="40"/>
              <w:spacing w:after="0"/>
              <w:rPr>
                <w:sz w:val="20"/>
                <w:szCs w:val="20"/>
                <w:color w:val="auto"/>
              </w:rPr>
            </w:pPr>
            <w:r>
              <w:rPr>
                <w:rFonts w:ascii="Arial" w:cs="Arial" w:eastAsia="Arial" w:hAnsi="Arial"/>
                <w:sz w:val="16"/>
                <w:szCs w:val="16"/>
                <w:color w:val="auto"/>
              </w:rPr>
              <w:t>Permanent equity</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703.9</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7348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734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260"/>
          </w:cols>
          <w:pgMar w:left="800" w:top="815" w:right="8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ZoomInfo OpCo</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(DiscoverOrg Holdings, LLC)</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5"/>
        </w:trPr>
        <w:tc>
          <w:tcPr>
            <w:tcW w:w="4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w w:val="90"/>
              </w:rPr>
              <w:t>Year Ended December 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6"/>
          </w:tcPr>
          <w:p>
            <w:pPr>
              <w:jc w:val="right"/>
              <w:ind w:right="403"/>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55"/>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24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Summary Statements of Cash Flows Data:</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9"/>
        </w:trPr>
        <w:tc>
          <w:tcPr>
            <w:tcW w:w="410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43.8</w:t>
            </w:r>
          </w:p>
        </w:tc>
        <w:tc>
          <w:tcPr>
            <w:tcW w:w="2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44.4</w:t>
            </w:r>
          </w:p>
        </w:tc>
        <w:tc>
          <w:tcPr>
            <w:tcW w:w="5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14.2</w:t>
            </w:r>
          </w:p>
        </w:tc>
        <w:tc>
          <w:tcPr>
            <w:tcW w:w="40" w:type="dxa"/>
            <w:vAlign w:val="bottom"/>
          </w:tcPr>
          <w:p>
            <w:pPr>
              <w:spacing w:after="0"/>
              <w:rPr>
                <w:sz w:val="19"/>
                <w:szCs w:val="19"/>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28.3</w:t>
            </w:r>
          </w:p>
        </w:tc>
      </w:tr>
      <w:tr>
        <w:trPr>
          <w:trHeight w:val="33"/>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2"/>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(708.6)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29"/>
        </w:trPr>
        <w:tc>
          <w:tcPr>
            <w:tcW w:w="410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725.8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69"/>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5"/>
          </w:tcPr>
          <w:p>
            <w:pPr>
              <w:jc w:val="center"/>
              <w:ind w:left="485"/>
              <w:spacing w:after="0"/>
              <w:rPr>
                <w:sz w:val="20"/>
                <w:szCs w:val="20"/>
                <w:color w:val="auto"/>
              </w:rPr>
            </w:pPr>
            <w:r>
              <w:rPr>
                <w:rFonts w:ascii="Arial" w:cs="Arial" w:eastAsia="Arial" w:hAnsi="Arial"/>
                <w:sz w:val="14"/>
                <w:szCs w:val="14"/>
                <w:b w:val="1"/>
                <w:bCs w:val="1"/>
                <w:color w:val="auto"/>
                <w:w w:val="92"/>
              </w:rPr>
              <w:t>ZoomInfo OpCo</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8"/>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92"/>
              </w:rPr>
              <w:t>(DiscoverOrg Holdings, LLC)</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5"/>
        </w:trPr>
        <w:tc>
          <w:tcPr>
            <w:tcW w:w="4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80" w:type="dxa"/>
            <w:vAlign w:val="bottom"/>
            <w:gridSpan w:val="6"/>
          </w:tcPr>
          <w:p>
            <w:pPr>
              <w:jc w:val="right"/>
              <w:ind w:right="463"/>
              <w:spacing w:after="0"/>
              <w:rPr>
                <w:sz w:val="20"/>
                <w:szCs w:val="20"/>
                <w:color w:val="auto"/>
              </w:rPr>
            </w:pPr>
            <w:r>
              <w:rPr>
                <w:rFonts w:ascii="Arial" w:cs="Arial" w:eastAsia="Arial" w:hAnsi="Arial"/>
                <w:sz w:val="14"/>
                <w:szCs w:val="14"/>
                <w:b w:val="1"/>
                <w:bCs w:val="1"/>
                <w:color w:val="auto"/>
                <w:w w:val="92"/>
              </w:rPr>
              <w:t>Three Months Ended March 31,</w:t>
            </w:r>
          </w:p>
        </w:tc>
      </w:tr>
      <w:tr>
        <w:trPr>
          <w:trHeight w:val="255"/>
        </w:trPr>
        <w:tc>
          <w:tcPr>
            <w:tcW w:w="4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CCEEFF"/>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26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Data</w:t>
            </w:r>
            <w:r>
              <w:rPr>
                <w:rFonts w:ascii="Arial" w:cs="Arial" w:eastAsia="Arial" w:hAnsi="Arial"/>
                <w:sz w:val="20"/>
                <w:szCs w:val="20"/>
                <w:b w:val="1"/>
                <w:bCs w:val="1"/>
                <w:color w:val="auto"/>
                <w:vertAlign w:val="superscript"/>
              </w:rPr>
              <w:t>(5)</w:t>
            </w:r>
            <w:r>
              <w:rPr>
                <w:rFonts w:ascii="Arial" w:cs="Arial" w:eastAsia="Arial" w:hAnsi="Arial"/>
                <w:sz w:val="16"/>
                <w:szCs w:val="16"/>
                <w:b w:val="1"/>
                <w:bCs w:val="1"/>
                <w:color w:val="auto"/>
              </w:rPr>
              <w:t>:</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2"/>
        </w:trPr>
        <w:tc>
          <w:tcPr>
            <w:tcW w:w="4100" w:type="dxa"/>
            <w:vAlign w:val="bottom"/>
          </w:tcPr>
          <w:p>
            <w:pPr>
              <w:ind w:left="40"/>
              <w:spacing w:after="0"/>
              <w:rPr>
                <w:sz w:val="20"/>
                <w:szCs w:val="20"/>
                <w:color w:val="auto"/>
              </w:rPr>
            </w:pPr>
            <w:r>
              <w:rPr>
                <w:rFonts w:ascii="Arial" w:cs="Arial" w:eastAsia="Arial" w:hAnsi="Arial"/>
                <w:sz w:val="16"/>
                <w:szCs w:val="16"/>
                <w:color w:val="auto"/>
              </w:rPr>
              <w:t>Allocated Combined Receipts</w:t>
            </w:r>
            <w:r>
              <w:rPr>
                <w:rFonts w:ascii="Arial" w:cs="Arial" w:eastAsia="Arial" w:hAnsi="Arial"/>
                <w:sz w:val="20"/>
                <w:szCs w:val="20"/>
                <w:color w:val="auto"/>
                <w:vertAlign w:val="superscript"/>
              </w:rPr>
              <w:t>(6)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40" w:type="dxa"/>
            <w:vAlign w:val="bottom"/>
          </w:tcPr>
          <w:p>
            <w:pPr>
              <w:jc w:val="right"/>
              <w:ind w:right="65"/>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tcPr>
          <w:p>
            <w:pPr>
              <w:spacing w:after="0"/>
              <w:rPr>
                <w:sz w:val="22"/>
                <w:szCs w:val="22"/>
                <w:color w:val="auto"/>
              </w:rPr>
            </w:pPr>
          </w:p>
        </w:tc>
        <w:tc>
          <w:tcPr>
            <w:tcW w:w="1060" w:type="dxa"/>
            <w:vAlign w:val="bottom"/>
          </w:tcPr>
          <w:p>
            <w:pPr>
              <w:jc w:val="right"/>
              <w:ind w:right="85"/>
              <w:spacing w:after="0"/>
              <w:rPr>
                <w:sz w:val="20"/>
                <w:szCs w:val="20"/>
                <w:color w:val="auto"/>
              </w:rPr>
            </w:pPr>
            <w:r>
              <w:rPr>
                <w:rFonts w:ascii="Arial" w:cs="Arial" w:eastAsia="Arial" w:hAnsi="Arial"/>
                <w:sz w:val="16"/>
                <w:szCs w:val="16"/>
                <w:color w:val="auto"/>
              </w:rPr>
              <w:t>336.0</w:t>
            </w:r>
          </w:p>
        </w:tc>
        <w:tc>
          <w:tcPr>
            <w:tcW w:w="80" w:type="dxa"/>
            <w:vAlign w:val="bottom"/>
          </w:tcPr>
          <w:p>
            <w:pPr>
              <w:spacing w:after="0"/>
              <w:rPr>
                <w:sz w:val="22"/>
                <w:szCs w:val="22"/>
                <w:color w:val="auto"/>
              </w:rPr>
            </w:pPr>
          </w:p>
        </w:tc>
        <w:tc>
          <w:tcPr>
            <w:tcW w:w="56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5"/>
              <w:spacing w:after="0"/>
              <w:rPr>
                <w:sz w:val="20"/>
                <w:szCs w:val="20"/>
                <w:color w:val="auto"/>
              </w:rPr>
            </w:pPr>
            <w:r>
              <w:rPr>
                <w:rFonts w:ascii="Arial" w:cs="Arial" w:eastAsia="Arial" w:hAnsi="Arial"/>
                <w:sz w:val="16"/>
                <w:szCs w:val="16"/>
                <w:color w:val="auto"/>
              </w:rPr>
              <w:t>73.1</w:t>
            </w:r>
          </w:p>
        </w:tc>
        <w:tc>
          <w:tcPr>
            <w:tcW w:w="40" w:type="dxa"/>
            <w:vAlign w:val="bottom"/>
          </w:tcPr>
          <w:p>
            <w:pPr>
              <w:spacing w:after="0"/>
              <w:rPr>
                <w:sz w:val="22"/>
                <w:szCs w:val="22"/>
                <w:color w:val="auto"/>
              </w:rPr>
            </w:pPr>
          </w:p>
        </w:tc>
        <w:tc>
          <w:tcPr>
            <w:tcW w:w="4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103.6</w:t>
            </w:r>
          </w:p>
        </w:tc>
      </w:tr>
      <w:tr>
        <w:trPr>
          <w:trHeight w:val="262"/>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Operating Income</w:t>
            </w:r>
            <w:r>
              <w:rPr>
                <w:rFonts w:ascii="Arial" w:cs="Arial" w:eastAsia="Arial" w:hAnsi="Arial"/>
                <w:sz w:val="20"/>
                <w:szCs w:val="20"/>
                <w:color w:val="auto"/>
                <w:vertAlign w:val="superscript"/>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167.1</w:t>
            </w:r>
          </w:p>
        </w:tc>
        <w:tc>
          <w:tcPr>
            <w:tcW w:w="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31.7</w:t>
            </w:r>
          </w:p>
        </w:tc>
        <w:tc>
          <w:tcPr>
            <w:tcW w:w="4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49.1</w:t>
            </w:r>
          </w:p>
        </w:tc>
      </w:tr>
      <w:tr>
        <w:trPr>
          <w:trHeight w:val="262"/>
        </w:trPr>
        <w:tc>
          <w:tcPr>
            <w:tcW w:w="4100" w:type="dxa"/>
            <w:vAlign w:val="bottom"/>
          </w:tcPr>
          <w:p>
            <w:pPr>
              <w:ind w:left="40"/>
              <w:spacing w:after="0"/>
              <w:rPr>
                <w:sz w:val="20"/>
                <w:szCs w:val="20"/>
                <w:color w:val="auto"/>
              </w:rPr>
            </w:pPr>
            <w:r>
              <w:rPr>
                <w:rFonts w:ascii="Arial" w:cs="Arial" w:eastAsia="Arial" w:hAnsi="Arial"/>
                <w:sz w:val="16"/>
                <w:szCs w:val="16"/>
                <w:color w:val="auto"/>
              </w:rPr>
              <w:t>Adjusted Operating Income Margin</w:t>
            </w:r>
            <w:r>
              <w:rPr>
                <w:rFonts w:ascii="Arial" w:cs="Arial" w:eastAsia="Arial" w:hAnsi="Arial"/>
                <w:sz w:val="20"/>
                <w:szCs w:val="20"/>
                <w:color w:val="auto"/>
                <w:vertAlign w:val="superscript"/>
              </w:rPr>
              <w:t>(7)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62"/>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r>
              <w:rPr>
                <w:rFonts w:ascii="Arial" w:cs="Arial" w:eastAsia="Arial" w:hAnsi="Arial"/>
                <w:sz w:val="20"/>
                <w:szCs w:val="20"/>
                <w:color w:val="auto"/>
                <w:vertAlign w:val="superscript"/>
              </w:rPr>
              <w:t>(8)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86.2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173.2</w:t>
            </w:r>
          </w:p>
        </w:tc>
        <w:tc>
          <w:tcPr>
            <w:tcW w:w="8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32.8</w:t>
            </w:r>
          </w:p>
        </w:tc>
        <w:tc>
          <w:tcPr>
            <w:tcW w:w="4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51.0</w:t>
            </w:r>
          </w:p>
        </w:tc>
      </w:tr>
      <w:tr>
        <w:trPr>
          <w:trHeight w:val="151"/>
        </w:trPr>
        <w:tc>
          <w:tcPr>
            <w:tcW w:w="4100" w:type="dxa"/>
            <w:vAlign w:val="bottom"/>
          </w:tcPr>
          <w:p>
            <w:pPr>
              <w:ind w:left="20"/>
              <w:spacing w:after="0" w:line="151" w:lineRule="exact"/>
              <w:rPr>
                <w:sz w:val="20"/>
                <w:szCs w:val="20"/>
                <w:color w:val="auto"/>
              </w:rPr>
            </w:pPr>
            <w:r>
              <w:rPr>
                <w:rFonts w:ascii="Arial" w:cs="Arial" w:eastAsia="Arial" w:hAnsi="Arial"/>
                <w:sz w:val="14"/>
                <w:szCs w:val="14"/>
                <w:color w:val="auto"/>
              </w:rPr>
              <w:t>__________________</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ind w:left="320" w:right="20" w:hanging="306"/>
        <w:spacing w:after="0" w:line="242"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7756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7756525"/>
                    </a:xfrm>
                    <a:prstGeom prst="rect">
                      <a:avLst/>
                    </a:prstGeom>
                    <a:noFill/>
                  </pic:spPr>
                </pic:pic>
              </a:graphicData>
            </a:graphic>
          </wp:anchor>
        </w:drawing>
        <w:t>Historical results of ZoomInfo OpCo for the years ended December 31, 2018 and 2019 do not reflect the results of Pre-Acquisition ZI prior to the Zoom Information Acquisition on February 1, 2019.</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4"/>
                <w:szCs w:val="14"/>
                <w:color w:val="auto"/>
              </w:rPr>
            </w:pPr>
          </w:p>
        </w:tc>
        <w:tc>
          <w:tcPr>
            <w:tcW w:w="21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 2018</w:t>
            </w:r>
          </w:p>
        </w:tc>
        <w:tc>
          <w:tcPr>
            <w:tcW w:w="140" w:type="dxa"/>
            <w:vAlign w:val="bottom"/>
          </w:tcPr>
          <w:p>
            <w:pPr>
              <w:spacing w:after="0"/>
              <w:rPr>
                <w:sz w:val="16"/>
                <w:szCs w:val="16"/>
                <w:color w:val="auto"/>
              </w:rPr>
            </w:pPr>
          </w:p>
        </w:tc>
        <w:tc>
          <w:tcPr>
            <w:tcW w:w="21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4"/>
              </w:rPr>
              <w:t>ZoomInfo OpCo</w:t>
            </w: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4"/>
              </w:rPr>
              <w:t>ZoomInfo OpCo</w:t>
            </w: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0"/>
              </w:rPr>
              <w:t>(DiscoverOrg</w:t>
            </w:r>
          </w:p>
        </w:tc>
        <w:tc>
          <w:tcPr>
            <w:tcW w:w="1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Pre-Acquisition ZI</w:t>
            </w: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0"/>
              </w:rPr>
              <w:t>(DiscoverOrg</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Pre-Acquisition ZI</w:t>
            </w:r>
            <w:r>
              <w:rPr>
                <w:rFonts w:ascii="Arial" w:cs="Arial" w:eastAsia="Arial" w:hAnsi="Arial"/>
                <w:sz w:val="8"/>
                <w:szCs w:val="8"/>
                <w:b w:val="1"/>
                <w:bCs w:val="1"/>
                <w:color w:val="auto"/>
                <w:w w:val="98"/>
              </w:rPr>
              <w:t>(a)</w:t>
            </w:r>
          </w:p>
        </w:tc>
        <w:tc>
          <w:tcPr>
            <w:tcW w:w="0" w:type="dxa"/>
            <w:vAlign w:val="bottom"/>
          </w:tcPr>
          <w:p>
            <w:pPr>
              <w:spacing w:after="0"/>
              <w:rPr>
                <w:sz w:val="1"/>
                <w:szCs w:val="1"/>
                <w:color w:val="auto"/>
              </w:rPr>
            </w:pPr>
          </w:p>
        </w:tc>
      </w:tr>
      <w:tr>
        <w:trPr>
          <w:trHeight w:val="188"/>
        </w:trPr>
        <w:tc>
          <w:tcPr>
            <w:tcW w:w="39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Holdings, LLC)</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Holdings, LLC)</w:t>
            </w: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144.3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293.3</w:t>
            </w:r>
          </w:p>
        </w:tc>
        <w:tc>
          <w:tcPr>
            <w:tcW w:w="10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4"/>
                <w:szCs w:val="14"/>
                <w:color w:val="auto"/>
              </w:rPr>
              <w:t>Income from operations</w:t>
            </w: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5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51"/>
        </w:trPr>
        <w:tc>
          <w:tcPr>
            <w:tcW w:w="390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40" w:hanging="312"/>
        <w:spacing w:after="0"/>
        <w:tabs>
          <w:tab w:leader="none" w:pos="6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Reflects January 2019 results for Pre-Acquisition ZI.</w:t>
      </w:r>
    </w:p>
    <w:p>
      <w:pPr>
        <w:spacing w:after="0" w:line="36" w:lineRule="exact"/>
        <w:rPr>
          <w:rFonts w:ascii="Arial" w:cs="Arial" w:eastAsia="Arial" w:hAnsi="Arial"/>
          <w:sz w:val="14"/>
          <w:szCs w:val="14"/>
          <w:color w:val="auto"/>
        </w:rPr>
      </w:pPr>
    </w:p>
    <w:p>
      <w:pPr>
        <w:ind w:left="320" w:hanging="306"/>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equity-based compensation expense, as follows:</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24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r>
      <w:tr>
        <w:trPr>
          <w:trHeight w:val="257"/>
        </w:trPr>
        <w:tc>
          <w:tcPr>
            <w:tcW w:w="3900" w:type="dxa"/>
            <w:vAlign w:val="bottom"/>
          </w:tcPr>
          <w:p>
            <w:pPr>
              <w:ind w:left="4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6.4</w:t>
            </w:r>
          </w:p>
        </w:tc>
      </w:tr>
      <w:tr>
        <w:trPr>
          <w:trHeight w:val="26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r>
      <w:tr>
        <w:trPr>
          <w:trHeight w:val="25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w:t>
            </w:r>
          </w:p>
        </w:tc>
      </w:tr>
      <w:tr>
        <w:trPr>
          <w:trHeight w:val="234"/>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11.3</w:t>
            </w:r>
          </w:p>
        </w:tc>
      </w:tr>
    </w:tbl>
    <w:p>
      <w:pPr>
        <w:spacing w:after="0" w:line="8" w:lineRule="exact"/>
        <w:rPr>
          <w:sz w:val="20"/>
          <w:szCs w:val="20"/>
          <w:color w:val="auto"/>
        </w:rPr>
      </w:pPr>
    </w:p>
    <w:p>
      <w:pPr>
        <w:ind w:left="320" w:hanging="306"/>
        <w:spacing w:after="0"/>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8" w:lineRule="exact"/>
        <w:rPr>
          <w:rFonts w:ascii="Arial" w:cs="Arial" w:eastAsia="Arial" w:hAnsi="Arial"/>
          <w:sz w:val="14"/>
          <w:szCs w:val="14"/>
          <w:color w:val="auto"/>
        </w:rPr>
      </w:pPr>
    </w:p>
    <w:p>
      <w:pPr>
        <w:jc w:val="both"/>
        <w:ind w:left="320" w:right="20" w:hanging="306"/>
        <w:spacing w:after="0" w:line="234" w:lineRule="auto"/>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207,000,000 Series A Preferred Units issued on February 1, 2019 in connection with the Zoom Information Acquisition. We expect to redeem and cancel all outstanding Series A Preferred Units with proceeds from this offering for approximately $274.2 million, including accumulated but unpaid distributions and related prepayment premiums.</w:t>
      </w:r>
    </w:p>
    <w:p>
      <w:pPr>
        <w:jc w:val="both"/>
        <w:ind w:left="320" w:right="20" w:hanging="306"/>
        <w:spacing w:after="0" w:line="234" w:lineRule="auto"/>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 addition to our results determined in accordance with U.S. generally accepted accounting principles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 w:lineRule="exact"/>
        <w:rPr>
          <w:rFonts w:ascii="Arial" w:cs="Arial" w:eastAsia="Arial" w:hAnsi="Arial"/>
          <w:sz w:val="14"/>
          <w:szCs w:val="14"/>
          <w:color w:val="auto"/>
        </w:rPr>
      </w:pPr>
    </w:p>
    <w:p>
      <w:pPr>
        <w:jc w:val="both"/>
        <w:ind w:left="320"/>
        <w:spacing w:after="0" w:line="237" w:lineRule="auto"/>
        <w:rPr>
          <w:rFonts w:ascii="Arial" w:cs="Arial" w:eastAsia="Arial" w:hAnsi="Arial"/>
          <w:sz w:val="14"/>
          <w:szCs w:val="14"/>
          <w:color w:val="auto"/>
        </w:rPr>
      </w:pPr>
      <w:r>
        <w:rPr>
          <w:rFonts w:ascii="Arial" w:cs="Arial" w:eastAsia="Arial" w:hAnsi="Arial"/>
          <w:sz w:val="14"/>
          <w:szCs w:val="14"/>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280"/>
          </w:cols>
          <w:pgMar w:left="800" w:top="794" w:right="819" w:bottom="1440" w:gutter="0" w:footer="0" w:header="0"/>
        </w:sectPr>
      </w:pPr>
    </w:p>
    <w:bookmarkStart w:id="34" w:name="page35"/>
    <w:bookmarkEnd w:id="34"/>
    <w:p>
      <w:pPr>
        <w:jc w:val="both"/>
        <w:ind w:left="30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5344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0575" cy="5344160"/>
                    </a:xfrm>
                    <a:prstGeom prst="rect">
                      <a:avLst/>
                    </a:prstGeom>
                    <a:noFill/>
                  </pic:spPr>
                </pic:pic>
              </a:graphicData>
            </a:graphic>
          </wp:anchor>
        </w:drawing>
        <w:t>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 w:lineRule="exact"/>
        <w:rPr>
          <w:sz w:val="20"/>
          <w:szCs w:val="20"/>
          <w:color w:val="auto"/>
        </w:rPr>
      </w:pPr>
    </w:p>
    <w:p>
      <w:pPr>
        <w:jc w:val="both"/>
        <w:ind w:left="306" w:right="20" w:hanging="306"/>
        <w:spacing w:after="0" w:line="280" w:lineRule="auto"/>
        <w:tabs>
          <w:tab w:leader="none" w:pos="306" w:val="left"/>
        </w:tabs>
        <w:numPr>
          <w:ilvl w:val="0"/>
          <w:numId w:val="30"/>
        </w:numPr>
        <w:rPr>
          <w:rFonts w:ascii="Arial" w:cs="Arial" w:eastAsia="Arial" w:hAnsi="Arial"/>
          <w:sz w:val="12"/>
          <w:szCs w:val="12"/>
          <w:color w:val="auto"/>
        </w:rPr>
      </w:pPr>
      <w:r>
        <w:rPr>
          <w:rFonts w:ascii="Arial" w:cs="Arial" w:eastAsia="Arial" w:hAnsi="Arial"/>
          <w:sz w:val="12"/>
          <w:szCs w:val="12"/>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9" w:lineRule="exact"/>
        <w:rPr>
          <w:rFonts w:ascii="Arial" w:cs="Arial" w:eastAsia="Arial" w:hAnsi="Arial"/>
          <w:sz w:val="12"/>
          <w:szCs w:val="12"/>
          <w:color w:val="auto"/>
        </w:rPr>
      </w:pPr>
    </w:p>
    <w:p>
      <w:pPr>
        <w:ind w:left="306"/>
        <w:spacing w:after="0"/>
        <w:rPr>
          <w:rFonts w:ascii="Arial" w:cs="Arial" w:eastAsia="Arial" w:hAnsi="Arial"/>
          <w:sz w:val="12"/>
          <w:szCs w:val="12"/>
          <w:color w:val="auto"/>
        </w:rPr>
      </w:pPr>
      <w:r>
        <w:rPr>
          <w:rFonts w:ascii="Arial" w:cs="Arial" w:eastAsia="Arial" w:hAnsi="Arial"/>
          <w:sz w:val="14"/>
          <w:szCs w:val="14"/>
          <w:color w:val="auto"/>
        </w:rPr>
        <w:t>The following table presents a reconciliation of Allocated Combined Receipts for the periods presented:</w:t>
      </w:r>
    </w:p>
    <w:p>
      <w:pPr>
        <w:spacing w:after="0" w:line="215" w:lineRule="exact"/>
        <w:rPr>
          <w:sz w:val="20"/>
          <w:szCs w:val="20"/>
          <w:color w:val="auto"/>
        </w:rPr>
      </w:pPr>
    </w:p>
    <w:tbl>
      <w:tblPr>
        <w:tblLayout w:type="fixed"/>
        <w:tblInd w:w="306"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2020</w:t>
            </w:r>
          </w:p>
        </w:tc>
      </w:tr>
      <w:tr>
        <w:trPr>
          <w:trHeight w:val="247"/>
        </w:trPr>
        <w:tc>
          <w:tcPr>
            <w:tcW w:w="3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860" w:type="dxa"/>
            <w:vAlign w:val="bottom"/>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144.3</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96"/>
              </w:rPr>
              <w:t>293.3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102.2</w:t>
            </w:r>
          </w:p>
        </w:tc>
      </w:tr>
      <w:tr>
        <w:trPr>
          <w:trHeight w:val="257"/>
        </w:trPr>
        <w:tc>
          <w:tcPr>
            <w:tcW w:w="3860" w:type="dxa"/>
            <w:vAlign w:val="bottom"/>
          </w:tcPr>
          <w:p>
            <w:pPr>
              <w:ind w:left="200"/>
              <w:spacing w:after="0"/>
              <w:rPr>
                <w:sz w:val="20"/>
                <w:szCs w:val="20"/>
                <w:color w:val="auto"/>
              </w:rPr>
            </w:pPr>
            <w:r>
              <w:rPr>
                <w:rFonts w:ascii="Arial" w:cs="Arial" w:eastAsia="Arial" w:hAnsi="Arial"/>
                <w:sz w:val="14"/>
                <w:szCs w:val="14"/>
                <w:color w:val="auto"/>
                <w:w w:val="91"/>
              </w:rPr>
              <w:t>Impact of fair value adjustments to acquired unearned revenue</w:t>
            </w:r>
            <w:r>
              <w:rPr>
                <w:rFonts w:ascii="Arial" w:cs="Arial" w:eastAsia="Arial" w:hAnsi="Arial"/>
                <w:sz w:val="8"/>
                <w:szCs w:val="8"/>
                <w:color w:val="auto"/>
                <w:w w:val="91"/>
              </w:rPr>
              <w:t>(a)</w:t>
            </w:r>
          </w:p>
        </w:tc>
        <w:tc>
          <w:tcPr>
            <w:tcW w:w="86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1.4</w:t>
            </w:r>
          </w:p>
        </w:tc>
      </w:tr>
      <w:tr>
        <w:trPr>
          <w:trHeight w:val="267"/>
        </w:trPr>
        <w:tc>
          <w:tcPr>
            <w:tcW w:w="3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Pre-Acquisition ZI revenue</w:t>
            </w:r>
            <w:r>
              <w:rPr>
                <w:rFonts w:ascii="Arial" w:cs="Arial" w:eastAsia="Arial" w:hAnsi="Arial"/>
                <w:sz w:val="8"/>
                <w:szCs w:val="8"/>
                <w:color w:val="auto"/>
              </w:rPr>
              <w:t>(b)</w:t>
            </w:r>
          </w:p>
        </w:tc>
        <w:tc>
          <w:tcPr>
            <w:tcW w:w="86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152"/>
        </w:trPr>
        <w:tc>
          <w:tcPr>
            <w:tcW w:w="3860" w:type="dxa"/>
            <w:vAlign w:val="bottom"/>
          </w:tcPr>
          <w:p>
            <w:pPr>
              <w:ind w:left="200"/>
              <w:spacing w:after="0" w:line="152" w:lineRule="exact"/>
              <w:rPr>
                <w:sz w:val="20"/>
                <w:szCs w:val="20"/>
                <w:color w:val="auto"/>
              </w:rPr>
            </w:pPr>
            <w:r>
              <w:rPr>
                <w:rFonts w:ascii="Arial" w:cs="Arial" w:eastAsia="Arial" w:hAnsi="Arial"/>
                <w:sz w:val="14"/>
                <w:szCs w:val="14"/>
                <w:color w:val="auto"/>
                <w:w w:val="93"/>
              </w:rPr>
              <w:t>Impact of fair value adjustments to acquired unearned revenue</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4"/>
        </w:trPr>
        <w:tc>
          <w:tcPr>
            <w:tcW w:w="3860" w:type="dxa"/>
            <w:vAlign w:val="bottom"/>
          </w:tcPr>
          <w:p>
            <w:pPr>
              <w:ind w:left="340"/>
              <w:spacing w:after="0"/>
              <w:rPr>
                <w:sz w:val="20"/>
                <w:szCs w:val="20"/>
                <w:color w:val="auto"/>
              </w:rPr>
            </w:pPr>
            <w:r>
              <w:rPr>
                <w:rFonts w:ascii="Arial" w:cs="Arial" w:eastAsia="Arial" w:hAnsi="Arial"/>
                <w:sz w:val="14"/>
                <w:szCs w:val="14"/>
                <w:color w:val="auto"/>
              </w:rPr>
              <w:t>recorded by Pre-Acquisition ZI</w:t>
            </w:r>
            <w:r>
              <w:rPr>
                <w:rFonts w:ascii="Arial" w:cs="Arial" w:eastAsia="Arial" w:hAnsi="Arial"/>
                <w:sz w:val="8"/>
                <w:szCs w:val="8"/>
                <w:color w:val="auto"/>
              </w:rPr>
              <w:t>(c)</w:t>
            </w:r>
          </w:p>
        </w:tc>
        <w:tc>
          <w:tcPr>
            <w:tcW w:w="860" w:type="dxa"/>
            <w:vAlign w:val="bottom"/>
          </w:tcPr>
          <w:p>
            <w:pPr>
              <w:spacing w:after="0"/>
              <w:rPr>
                <w:sz w:val="15"/>
                <w:szCs w:val="15"/>
                <w:color w:val="auto"/>
              </w:rPr>
            </w:pPr>
          </w:p>
        </w:tc>
        <w:tc>
          <w:tcPr>
            <w:tcW w:w="460" w:type="dxa"/>
            <w:vAlign w:val="bottom"/>
          </w:tcPr>
          <w:p>
            <w:pPr>
              <w:jc w:val="right"/>
              <w:ind w:right="1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62"/>
        </w:trPr>
        <w:tc>
          <w:tcPr>
            <w:tcW w:w="3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Pre-acquisition revenue of other acquired companies</w:t>
            </w:r>
            <w:r>
              <w:rPr>
                <w:rFonts w:ascii="Arial" w:cs="Arial" w:eastAsia="Arial" w:hAnsi="Arial"/>
                <w:sz w:val="8"/>
                <w:szCs w:val="8"/>
                <w:color w:val="auto"/>
              </w:rPr>
              <w:t>(d)</w:t>
            </w:r>
          </w:p>
        </w:tc>
        <w:tc>
          <w:tcPr>
            <w:tcW w:w="8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74"/>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Allocated Combined Receipts</w:t>
            </w:r>
          </w:p>
        </w:tc>
        <w:tc>
          <w:tcPr>
            <w:tcW w:w="86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241.2</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96"/>
              </w:rPr>
              <w:t>336.0</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73.1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103.6</w:t>
            </w:r>
          </w:p>
        </w:tc>
      </w:tr>
      <w:tr>
        <w:trPr>
          <w:trHeight w:val="241"/>
        </w:trPr>
        <w:tc>
          <w:tcPr>
            <w:tcW w:w="386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Growth</w:t>
            </w: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39%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42%</w:t>
            </w:r>
          </w:p>
        </w:tc>
      </w:tr>
      <w:tr>
        <w:trPr>
          <w:trHeight w:val="151"/>
        </w:trPr>
        <w:tc>
          <w:tcPr>
            <w:tcW w:w="386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jc w:val="both"/>
        <w:ind w:left="626" w:right="20" w:hanging="312"/>
        <w:spacing w:after="0" w:line="234" w:lineRule="auto"/>
        <w:tabs>
          <w:tab w:leader="none" w:pos="626" w:val="left"/>
        </w:tabs>
        <w:numPr>
          <w:ilvl w:val="1"/>
          <w:numId w:val="3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626" w:hanging="312"/>
        <w:spacing w:after="0" w:line="234" w:lineRule="auto"/>
        <w:tabs>
          <w:tab w:leader="none" w:pos="626" w:val="left"/>
        </w:tabs>
        <w:numPr>
          <w:ilvl w:val="1"/>
          <w:numId w:val="31"/>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626" w:right="20" w:hanging="312"/>
        <w:spacing w:after="0" w:line="252" w:lineRule="auto"/>
        <w:tabs>
          <w:tab w:leader="none" w:pos="626" w:val="left"/>
        </w:tabs>
        <w:numPr>
          <w:ilvl w:val="1"/>
          <w:numId w:val="31"/>
        </w:numPr>
        <w:rPr>
          <w:rFonts w:ascii="Arial" w:cs="Arial" w:eastAsia="Arial" w:hAnsi="Arial"/>
          <w:sz w:val="13"/>
          <w:szCs w:val="13"/>
          <w:color w:val="auto"/>
        </w:rPr>
      </w:pPr>
      <w:r>
        <w:rPr>
          <w:rFonts w:ascii="Arial" w:cs="Arial" w:eastAsia="Arial" w:hAnsi="Arial"/>
          <w:sz w:val="13"/>
          <w:szCs w:val="13"/>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626" w:right="20" w:hanging="312"/>
        <w:spacing w:after="0" w:line="242" w:lineRule="auto"/>
        <w:tabs>
          <w:tab w:leader="none" w:pos="626" w:val="left"/>
        </w:tabs>
        <w:numPr>
          <w:ilvl w:val="1"/>
          <w:numId w:val="31"/>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Figures include revenue recognized by these entities for the periods presented prior to their respective acquisitions.</w:t>
      </w:r>
    </w:p>
    <w:p>
      <w:pPr>
        <w:spacing w:after="0" w:line="30" w:lineRule="exact"/>
        <w:rPr>
          <w:rFonts w:ascii="Arial" w:cs="Arial" w:eastAsia="Arial" w:hAnsi="Arial"/>
          <w:sz w:val="14"/>
          <w:szCs w:val="14"/>
          <w:color w:val="auto"/>
        </w:rPr>
      </w:pPr>
    </w:p>
    <w:p>
      <w:pPr>
        <w:jc w:val="both"/>
        <w:ind w:left="306" w:right="20" w:hanging="306"/>
        <w:spacing w:after="0" w:line="257" w:lineRule="auto"/>
        <w:tabs>
          <w:tab w:leader="none" w:pos="306" w:val="left"/>
        </w:tabs>
        <w:numPr>
          <w:ilvl w:val="0"/>
          <w:numId w:val="32"/>
        </w:numPr>
        <w:rPr>
          <w:rFonts w:ascii="Arial" w:cs="Arial" w:eastAsia="Arial" w:hAnsi="Arial"/>
          <w:sz w:val="13"/>
          <w:szCs w:val="13"/>
          <w:color w:val="auto"/>
        </w:rPr>
      </w:pPr>
      <w:r>
        <w:rPr>
          <w:rFonts w:ascii="Arial" w:cs="Arial" w:eastAsia="Arial" w:hAnsi="Arial"/>
          <w:sz w:val="13"/>
          <w:szCs w:val="13"/>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 We define Adjusted Operating Income Margin as Adjusted Operating Income divided by the sum of revenue and impacts of fair value adjustments to acquired unearned revenue.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266"/>
          </w:cols>
          <w:pgMar w:left="814" w:top="658" w:right="819" w:bottom="1440" w:gutter="0" w:footer="0" w:header="0"/>
        </w:sectPr>
      </w:pPr>
    </w:p>
    <w:bookmarkStart w:id="35" w:name="page36"/>
    <w:bookmarkEnd w:id="35"/>
    <w:p>
      <w:pPr>
        <w:ind w:left="30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7348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7348855"/>
                    </a:xfrm>
                    <a:prstGeom prst="rect">
                      <a:avLst/>
                    </a:prstGeom>
                    <a:noFill/>
                  </pic:spPr>
                </pic:pic>
              </a:graphicData>
            </a:graphic>
          </wp:anchor>
        </w:drawing>
        <w:t>The following table presents a reconciliation of Adjusted Operating Income and Adjusted Operating Income Margin for the periods presented:</w:t>
      </w:r>
    </w:p>
    <w:p>
      <w:pPr>
        <w:spacing w:after="0" w:line="215" w:lineRule="exact"/>
        <w:rPr>
          <w:sz w:val="20"/>
          <w:szCs w:val="20"/>
          <w:color w:val="auto"/>
        </w:rPr>
      </w:pPr>
    </w:p>
    <w:tbl>
      <w:tblPr>
        <w:tblLayout w:type="fixed"/>
        <w:tblInd w:w="306"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2020</w:t>
            </w:r>
          </w:p>
        </w:tc>
      </w:tr>
      <w:tr>
        <w:trPr>
          <w:trHeight w:val="247"/>
        </w:trPr>
        <w:tc>
          <w:tcPr>
            <w:tcW w:w="3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w:t>
            </w:r>
          </w:p>
        </w:tc>
      </w:tr>
      <w:tr>
        <w:trPr>
          <w:trHeight w:val="257"/>
        </w:trPr>
        <w:tc>
          <w:tcPr>
            <w:tcW w:w="3800" w:type="dxa"/>
            <w:vAlign w:val="bottom"/>
          </w:tcPr>
          <w:p>
            <w:pPr>
              <w:ind w:left="200"/>
              <w:spacing w:after="0"/>
              <w:rPr>
                <w:sz w:val="20"/>
                <w:szCs w:val="20"/>
                <w:color w:val="auto"/>
              </w:rPr>
            </w:pPr>
            <w:r>
              <w:rPr>
                <w:rFonts w:ascii="Arial" w:cs="Arial" w:eastAsia="Arial" w:hAnsi="Arial"/>
                <w:sz w:val="14"/>
                <w:szCs w:val="14"/>
                <w:color w:val="auto"/>
              </w:rPr>
              <w:t>Provision for taxes</w:t>
            </w: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(0.4)</w:t>
            </w:r>
          </w:p>
        </w:tc>
      </w:tr>
      <w:tr>
        <w:trPr>
          <w:trHeight w:val="267"/>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expense, net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24.5</w:t>
            </w:r>
          </w:p>
        </w:tc>
      </w:tr>
      <w:tr>
        <w:trPr>
          <w:trHeight w:val="257"/>
        </w:trPr>
        <w:tc>
          <w:tcPr>
            <w:tcW w:w="3800" w:type="dxa"/>
            <w:vAlign w:val="bottom"/>
          </w:tcPr>
          <w:p>
            <w:pPr>
              <w:ind w:left="200"/>
              <w:spacing w:after="0"/>
              <w:rPr>
                <w:sz w:val="20"/>
                <w:szCs w:val="20"/>
                <w:color w:val="auto"/>
              </w:rPr>
            </w:pPr>
            <w:r>
              <w:rPr>
                <w:rFonts w:ascii="Arial" w:cs="Arial" w:eastAsia="Arial" w:hAnsi="Arial"/>
                <w:sz w:val="14"/>
                <w:szCs w:val="14"/>
                <w:color w:val="auto"/>
              </w:rPr>
              <w:t>Loss on debt extinguishment</w:t>
            </w:r>
          </w:p>
        </w:tc>
        <w:tc>
          <w:tcPr>
            <w:tcW w:w="32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2.2</w:t>
            </w:r>
          </w:p>
        </w:tc>
      </w:tr>
      <w:tr>
        <w:trPr>
          <w:trHeight w:val="262"/>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r>
      <w:tr>
        <w:trPr>
          <w:trHeight w:val="242"/>
        </w:trPr>
        <w:tc>
          <w:tcPr>
            <w:tcW w:w="380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Income from operations</w:t>
            </w: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26.6</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20.3</w:t>
            </w:r>
          </w:p>
        </w:tc>
      </w:tr>
      <w:tr>
        <w:trPr>
          <w:trHeight w:val="137"/>
        </w:trPr>
        <w:tc>
          <w:tcPr>
            <w:tcW w:w="3800" w:type="dxa"/>
            <w:vAlign w:val="bottom"/>
            <w:shd w:val="clear" w:color="auto" w:fill="CCEEFF"/>
          </w:tcPr>
          <w:p>
            <w:pPr>
              <w:ind w:left="200"/>
              <w:spacing w:after="0" w:line="137" w:lineRule="exact"/>
              <w:rPr>
                <w:sz w:val="20"/>
                <w:szCs w:val="20"/>
                <w:color w:val="auto"/>
              </w:rPr>
            </w:pPr>
            <w:r>
              <w:rPr>
                <w:rFonts w:ascii="Arial" w:cs="Arial" w:eastAsia="Arial" w:hAnsi="Arial"/>
                <w:sz w:val="14"/>
                <w:szCs w:val="14"/>
                <w:color w:val="auto"/>
              </w:rPr>
              <w:t>Impacts of fair value adjustments to acquired unearned</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89"/>
        </w:trPr>
        <w:tc>
          <w:tcPr>
            <w:tcW w:w="3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w:t>
            </w:r>
          </w:p>
        </w:tc>
      </w:tr>
      <w:tr>
        <w:trPr>
          <w:trHeight w:val="257"/>
        </w:trPr>
        <w:tc>
          <w:tcPr>
            <w:tcW w:w="3800" w:type="dxa"/>
            <w:vAlign w:val="bottom"/>
          </w:tcPr>
          <w:p>
            <w:pPr>
              <w:ind w:left="200"/>
              <w:spacing w:after="0"/>
              <w:rPr>
                <w:sz w:val="20"/>
                <w:szCs w:val="20"/>
                <w:color w:val="auto"/>
              </w:rPr>
            </w:pPr>
            <w:r>
              <w:rPr>
                <w:rFonts w:ascii="Arial" w:cs="Arial" w:eastAsia="Arial" w:hAnsi="Arial"/>
                <w:sz w:val="14"/>
                <w:szCs w:val="14"/>
                <w:color w:val="auto"/>
              </w:rPr>
              <w:t>Amortization of acquired technology</w:t>
            </w: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5.6</w:t>
            </w:r>
          </w:p>
        </w:tc>
      </w:tr>
      <w:tr>
        <w:trPr>
          <w:trHeight w:val="267"/>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other acquired intangibles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4.6</w:t>
            </w:r>
          </w:p>
        </w:tc>
      </w:tr>
      <w:tr>
        <w:trPr>
          <w:trHeight w:val="257"/>
        </w:trPr>
        <w:tc>
          <w:tcPr>
            <w:tcW w:w="3800" w:type="dxa"/>
            <w:vAlign w:val="bottom"/>
          </w:tcPr>
          <w:p>
            <w:pPr>
              <w:ind w:left="200"/>
              <w:spacing w:after="0"/>
              <w:rPr>
                <w:sz w:val="20"/>
                <w:szCs w:val="20"/>
                <w:color w:val="auto"/>
              </w:rPr>
            </w:pPr>
            <w:r>
              <w:rPr>
                <w:rFonts w:ascii="Arial" w:cs="Arial" w:eastAsia="Arial" w:hAnsi="Arial"/>
                <w:sz w:val="14"/>
                <w:szCs w:val="14"/>
                <w:color w:val="auto"/>
              </w:rPr>
              <w:t>Equity-based compensation</w:t>
            </w: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11.3</w:t>
            </w:r>
          </w:p>
        </w:tc>
      </w:tr>
      <w:tr>
        <w:trPr>
          <w:trHeight w:val="267"/>
        </w:trPr>
        <w:tc>
          <w:tcPr>
            <w:tcW w:w="38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w:t>
            </w:r>
          </w:p>
        </w:tc>
      </w:tr>
      <w:tr>
        <w:trPr>
          <w:trHeight w:val="257"/>
        </w:trPr>
        <w:tc>
          <w:tcPr>
            <w:tcW w:w="38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Integration costs and acquisition-related compensation</w:t>
            </w:r>
            <w:r>
              <w:rPr>
                <w:rFonts w:ascii="Arial" w:cs="Arial" w:eastAsia="Arial" w:hAnsi="Arial"/>
                <w:sz w:val="8"/>
                <w:szCs w:val="8"/>
                <w:color w:val="auto"/>
              </w:rPr>
              <w:t>(d)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3.0</w:t>
            </w:r>
          </w:p>
        </w:tc>
      </w:tr>
      <w:tr>
        <w:trPr>
          <w:trHeight w:val="23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Adjusted Operating Income</w:t>
            </w: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49.1</w:t>
            </w: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3800" w:type="dxa"/>
            <w:vAlign w:val="bottom"/>
          </w:tcPr>
          <w:p>
            <w:pPr>
              <w:ind w:left="200"/>
              <w:spacing w:after="0"/>
              <w:rPr>
                <w:sz w:val="20"/>
                <w:szCs w:val="20"/>
                <w:color w:val="auto"/>
              </w:rPr>
            </w:pPr>
            <w:r>
              <w:rPr>
                <w:rFonts w:ascii="Arial" w:cs="Arial" w:eastAsia="Arial" w:hAnsi="Arial"/>
                <w:sz w:val="14"/>
                <w:szCs w:val="14"/>
                <w:i w:val="1"/>
                <w:iCs w:val="1"/>
                <w:color w:val="auto"/>
              </w:rPr>
              <w:t>Adjusted Operating Income Margin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47%</w:t>
            </w:r>
          </w:p>
        </w:tc>
      </w:tr>
      <w:tr>
        <w:trPr>
          <w:trHeight w:val="169"/>
        </w:trPr>
        <w:tc>
          <w:tcPr>
            <w:tcW w:w="3800" w:type="dxa"/>
            <w:vAlign w:val="bottom"/>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ind w:left="626" w:hanging="312"/>
        <w:spacing w:after="0" w:line="234" w:lineRule="auto"/>
        <w:tabs>
          <w:tab w:leader="none" w:pos="626"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626" w:hanging="312"/>
        <w:spacing w:after="0" w:line="234" w:lineRule="auto"/>
        <w:tabs>
          <w:tab w:leader="none" w:pos="62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626" w:hanging="312"/>
        <w:spacing w:after="0" w:line="252" w:lineRule="auto"/>
        <w:tabs>
          <w:tab w:leader="none" w:pos="626"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spacing w:after="0" w:line="1" w:lineRule="exact"/>
        <w:rPr>
          <w:rFonts w:ascii="Arial" w:cs="Arial" w:eastAsia="Arial" w:hAnsi="Arial"/>
          <w:sz w:val="13"/>
          <w:szCs w:val="13"/>
          <w:color w:val="auto"/>
        </w:rPr>
      </w:pPr>
    </w:p>
    <w:p>
      <w:pPr>
        <w:jc w:val="both"/>
        <w:ind w:left="626" w:hanging="312"/>
        <w:spacing w:after="0" w:line="255" w:lineRule="auto"/>
        <w:tabs>
          <w:tab w:leader="none" w:pos="626"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88" w:lineRule="exact"/>
        <w:rPr>
          <w:sz w:val="20"/>
          <w:szCs w:val="20"/>
          <w:color w:val="auto"/>
        </w:rPr>
      </w:pPr>
    </w:p>
    <w:tbl>
      <w:tblPr>
        <w:tblLayout w:type="fixed"/>
        <w:tblInd w:w="626"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7"/>
        </w:trPr>
        <w:tc>
          <w:tcPr>
            <w:tcW w:w="3240" w:type="dxa"/>
            <w:vAlign w:val="bottom"/>
            <w:shd w:val="clear" w:color="auto" w:fill="CCEEFF"/>
          </w:tcPr>
          <w:p>
            <w:pPr>
              <w:ind w:left="160"/>
              <w:spacing w:after="0" w:line="137" w:lineRule="exact"/>
              <w:rPr>
                <w:sz w:val="20"/>
                <w:szCs w:val="20"/>
                <w:color w:val="auto"/>
              </w:rPr>
            </w:pPr>
            <w:r>
              <w:rPr>
                <w:rFonts w:ascii="Arial" w:cs="Arial" w:eastAsia="Arial" w:hAnsi="Arial"/>
                <w:sz w:val="14"/>
                <w:szCs w:val="14"/>
                <w:color w:val="auto"/>
              </w:rPr>
              <w:t>Total integration costs and acquisition-related</w:t>
            </w:r>
          </w:p>
        </w:tc>
        <w:tc>
          <w:tcPr>
            <w:tcW w:w="30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3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compensation</w:t>
            </w: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306" w:hanging="306"/>
        <w:spacing w:after="0"/>
        <w:tabs>
          <w:tab w:leader="none" w:pos="306" w:val="left"/>
        </w:tabs>
        <w:numPr>
          <w:ilvl w:val="0"/>
          <w:numId w:val="34"/>
        </w:numPr>
        <w:rPr>
          <w:rFonts w:ascii="Arial" w:cs="Arial" w:eastAsia="Arial" w:hAnsi="Arial"/>
          <w:sz w:val="14"/>
          <w:szCs w:val="14"/>
          <w:color w:val="auto"/>
        </w:rPr>
      </w:pPr>
      <w:r>
        <w:rPr>
          <w:rFonts w:ascii="Arial" w:cs="Arial" w:eastAsia="Arial" w:hAnsi="Arial"/>
          <w:sz w:val="14"/>
          <w:szCs w:val="14"/>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of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246"/>
          </w:cols>
          <w:pgMar w:left="814" w:top="658" w:right="839" w:bottom="1440" w:gutter="0" w:footer="0" w:header="0"/>
        </w:sectPr>
      </w:pPr>
    </w:p>
    <w:bookmarkStart w:id="36" w:name="page37"/>
    <w:bookmarkEnd w:id="36"/>
    <w:p>
      <w:pPr>
        <w:jc w:val="both"/>
        <w:spacing w:after="0" w:line="35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5078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0575" cy="5078095"/>
                    </a:xfrm>
                    <a:prstGeom prst="rect">
                      <a:avLst/>
                    </a:prstGeom>
                    <a:noFill/>
                  </pic:spPr>
                </pic:pic>
              </a:graphicData>
            </a:graphic>
          </wp:anchor>
        </w:drawing>
        <w:t>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loss to Adjusted EBITDA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57"/>
        </w:trPr>
        <w:tc>
          <w:tcPr>
            <w:tcW w:w="3900" w:type="dxa"/>
            <w:vAlign w:val="bottom"/>
          </w:tcPr>
          <w:p>
            <w:pPr>
              <w:ind w:left="34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67"/>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debt extinguishment</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7"/>
        </w:trPr>
        <w:tc>
          <w:tcPr>
            <w:tcW w:w="3900" w:type="dxa"/>
            <w:vAlign w:val="bottom"/>
          </w:tcPr>
          <w:p>
            <w:pPr>
              <w:ind w:left="340"/>
              <w:spacing w:after="0"/>
              <w:rPr>
                <w:sz w:val="20"/>
                <w:szCs w:val="20"/>
                <w:color w:val="auto"/>
              </w:rPr>
            </w:pPr>
            <w:r>
              <w:rPr>
                <w:rFonts w:ascii="Arial" w:cs="Arial" w:eastAsia="Arial" w:hAnsi="Arial"/>
                <w:sz w:val="14"/>
                <w:szCs w:val="14"/>
                <w:color w:val="auto"/>
              </w:rPr>
              <w:t>Provision for taxes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67"/>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7"/>
        </w:trPr>
        <w:tc>
          <w:tcPr>
            <w:tcW w:w="3900" w:type="dxa"/>
            <w:vAlign w:val="bottom"/>
          </w:tcPr>
          <w:p>
            <w:pPr>
              <w:ind w:left="320"/>
              <w:spacing w:after="0"/>
              <w:rPr>
                <w:sz w:val="20"/>
                <w:szCs w:val="20"/>
                <w:color w:val="auto"/>
              </w:rPr>
            </w:pPr>
            <w:r>
              <w:rPr>
                <w:rFonts w:ascii="Arial" w:cs="Arial" w:eastAsia="Arial" w:hAnsi="Arial"/>
                <w:sz w:val="14"/>
                <w:szCs w:val="14"/>
                <w:color w:val="auto"/>
              </w:rPr>
              <w:t>Amortization of acquired technology</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7"/>
        </w:trPr>
        <w:tc>
          <w:tcPr>
            <w:tcW w:w="39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Amortization of other acquired intangibles</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7"/>
        </w:trPr>
        <w:tc>
          <w:tcPr>
            <w:tcW w:w="3900" w:type="dxa"/>
            <w:vAlign w:val="bottom"/>
          </w:tcPr>
          <w:p>
            <w:pPr>
              <w:ind w:left="40"/>
              <w:spacing w:after="0"/>
              <w:rPr>
                <w:sz w:val="20"/>
                <w:szCs w:val="20"/>
                <w:color w:val="auto"/>
              </w:rPr>
            </w:pPr>
            <w:r>
              <w:rPr>
                <w:rFonts w:ascii="Arial" w:cs="Arial" w:eastAsia="Arial" w:hAnsi="Arial"/>
                <w:sz w:val="14"/>
                <w:szCs w:val="14"/>
                <w:color w:val="auto"/>
              </w:rPr>
              <w:t>EBITDA</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67"/>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(income) expense, net</w:t>
            </w:r>
            <w:r>
              <w:rPr>
                <w:rFonts w:ascii="Arial" w:cs="Arial" w:eastAsia="Arial" w:hAnsi="Arial"/>
                <w:sz w:val="8"/>
                <w:szCs w:val="8"/>
                <w:color w:val="auto"/>
              </w:rPr>
              <w:t>(a)</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52"/>
        </w:trPr>
        <w:tc>
          <w:tcPr>
            <w:tcW w:w="3900" w:type="dxa"/>
            <w:vAlign w:val="bottom"/>
          </w:tcPr>
          <w:p>
            <w:pPr>
              <w:ind w:left="340"/>
              <w:spacing w:after="0" w:line="152" w:lineRule="exact"/>
              <w:rPr>
                <w:sz w:val="20"/>
                <w:szCs w:val="20"/>
                <w:color w:val="auto"/>
              </w:rPr>
            </w:pPr>
            <w:r>
              <w:rPr>
                <w:rFonts w:ascii="Arial" w:cs="Arial" w:eastAsia="Arial" w:hAnsi="Arial"/>
                <w:sz w:val="14"/>
                <w:szCs w:val="14"/>
                <w:color w:val="auto"/>
              </w:rPr>
              <w:t>Impact of fair value adjustments to acquired unearned</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900" w:type="dxa"/>
            <w:vAlign w:val="bottom"/>
          </w:tcPr>
          <w:p>
            <w:pPr>
              <w:ind w:left="500"/>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(b)</w:t>
            </w:r>
          </w:p>
        </w:tc>
        <w:tc>
          <w:tcPr>
            <w:tcW w:w="32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7"/>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Equity-based compensation</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57"/>
        </w:trPr>
        <w:tc>
          <w:tcPr>
            <w:tcW w:w="3900" w:type="dxa"/>
            <w:vAlign w:val="bottom"/>
          </w:tcPr>
          <w:p>
            <w:pPr>
              <w:ind w:left="340"/>
              <w:spacing w:after="0"/>
              <w:rPr>
                <w:sz w:val="20"/>
                <w:szCs w:val="20"/>
                <w:color w:val="auto"/>
              </w:rPr>
            </w:pPr>
            <w:r>
              <w:rPr>
                <w:rFonts w:ascii="Arial" w:cs="Arial" w:eastAsia="Arial" w:hAnsi="Arial"/>
                <w:sz w:val="14"/>
                <w:szCs w:val="14"/>
                <w:color w:val="auto"/>
              </w:rPr>
              <w:t>Restructuring and transaction-related expenses</w:t>
            </w:r>
            <w:r>
              <w:rPr>
                <w:rFonts w:ascii="Arial" w:cs="Arial" w:eastAsia="Arial" w:hAnsi="Arial"/>
                <w:sz w:val="8"/>
                <w:szCs w:val="8"/>
                <w:color w:val="auto"/>
              </w:rPr>
              <w:t>(c)</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2"/>
        </w:trPr>
        <w:tc>
          <w:tcPr>
            <w:tcW w:w="3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Integration costs and acquisition-related compensation</w:t>
            </w:r>
            <w:r>
              <w:rPr>
                <w:rFonts w:ascii="Arial" w:cs="Arial" w:eastAsia="Arial" w:hAnsi="Arial"/>
                <w:sz w:val="8"/>
                <w:szCs w:val="8"/>
                <w:color w:val="auto"/>
              </w:rPr>
              <w:t>(d)</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173.2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9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2"/>
        <w:spacing w:after="0" w:line="234"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320" w:right="20" w:hanging="312"/>
        <w:spacing w:after="0" w:line="234" w:lineRule="auto"/>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right="20" w:hanging="312"/>
        <w:spacing w:after="0" w:line="257" w:lineRule="auto"/>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9960"/>
          </w:cols>
          <w:pgMar w:left="1120" w:top="684" w:right="819" w:bottom="1440" w:gutter="0" w:footer="0" w:header="0"/>
        </w:sectPr>
      </w:pPr>
    </w:p>
    <w:bookmarkStart w:id="37" w:name="page38"/>
    <w:bookmarkEnd w:id="37"/>
    <w:p>
      <w:pPr>
        <w:jc w:val="both"/>
        <w:ind w:left="320" w:hanging="312"/>
        <w:spacing w:after="0" w:line="256" w:lineRule="auto"/>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203835</wp:posOffset>
            </wp:positionH>
            <wp:positionV relativeFrom="page">
              <wp:posOffset>219710</wp:posOffset>
            </wp:positionV>
            <wp:extent cx="7140575" cy="2849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2849245"/>
                    </a:xfrm>
                    <a:prstGeom prst="rect">
                      <a:avLst/>
                    </a:prstGeom>
                    <a:noFill/>
                  </pic:spPr>
                </pic:pic>
              </a:graphicData>
            </a:graphic>
          </wp:anchor>
        </w:drawing>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6"/>
                <w:szCs w:val="16"/>
                <w:color w:val="auto"/>
              </w:rPr>
            </w:pPr>
          </w:p>
        </w:tc>
        <w:tc>
          <w:tcPr>
            <w:tcW w:w="250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5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7"/>
        </w:trPr>
        <w:tc>
          <w:tcPr>
            <w:tcW w:w="3240" w:type="dxa"/>
            <w:vAlign w:val="bottom"/>
            <w:shd w:val="clear" w:color="auto" w:fill="CCEEFF"/>
          </w:tcPr>
          <w:p>
            <w:pPr>
              <w:ind w:left="160"/>
              <w:spacing w:after="0" w:line="137" w:lineRule="exact"/>
              <w:rPr>
                <w:sz w:val="20"/>
                <w:szCs w:val="20"/>
                <w:color w:val="auto"/>
              </w:rPr>
            </w:pPr>
            <w:r>
              <w:rPr>
                <w:rFonts w:ascii="Arial" w:cs="Arial" w:eastAsia="Arial" w:hAnsi="Arial"/>
                <w:sz w:val="14"/>
                <w:szCs w:val="14"/>
                <w:color w:val="auto"/>
              </w:rPr>
              <w:t>Total integration costs and acquisition-related</w:t>
            </w:r>
          </w:p>
        </w:tc>
        <w:tc>
          <w:tcPr>
            <w:tcW w:w="30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3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compensation</w:t>
            </w: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vMerge w:val="continue"/>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9940"/>
          </w:cols>
          <w:pgMar w:left="1120" w:top="658" w:right="8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RISK FACTORS</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i w:val="1"/>
          <w:iCs w:val="1"/>
          <w:color w:val="auto"/>
        </w:rPr>
        <w:t>An investment in shares of our Class A common stock involves risks. You should carefully consider the following information about these risks, together with the other information contained in this prospectus, before investing in shares of our Class A common stock. Any of the following risks could have an adverse effect on our business, results of operations, financial condition or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0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The COVID-19 pandemic has disrupted the economy and put unprecedented strains on governments, health care systems, educational institutions, businesses, and individuals around the world. The impact and duration of the COVID-19 pandemic are difficult to assess or predict. It is even more difficult to predict the impact on the global economic market, which will depend upon the actions taken by governments, businesses, and other enterprises in response to the pandemic.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13"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which could materially and adversely impact our business. Further, as a result of the COVID-19 pandemic, we expect we will experience slowed growth or decline in new customer demand for our platform and lower demand from our existing customers for upgrades within our platform, as well as existing and potential customers reducing or delaying purchasing decisions. We have experienced, and expect to continue to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122"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5"/>
          <w:szCs w:val="15"/>
          <w:color w:val="auto"/>
        </w:rPr>
        <w:t>In response to the COVID-19 pandemic, we have temporarily closed all of our offices (including our headquarters and our office in Israel), enabled our employees to work remotely, implemented travel restrictions for all non-essential business, and shifted company events to virtual-only experiences, and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0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COVID-19 pandemic could cause our third-party data center hosting facilities and cloud computing platform providers, which are critical to our infrastructure, to shut down their business, experience security incidents that impact our business, delay or disrupt performance or delivery of services, or experience interference with the supply chain of hardware required by their systems and services, any of which could materially adversely affect our business. Further, the COVID-19 pandemic has resulted in our employees and those of many of our customers and vendors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331" w:right="339" w:bottom="1440" w:gutter="0" w:footer="0" w:header="0"/>
        </w:sectPr>
      </w:pPr>
    </w:p>
    <w:bookmarkStart w:id="39" w:name="page40"/>
    <w:bookmarkEnd w:id="39"/>
    <w:p>
      <w:pPr>
        <w:jc w:val="both"/>
        <w:spacing w:after="0" w:line="265" w:lineRule="auto"/>
        <w:rPr>
          <w:sz w:val="20"/>
          <w:szCs w:val="20"/>
          <w:color w:val="auto"/>
        </w:rPr>
      </w:pPr>
      <w:r>
        <w:rPr>
          <w:rFonts w:ascii="Arial" w:cs="Arial" w:eastAsia="Arial" w:hAnsi="Arial"/>
          <w:sz w:val="17"/>
          <w:szCs w:val="17"/>
          <w:color w:val="auto"/>
        </w:rPr>
        <w:t>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and to leverage fears promulgated by the COVID-19 pandemic.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13"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pandemic; the impact on our customers and our sales cycles; the impact on customer, industry, or employee events;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06"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113"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addition, many of our potential competitors could have competitive advantages, such as greater name recognition, longer operating histories, significant install bases, broader geographic scope,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or alliances among competitors may emerge and rapidly acquire significant market share due to these or other factors.</w:t>
      </w:r>
    </w:p>
    <w:p>
      <w:pPr>
        <w:spacing w:after="0" w:line="1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Mergers and acquisitions in the technology industry, such as Microsoft’s acquisition of LinkedIn, increase the likelihood that our competitors in the future will be larger and have more resources. We expect this trend to continue as companies attempt to strengthen or maintain their market positions in an evolving industry. Companies resulting from these possible consolidations may create more compelling product offerings and be able to offer more attractive pricing options, making it more difficult for us to compete effectively.</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Our competitors may be able to respond more quickly and effectively to new or changing opportunities, technologies, standards, or customer requirements, or pricing pressure. As a result, even if our products and services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337" w:right="339" w:bottom="1440" w:gutter="0" w:footer="0" w:header="0"/>
        </w:sectPr>
      </w:pPr>
    </w:p>
    <w:bookmarkStart w:id="40" w:name="page41"/>
    <w:bookmarkEnd w:id="40"/>
    <w:p>
      <w:pPr>
        <w:jc w:val="both"/>
        <w:spacing w:after="0" w:line="289" w:lineRule="auto"/>
        <w:rPr>
          <w:sz w:val="20"/>
          <w:szCs w:val="20"/>
          <w:color w:val="auto"/>
        </w:rPr>
      </w:pPr>
      <w:r>
        <w:rPr>
          <w:rFonts w:ascii="Arial" w:cs="Arial" w:eastAsia="Arial" w:hAnsi="Arial"/>
          <w:sz w:val="17"/>
          <w:szCs w:val="17"/>
          <w:color w:val="auto"/>
        </w:rPr>
        <w:t>are more effective than the products and services that our competitors offer, potential customers might select competitive products and services in lieu of our services.</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19"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the European Union’s General Data Protection Regulation (“GDPR”), which took effect in May 2018, and the California Consumer Privacy Act (“CCPA”), which took effect in January 2020. Other data privacy or data protection laws or regulations are under consideration in other jurisdictions.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impose obligations on our ability to pass data to our customers, as well as place downstream obligations on our customers relating to their use of the information we provide.</w:t>
      </w:r>
    </w:p>
    <w:p>
      <w:pPr>
        <w:spacing w:after="0" w:line="13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Certain of our activities could be found by a government or regulatory authority to be noncompliant or become noncompliant in the future with one or more data protection or data privacy laws, even if we have implemented and maintained a strategy that we believe to be compliant. New interpretations of existing laws or regulations could be inconsistent with our interpretations (such as our analysis of the extraterritorial applicability of GDPR to us),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other recently enacted and upcoming state laws) related to selling of personal data, and, among others, introducing opt-out rights and data broker registration obligations.</w:t>
      </w:r>
    </w:p>
    <w:p>
      <w:pPr>
        <w:spacing w:after="0" w:line="113"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These complex laws may be implemented in a non-uniform way in many jurisdictions around the world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new or proposed laws and regulations are subject to differing interpretations and may be inconsistent among jurisdictions.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w:t>
      </w:r>
    </w:p>
    <w:p>
      <w:pPr>
        <w:spacing w:after="0" w:line="11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costs of complying with existing or new data privacy or data protection laws and regulations may limit our ability to gather personal data needed to provide our products and services, the use and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and 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337" w:right="339" w:bottom="1440" w:gutter="0" w:footer="0" w:header="0"/>
        </w:sectPr>
      </w:pPr>
    </w:p>
    <w:bookmarkStart w:id="41" w:name="page42"/>
    <w:bookmarkEnd w:id="41"/>
    <w:p>
      <w:pPr>
        <w:jc w:val="both"/>
        <w:spacing w:after="0" w:line="267" w:lineRule="auto"/>
        <w:rPr>
          <w:sz w:val="20"/>
          <w:szCs w:val="20"/>
          <w:color w:val="auto"/>
        </w:rPr>
      </w:pPr>
      <w:r>
        <w:rPr>
          <w:rFonts w:ascii="Arial" w:cs="Arial" w:eastAsia="Arial" w:hAnsi="Arial"/>
          <w:sz w:val="17"/>
          <w:szCs w:val="17"/>
          <w:color w:val="auto"/>
        </w:rPr>
        <w:t>of worldwide gross annual revenue and CCPA allows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CCPA,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1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Since the enactment of CCPA, new privacy and data security laws have been proposed in more than half of the states in the United States and in the U.S. Congress, reflecting a trend toward more stringent privacy legislation in the United States, which trend may accelerate depending on the results of the 2020 U.S. presidential election. We expect that there will continue to be new proposed laws, regulations, and industry standards concerning privacy, data protection, and information security in the United States and other jurisdictions, and we cannot determine the impact such future laws, regulations, and standards may have on our business. We could be subject to legal claims, government action, or harm to our reputation or incur significant remediation costs if we experience a security breach or our practices fail, or are seen as failing, to comply with our policies or with applicable laws concerning personally identifiable information.</w:t>
      </w:r>
    </w:p>
    <w:p>
      <w:pPr>
        <w:spacing w:after="0" w:line="1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26"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We also receive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We are ultimately unable to verify with complete certainty the source of such data, how it was received, and that such information was collected and is being shared with us in compliance with all applicable data privacy laws.</w:t>
      </w:r>
    </w:p>
    <w:p>
      <w:pPr>
        <w:spacing w:after="0" w:line="83"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60"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COVID-19, and many may choose or switch to competing products even if do our best to innovate and provide superior products and services.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current competitors include:</w:t>
      </w:r>
    </w:p>
    <w:p>
      <w:pPr>
        <w:spacing w:after="0" w:line="171" w:lineRule="exact"/>
        <w:rPr>
          <w:sz w:val="20"/>
          <w:szCs w:val="20"/>
          <w:color w:val="auto"/>
        </w:rPr>
      </w:pPr>
    </w:p>
    <w:p>
      <w:pPr>
        <w:jc w:val="both"/>
        <w:ind w:left="640" w:hanging="321"/>
        <w:spacing w:after="0" w:line="273"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free online and offline sources of information on companies and business professionals, including government records, telephone books, company websites, and open online databases of business professionals, such as LinkedIn Sales Navigator, D&amp;B Sales &amp; Marketing Solutions, TechTarget, and Infogroup;</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337" w:right="339" w:bottom="1440" w:gutter="0" w:footer="0" w:header="0"/>
        </w:sectPr>
      </w:pPr>
    </w:p>
    <w:bookmarkStart w:id="42" w:name="page43"/>
    <w:bookmarkEnd w:id="42"/>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current and potential customers’ internal and homegrown business contact databases;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predictive analytics and customer data platform technologies;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when used in conjunction with the foregoing or when additionally providing third-party sales and marketing data, sales and marketing vendors, which may specialize in appointment setting, online ad targeting, email marketing, or other outsource go-to-market functions;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vendors of sales automation software;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providers of third-party company attributes, technology attributes, and business contact information;</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providers of online content consumption data for predictive sales and marketing analytics;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user-based networks of companies and/or business professionals.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1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These risks could be exacerbated by weak economic conditions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Adverse or weakened general economic and market conditions may reduce spending on sales and marketing technology and information, which could harm our revenue, results of operations, and cash flows.</w:t>
      </w:r>
    </w:p>
    <w:p>
      <w:pPr>
        <w:spacing w:after="0" w:line="10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can increase levels of political and economic unpredictability globally and increase the volatility of global financial markets. Further actions or inactions of the U.S. or other major national governments, including the United Kingdom’s 2016 vote in favor of exiting the European Union (“Brexit”), may also impact economic conditions, which could result in financial market disruptions or an economic downturn.</w:t>
      </w:r>
    </w:p>
    <w:p>
      <w:pPr>
        <w:spacing w:after="0" w:line="118"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Concerns about the systemic impact of a recession (in the United States or globally), energy costs, geopolitical issues, or the availability and cost of credit could lead to increased market volatility, decreased consumer confidence, and diminished growth expectations in the U.S. economy and abroad, which in turn could affect the rate of information technology (“IT”) spending and could adversely affect our customers’ ability or willingness to purchase our services,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337" w:right="339" w:bottom="1440" w:gutter="0" w:footer="0" w:header="0"/>
        </w:sectPr>
      </w:pPr>
    </w:p>
    <w:bookmarkStart w:id="43" w:name="page44"/>
    <w:bookmarkEnd w:id="43"/>
    <w:p>
      <w:pPr>
        <w:jc w:val="both"/>
        <w:spacing w:after="0" w:line="281" w:lineRule="auto"/>
        <w:rPr>
          <w:sz w:val="20"/>
          <w:szCs w:val="20"/>
          <w:color w:val="auto"/>
        </w:rPr>
      </w:pPr>
      <w:r>
        <w:rPr>
          <w:rFonts w:ascii="Arial" w:cs="Arial" w:eastAsia="Arial" w:hAnsi="Arial"/>
          <w:sz w:val="16"/>
          <w:szCs w:val="16"/>
          <w:color w:val="auto"/>
        </w:rPr>
        <w:t>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the general economic climate, the economic outlook specific to small businesses, the then-current level of profitability experienced by small businesses and overall consumer confidence.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1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During weak economic times, there is an increased risk that one or more of our paying customers will file for bankruptcy protection, which may harm our revenue, profitability, and results of operations. We also face risk from international paying customers that file for bankruptcy protection in foreign jurisdictions, particularly given that the application of foreign bankruptcy laws may be more difficult to predict. In addition, we may determine that the cost of pursuing any creditor claim outweighs the recovery potential of such claim. As a result, weak economic times could harm our business, revenue, results of operations, cash flows, and financial condition.</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product offerings are also concentrated by varying degrees across different industries, particularly the software and business services industries in the United States. In 2018, approximately 41% and 30% of our customers, as measured by ACV, operated in the software and business services industries, respectively. In 2019, approximately 39% and 29% of our customers, as measured by ACV, operated in the software and business services industries, respectively. Our customer base suffers when financial markets experience volatility, illiquidity, and disruption, which has occurred in the past and may reoccur, and the potential for increased and continuing disruptions going forward present considerable risks to our business and revenue.</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derive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19" w:lineRule="exact"/>
        <w:rPr>
          <w:sz w:val="20"/>
          <w:szCs w:val="20"/>
          <w:color w:val="auto"/>
        </w:rPr>
      </w:pPr>
    </w:p>
    <w:p>
      <w:pPr>
        <w:ind w:left="640" w:hanging="321"/>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awareness and acceptance of the sales and marketing platform category generally, and the growth, contraction and evolution of the category;</w:t>
      </w:r>
    </w:p>
    <w:p>
      <w:pPr>
        <w:spacing w:after="0" w:line="143" w:lineRule="exact"/>
        <w:rPr>
          <w:rFonts w:ascii="Arial" w:cs="Arial" w:eastAsia="Arial" w:hAnsi="Arial"/>
          <w:sz w:val="16"/>
          <w:szCs w:val="16"/>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ours;</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pricing;</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customer support;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337" w:right="339" w:bottom="1440" w:gutter="0" w:footer="0" w:header="0"/>
        </w:sectPr>
      </w:pPr>
    </w:p>
    <w:bookmarkStart w:id="44" w:name="page45"/>
    <w:bookmarkEnd w:id="44"/>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accessibility across several devices, operating system, and applications;</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integration with CRM and other related technologies; and</w:t>
      </w:r>
    </w:p>
    <w:p>
      <w:pPr>
        <w:spacing w:after="0" w:line="131" w:lineRule="exact"/>
        <w:rPr>
          <w:rFonts w:ascii="Arial" w:cs="Arial" w:eastAsia="Arial" w:hAnsi="Arial"/>
          <w:sz w:val="17"/>
          <w:szCs w:val="17"/>
          <w:color w:val="auto"/>
        </w:rPr>
      </w:pPr>
    </w:p>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potential for the development of new systems and protocols for B2B communication.</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19"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83"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w:t>
      </w:r>
    </w:p>
    <w:p>
      <w:pPr>
        <w:spacing w:after="0" w:line="129" w:lineRule="exact"/>
        <w:rPr>
          <w:sz w:val="20"/>
          <w:szCs w:val="20"/>
          <w:color w:val="auto"/>
        </w:rPr>
      </w:pPr>
    </w:p>
    <w:p>
      <w:pPr>
        <w:ind w:left="640" w:hanging="32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internally develop and implement new and competitive technologies;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use leading third-party technologies effectively;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respond to advances in data collection, cataloging, and updating.</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products and services.</w:t>
      </w:r>
    </w:p>
    <w:p>
      <w:pPr>
        <w:spacing w:after="0" w:line="194"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upon the interoperability of our platform with third-party systems that we do not control.</w:t>
      </w:r>
    </w:p>
    <w:p>
      <w:pPr>
        <w:spacing w:after="0" w:line="171"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For instance, approximately 36% of our customers use our Salesforce.com integration. Some of our competitors own, develop, operate, or distribute CRM and similar systems or have material business relationships with companies that own, develop, operate, or distribute CRM and similar systems that our platform integrates into. Moreover,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337" w:right="339" w:bottom="1440" w:gutter="0" w:footer="0" w:header="0"/>
        </w:sectPr>
      </w:pPr>
    </w:p>
    <w:bookmarkStart w:id="45" w:name="page46"/>
    <w:bookmarkEnd w:id="45"/>
    <w:p>
      <w:pPr>
        <w:jc w:val="both"/>
        <w:spacing w:after="0" w:line="267" w:lineRule="auto"/>
        <w:rPr>
          <w:sz w:val="20"/>
          <w:szCs w:val="20"/>
          <w:color w:val="auto"/>
        </w:rPr>
      </w:pPr>
      <w:r>
        <w:rPr>
          <w:rFonts w:ascii="Arial" w:cs="Arial" w:eastAsia="Arial" w:hAnsi="Arial"/>
          <w:sz w:val="17"/>
          <w:szCs w:val="17"/>
          <w:color w:val="auto"/>
        </w:rPr>
        <w:t>some of these competitors have inherent advantages developing products and services that more tightly integrate with their CRM and similar systems or those of their business partners. In addition, companies that already operate CRM and similar systems may choose to become competitive with ZoomInfo. See also “— Larger and more well-funded companies with access to significant resources, large amounts of data or data collection methods and sophisticated technologies may shift their business model to become competitive with us.”</w:t>
      </w:r>
    </w:p>
    <w:p>
      <w:pPr>
        <w:spacing w:after="0" w:line="126"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 In addition, some of our competitors may be able to disrupt the operations or compatibility of our platform with their systems, or exert strong business influence on our ability to, and terms on which we, integrate our platform. As our respective platforms and systems evolve, we expect this level of competition to increase. Should any of our competitors modify their systems in a manner that degrades the functionality of our platform or gives preferential treatment to competitive platforms or products, whether to enhance their competitive position or for any other reason, the interoperability of our platform with these systems could decrease and our business, results of operations, and financial condition could be harmed.</w:t>
      </w:r>
    </w:p>
    <w:p>
      <w:pPr>
        <w:spacing w:after="0" w:line="118" w:lineRule="exact"/>
        <w:rPr>
          <w:sz w:val="20"/>
          <w:szCs w:val="20"/>
          <w:color w:val="auto"/>
        </w:rPr>
      </w:pPr>
    </w:p>
    <w:p>
      <w:pPr>
        <w:jc w:val="both"/>
        <w:spacing w:after="0" w:line="325" w:lineRule="auto"/>
        <w:rPr>
          <w:sz w:val="20"/>
          <w:szCs w:val="20"/>
          <w:color w:val="auto"/>
        </w:rPr>
      </w:pPr>
      <w:r>
        <w:rPr>
          <w:rFonts w:ascii="Arial" w:cs="Arial" w:eastAsia="Arial" w:hAnsi="Arial"/>
          <w:sz w:val="15"/>
          <w:szCs w:val="15"/>
          <w:b w:val="1"/>
          <w:bCs w:val="1"/>
          <w:i w:val="1"/>
          <w:iCs w:val="1"/>
          <w:color w:val="auto"/>
        </w:rPr>
        <w:t>Our ability to introduce new features, integrations, capabilities, and enhancements is dependent on adequate research and development resources. If we do not adequately fund our research and development efforts, or if our research and development investments do not translate into material enhancements to our products and services, we may not be able to compete effectively, and our business, results of operations, and financial condition may be harmed.</w:t>
      </w:r>
    </w:p>
    <w:p>
      <w:pPr>
        <w:spacing w:after="0" w:line="85"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To remain competitive, we must continue to develop new features, integrations, and capabilities to our products and services. This is particularly true as we further expand and diversify our capabilities to address additional applications and markets. Maintaining adequate research and development resources, such as the appropriate personnel and development technology, to meet the demands of the market is essential. If we are unable to develop features, integrations, and capabilities internally due to certain constraints, such as employee turnover, lack of management ability, or a lack of other research and development resources, our business may be harmed.</w:t>
      </w:r>
    </w:p>
    <w:p>
      <w:pPr>
        <w:spacing w:after="0" w:line="12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features, integrations, capabilities, and enhancements and generate revenue, if any, from such investment. Anticipated demand for a feature, integration, capability, or enhancement we are developing could decrease after the development cycle has commenced, and we would nonetheless be unable to avoid substantial costs associated with the development of any such feature, integration, capability, or enhancement. Additionally, we may experience difficulties with software development, design, or marketing that could affect the length of these research and development cycles that could further delay or prevent our development, introduction, or implementation of features, integrations, capabilities, and enhancements. If we expend a significant amount of resources on research and development and our efforts do not lead to the successful introduction or improvement of features, integrations, and capabilities that are competitive, it could harm our business, results of operations, and financial condition.</w:t>
      </w:r>
    </w:p>
    <w:p>
      <w:pPr>
        <w:spacing w:after="0" w:line="118"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Further, our competitors may expend more on their respective research and development programs or may be acquired by larger companies that would allocate greater resources to our competitors’ research and development programs or our competitors may be more efficient in their research and development activities. Our failure to maintain adequate research and development resources or to compete effectively with the research and development programs of our competitors would give an advantage to such competitors and may harm our business, results of operations, and financial condition.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If we are unable to attract new customers and expand subscriptions of current customers, our revenue growth and profitability will be harmed.</w:t>
      </w:r>
    </w:p>
    <w:p>
      <w:pPr>
        <w:spacing w:after="0" w:line="183"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5"/>
          <w:szCs w:val="15"/>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111"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18"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Additionally, some of our customers may have multiple subscription plans simultaneously. For example, large enterprises with distributed procurement processes where different buyers, departments, or affiliates make their own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337" w:right="339" w:bottom="1440" w:gutter="0" w:footer="0" w:header="0"/>
        </w:sectPr>
      </w:pPr>
    </w:p>
    <w:bookmarkStart w:id="47" w:name="page48"/>
    <w:bookmarkEnd w:id="47"/>
    <w:p>
      <w:pPr>
        <w:jc w:val="both"/>
        <w:spacing w:after="0" w:line="265" w:lineRule="auto"/>
        <w:rPr>
          <w:sz w:val="20"/>
          <w:szCs w:val="20"/>
          <w:color w:val="auto"/>
        </w:rPr>
      </w:pPr>
      <w:r>
        <w:rPr>
          <w:rFonts w:ascii="Arial" w:cs="Arial" w:eastAsia="Arial" w:hAnsi="Arial"/>
          <w:sz w:val="17"/>
          <w:szCs w:val="17"/>
          <w:color w:val="auto"/>
        </w:rPr>
        <w:t>purchasing decisions based on distinct product features or separate budgets.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19"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CCPA and other legal and regulatory changes are making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6"/>
          <w:szCs w:val="16"/>
          <w:i w:val="1"/>
          <w:iCs w:val="1"/>
          <w:color w:val="auto"/>
        </w:rPr>
        <w:t>i.e.</w:t>
      </w:r>
      <w:r>
        <w:rPr>
          <w:rFonts w:ascii="Arial" w:cs="Arial" w:eastAsia="Arial" w:hAnsi="Arial"/>
          <w:sz w:val="16"/>
          <w:szCs w:val="16"/>
          <w:color w:val="auto"/>
        </w:rPr>
        <w:t>, from all platforms, including ours). Consequently, our ability to grow our business may be harmed and our results of operations and financial condition could suffer.</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26"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 In September 2019, we launched our new brand campaign to assume the ZoomInfo brand for our Company. While ZoomInfo was an existing brand, the selection of the ZoomInfo brand over DiscoverOrg may not be as successful as we intended, and we could lose the value of the DiscoverOrg brand without a corresponding benefit. At or about the time of the acquisition of Pre-Acquisition ZI by ZoomInfo OpCo, we believed that ZoomInfo had greater brand awareness and greater potential, but that it had a weaker reputation for data quality than DiscoverOrg. If we are not successful in improving the perception of the ZoomInfo brand in terms of the quality and accuracy of its data, our business, results of operations, and financial condition could suffer. Furthermore, in connection with the development and implementation of our rebranding campaign, we have spent additional time and costs, including those associated with advertising and marketing efforts. If we are unable to effectively implement our rebranding campaign, our business, results of operations, and financial condition could suffer.</w:t>
      </w:r>
    </w:p>
    <w:p>
      <w:pPr>
        <w:spacing w:after="0" w:line="13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addition, independent industry analysts often provide reviews of ZoomInfo, as well as the products offered by our competitors, and perception of the relative value of our ZoomInfo brand in the marketplace may be significantly influenced by these reviews. If these reviews are negative, or less positive as compared to those of our competitors’ products, our brand may be harmed.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71"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or technology.</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success is dependent, in part, upon protecting our proprietary information and technology. We may be unsuccessful in adequately protecting our intellectual property.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29"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0"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337" w:right="339" w:bottom="1440" w:gutter="0" w:footer="0" w:header="0"/>
        </w:sectPr>
      </w:pPr>
    </w:p>
    <w:bookmarkStart w:id="49" w:name="page50"/>
    <w:bookmarkEnd w:id="49"/>
    <w:p>
      <w:pPr>
        <w:jc w:val="both"/>
        <w:spacing w:after="0" w:line="289"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In addition, third parties could gain access to our data or our platform through our customers or through malfeasance or cyber-attacks and use our platform and data for purposes other than its intended purpose or to create products that compete with our platform.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3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the sharing of our platform and data outside of the terms of a customers’ license and the use of our data and insights for purposes other than for sales and marketing, or to otherwise address customer and individual concerns, which could erode confidence in our business.</w:t>
      </w:r>
    </w:p>
    <w:p>
      <w:pPr>
        <w:spacing w:after="0" w:line="113" w:lineRule="exact"/>
        <w:rPr>
          <w:sz w:val="20"/>
          <w:szCs w:val="20"/>
          <w:color w:val="auto"/>
        </w:rPr>
      </w:pPr>
    </w:p>
    <w:p>
      <w:pPr>
        <w:jc w:val="both"/>
        <w:spacing w:after="0" w:line="402" w:lineRule="auto"/>
        <w:rPr>
          <w:sz w:val="20"/>
          <w:szCs w:val="20"/>
          <w:color w:val="auto"/>
        </w:rPr>
      </w:pPr>
      <w:r>
        <w:rPr>
          <w:rFonts w:ascii="Arial" w:cs="Arial" w:eastAsia="Arial" w:hAnsi="Arial"/>
          <w:sz w:val="14"/>
          <w:szCs w:val="14"/>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3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For example, in February 2019, we completed our largest acquisition to date of Pre-Acquisition ZI, for $748.0 million, net of cash acquired, which we are continuing to integrate. We have incurred severance costs and expect to incur additional costs to integrate prior acquisitions, such as IT integration expenses and costs related to the renegotiation of redundant vendor agreements. Since January 1, 2018, we have acquired substantially all of the assets of two other businesses as well: NeverBounce and Komiko, Inc. We may have difficulty effectively integrating the personnel, businesses, and technologies of these acquisitions into our Company and achieving the goals of those acquisitions.</w:t>
      </w:r>
    </w:p>
    <w:p>
      <w:pPr>
        <w:spacing w:after="0" w:line="13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2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106" w:lineRule="exact"/>
        <w:rPr>
          <w:sz w:val="20"/>
          <w:szCs w:val="20"/>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services, and platforms;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337" w:right="339" w:bottom="1440" w:gutter="0" w:footer="0" w:header="0"/>
        </w:sectPr>
      </w:pPr>
    </w:p>
    <w:bookmarkStart w:id="50" w:name="page51"/>
    <w:bookmarkEnd w:id="50"/>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71"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0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platforms and customer acceptance of multiple platforms on a temporary or permanent basis;</w:t>
      </w:r>
    </w:p>
    <w:p>
      <w:pPr>
        <w:spacing w:after="0" w:line="105"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for acquired products to impact the profitability of existing products;</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other services;</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5"/>
          <w:szCs w:val="15"/>
          <w:color w:val="auto"/>
        </w:rPr>
      </w:pPr>
      <w:r>
        <w:rPr>
          <w:rFonts w:ascii="Arial" w:cs="Arial" w:eastAsia="Arial" w:hAnsi="Arial"/>
          <w:sz w:val="15"/>
          <w:szCs w:val="15"/>
          <w:color w:val="auto"/>
        </w:rPr>
        <w:t>potential unknown liabilities associated with the acquired businesses, including risks associated with acquired intellectual property and/or technologies;</w:t>
      </w:r>
    </w:p>
    <w:p>
      <w:pPr>
        <w:spacing w:after="0" w:line="194" w:lineRule="exact"/>
        <w:rPr>
          <w:rFonts w:ascii="Arial" w:cs="Arial" w:eastAsia="Arial" w:hAnsi="Arial"/>
          <w:sz w:val="15"/>
          <w:szCs w:val="15"/>
          <w:color w:val="auto"/>
        </w:rPr>
      </w:pPr>
    </w:p>
    <w:p>
      <w:pPr>
        <w:ind w:left="321" w:hanging="321"/>
        <w:spacing w:after="0" w:line="289"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decision-making conflicts that may arise in the context of a joint venture or other majority ownership investments;</w:t>
      </w:r>
    </w:p>
    <w:p>
      <w:pPr>
        <w:spacing w:after="0" w:line="10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negative impact to our results of operations because of the depreciation and amortization of amounts related to acquired intangible assets, fixed assets, and deferred compensation;</w:t>
      </w:r>
    </w:p>
    <w:p>
      <w:pPr>
        <w:spacing w:after="0" w:line="105"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71" w:lineRule="exact"/>
        <w:rPr>
          <w:rFonts w:ascii="Arial" w:cs="Arial" w:eastAsia="Arial" w:hAnsi="Arial"/>
          <w:sz w:val="17"/>
          <w:szCs w:val="17"/>
          <w:color w:val="auto"/>
        </w:rPr>
      </w:pPr>
    </w:p>
    <w:p>
      <w:pPr>
        <w:ind w:left="321" w:hanging="321"/>
        <w:spacing w:after="0"/>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71"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10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currency and regulatory risks associated with foreign countries and potential additional cybersecurity and compliance risks resulting from entry into new markets;</w:t>
      </w:r>
    </w:p>
    <w:p>
      <w:pPr>
        <w:spacing w:after="0" w:line="10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21"/>
          </w:cols>
          <w:pgMar w:left="639" w:top="337" w:right="339" w:bottom="1440" w:gutter="0" w:footer="0" w:header="0"/>
        </w:sectPr>
      </w:pPr>
    </w:p>
    <w:bookmarkStart w:id="51" w:name="page52"/>
    <w:bookmarkEnd w:id="51"/>
    <w:p>
      <w:pPr>
        <w:ind w:left="640" w:hanging="321"/>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Department of Justice, for anti-competitive or other reasons.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06"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We have experienced, and expect to continue to experience, rapid growth, which has placed, and may continue to place, significant demands on our management and our operational and financial resources. We have more than five offices across the United States and one office in Israel. We have also experienced significant growth in the number of customers using our products and services and in the amount of data in our databases. In addition, our organizational structure is becoming more complex as we scale our operational, financial, and management controls, as well as our reporting systems and procedures, and expand internationally. As we continue to grow, we face challenges of integrating, developing, training, and motivating a rapidly growing employee base in our various offices around the world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0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paying customer base continues to grow, we will need to expand our account management, customer service and other personnel, which will require more complex management and systems. If we are not able to continue to provide high levels of customer service, our reputation, as well as our business, results of operations, and financial condition, could be harmed.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effectively expand our sales capabilities could harm our ability to bring on new customers at the rate we anticipate.</w:t>
      </w:r>
    </w:p>
    <w:p>
      <w:pPr>
        <w:spacing w:after="0" w:line="17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71"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in particular our research support services.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18"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harm our business and operating results.</w:t>
      </w:r>
    </w:p>
    <w:p>
      <w:pPr>
        <w:spacing w:after="0" w:line="119"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As we target more of our sales efforts at larger enterprise customers and governmental or quasi-governmental entities, we may face longer sales cycles, greater competition, more complex customer due diligence, less favorable contractual terms, and less predictability in completing some of our sales.</w:t>
      </w:r>
    </w:p>
    <w:p>
      <w:pPr>
        <w:spacing w:after="0" w:line="8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Consequently, a target customer’s decision to use our services may be an enterprise-wide decision and, if so, these types of sales would require us to provide greater levels of education regarding the use and benefits of our products and services, as well as education regarding privacy and data protection laws and regulations to prospective customers. In addition, larger enterprise customers and governmental entities may demand more configuration, integration services, and features. As a result of these factors, these sales opportunities may require us to devote greater sales support and professional services resources to individual customers, driving up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offer the optimal pricing and packaging of our products and services.</w:t>
      </w:r>
    </w:p>
    <w:p>
      <w:pPr>
        <w:spacing w:after="0" w:line="171"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We have limited experience in determining the optimal pricing and packaging of our products and services, and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will not be indicative of our future growth.</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believe our revenue growth depends on a number of factors, including, but not limited to, our ability to:</w:t>
      </w:r>
    </w:p>
    <w:p>
      <w:pPr>
        <w:spacing w:after="0" w:line="119" w:lineRule="exact"/>
        <w:rPr>
          <w:sz w:val="20"/>
          <w:szCs w:val="20"/>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attract new customers;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provide excellent customer experience;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renew and grow current customer subscriptions;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convert users of and organizations on our free Community Edition into paying customers;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introduce and grow adoption of our products and services in new markets outside of the United States;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achieve widespread acceptance and use of our platform;</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adequately expand our sales force and otherwise scale our operations as a business;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expand the features and capabilities of our platform, including through the creation and use of additional integrations;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maintain the security and reliability of our platform;</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comply with existing and new applicable laws and regulations;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price and package our products and services effectively;</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successfully compete against established companies and new market entrants;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increase awareness of our brand on a global basis;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execute on our acquisition strategy.</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1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0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337" w:right="339" w:bottom="1440" w:gutter="0" w:footer="0" w:header="0"/>
        </w:sectPr>
      </w:pPr>
    </w:p>
    <w:bookmarkStart w:id="54" w:name="page55"/>
    <w:bookmarkEnd w:id="54"/>
    <w:p>
      <w:pPr>
        <w:jc w:val="both"/>
        <w:ind w:firstLine="314"/>
        <w:spacing w:after="0" w:line="267" w:lineRule="auto"/>
        <w:rPr>
          <w:sz w:val="20"/>
          <w:szCs w:val="20"/>
          <w:color w:val="auto"/>
        </w:rPr>
      </w:pPr>
      <w:r>
        <w:rPr>
          <w:rFonts w:ascii="Arial" w:cs="Arial" w:eastAsia="Arial" w:hAnsi="Arial"/>
          <w:sz w:val="17"/>
          <w:szCs w:val="17"/>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on the West Coast, where our headquarters is located, and in other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33"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0"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the estimates of our total addressable market included in this prospectus should not be taken as indicative of our ability to grow our business. For more information regarding the estimates of market opportunity and the forecasts of market growth included in this prospectus, see the sections titled “Summary—Our Market Opportunity” and “Business—Our Market Opportunity.”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89"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0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 In addition to the other risks described in this prospectus, factors that may affect our quarterly operating results include the following:</w:t>
      </w:r>
    </w:p>
    <w:p>
      <w:pPr>
        <w:spacing w:after="0" w:line="103" w:lineRule="exact"/>
        <w:rPr>
          <w:sz w:val="20"/>
          <w:szCs w:val="20"/>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attract and retain customers and grow subscriptions of existing customers;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price and package our products and services effectively;</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pricing pressure as a result of competition or otherwise;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unforeseen costs and expenses, including those related to the expansion of our business and operations;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customers’ budgets and in the timing of their budget cycles and purchasing decisions;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customers and the introduction of new products or product enhancements;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 and timing of payment for operating expenses, particularly research and development, sales, and marketing expenses and employee benefit expenses;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timing of revenue and expenses related to the development or acquisition of technologies, products, or businesses;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potential goodwill and intangible asset impairment charges and amortization associated with acquired businesses;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potential restructuring and transaction-related expenses;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 and timing of costs associated with recruiting, training, and integrating new employees while maintaining our company culture;</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ability to manage our existing business and future growth, including increases in the number of customers on our platform and the introduction and adoption of our platform in new markets outside of the United States;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 economic and political conditions in our domestic and international markets.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If we need additional capital and cannot raise it on acceptable terms, or at all, we may not be able to, among other things:</w:t>
      </w:r>
    </w:p>
    <w:p>
      <w:pPr>
        <w:spacing w:after="0" w:line="126" w:lineRule="exact"/>
        <w:rPr>
          <w:sz w:val="20"/>
          <w:szCs w:val="20"/>
          <w:color w:val="auto"/>
        </w:rPr>
      </w:pPr>
    </w:p>
    <w:p>
      <w:pPr>
        <w:ind w:left="640" w:hanging="321"/>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develop new features, integrations, capabilities, and enhancements;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337" w:right="339" w:bottom="1440" w:gutter="0" w:footer="0" w:header="0"/>
        </w:sectPr>
      </w:pPr>
    </w:p>
    <w:bookmarkStart w:id="56" w:name="page57"/>
    <w:bookmarkEnd w:id="56"/>
    <w:p>
      <w:pPr>
        <w:ind w:left="640" w:hanging="32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continue to expand our product development, sales, and marketing organizations;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more information, see “—Risks Related to Our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devote, and may continue to devote, substantial resources to our earlier platforms.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newest platform was developed by combining features from our earlier DiscoverOrg platform and the platform developed by (and acquired by us through the acquisition of) Pre-Acquisition ZI. Certain existing customers continue to use and may prefer to continue to use in the future those earlier platforms, which we continue to support. If we are unable to migrate our existing customers using our earlier platforms to our new platform, we may continue to devote substantial resources to the maintenance of our earlier platforms, which could have an adverse effect on our business, results of operations, and financial condition, or we may experience customer dissatisfaction if we choose to no longer support those earlier platforms, which could cause certain customers not to renew or grow their subscriptions.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Operations and sales to customers outside the United States expose us to risks inherent in international operations.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success depends in part on our ability to expand sales to customers located outside of the United States. For the years ended December 31, 2018 and 2019, our business outside of the United States accounted for approximately 7% and 9% of total revenue, respectively.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29" w:lineRule="exact"/>
        <w:rPr>
          <w:sz w:val="20"/>
          <w:szCs w:val="20"/>
          <w:color w:val="auto"/>
        </w:rPr>
      </w:pPr>
    </w:p>
    <w:p>
      <w:pPr>
        <w:ind w:left="640" w:hanging="32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need to localize our products and services, including translation into foreign languages and associated expenses;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competition from local incumbents that better understand the local market, customs, and culture, may market and operate more effectively, and may enjoy greater local affinity or awareness;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need to comply with foreign regulatory frameworks or business practices, which among other things may favor local competitors;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evolving domestic and international tax environments;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foreign currency fluctuations and controls, which may make our products and services more expensive for international customers and could add volatility to our operating results;</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18"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vetting and monitoring internal or external sales or customer experience resources in new and evolving markets to confirm they maintain standards consistent with our brand and reputation;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337" w:right="339" w:bottom="1440" w:gutter="0" w:footer="0" w:header="0"/>
        </w:sectPr>
      </w:pPr>
    </w:p>
    <w:bookmarkStart w:id="57" w:name="page58"/>
    <w:bookmarkEnd w:id="57"/>
    <w:p>
      <w:pPr>
        <w:ind w:left="640" w:hanging="321"/>
        <w:spacing w:after="0" w:line="289"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uncertainty regarding regulation, currency, tax, and operations resulting from the Brexit vote that could disrupt trade, the sale of our services and commerce and movement of our people between the United Kingdom, the European Union, and other locations;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the public perception of governments in the regions where we operate or plan to operate;</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different pricing environments;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different or lesser protection of our intellectual property;</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longer accounts receivable payment cycles and other collection difficulties;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natural disasters, pandemics (such as COVID-19), acts of war, terrorism, pandemics, or security breaches;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regional economic and political conditions;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of these factors could negatively impact our business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Cyber-attacks and security vulnerabilities could result in serious harm to our reputation, business, and financial condition.</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Our products and services, as well as our servers and computer systems and those of third parties that we rely on in our operations could be vulnerable to cybersecurity risks. As such, we may be subject to risks inherent to companies that process personal data. An increasing number of organizations have disclosed breaches of their information security systems, some of which have involved sophisticated and highly targeted attacks.</w:t>
      </w:r>
    </w:p>
    <w:p>
      <w:pPr>
        <w:spacing w:after="0" w:line="126"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are the target of attempts to identify and exploit system vulnerabilities and/or penetrate or bypass our security measures in order to gain unauthorized access to our systems, including an incident that has resulted in exfiltration of the contact records from our database. 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22"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may experience breaches of our security measures due to human error, malfeasance, system errors or vulnerabilities, or other irregularities.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337" w:right="339" w:bottom="1440" w:gutter="0" w:footer="0" w:header="0"/>
        </w:sectPr>
      </w:pPr>
    </w:p>
    <w:bookmarkStart w:id="58" w:name="page59"/>
    <w:bookmarkEnd w:id="58"/>
    <w:p>
      <w:pPr>
        <w:jc w:val="both"/>
        <w:spacing w:after="0" w:line="289" w:lineRule="auto"/>
        <w:rPr>
          <w:sz w:val="20"/>
          <w:szCs w:val="20"/>
          <w:color w:val="auto"/>
        </w:rPr>
      </w:pPr>
      <w:r>
        <w:rPr>
          <w:rFonts w:ascii="Arial" w:cs="Arial" w:eastAsia="Arial" w:hAnsi="Arial"/>
          <w:sz w:val="17"/>
          <w:szCs w:val="17"/>
          <w:color w:val="auto"/>
        </w:rPr>
        <w:t>However, we cannot be certain that our coverage will be adequate for liabilities actually incurred or that insurance will continue to be available to us on economically reasonable terms, or at all.</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19"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1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Our systems and operations are vulnerable to damage or interruption from fire, flood, power loss, security breaches, computer viruses, telecommunications failure,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126"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See “—Interruptions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118"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Any errors, defects, disruptions, or other performance problems with our services could harm our reputation, business, results of operations, and financial condition.</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1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reduce our revenue. Our business would also be harmed if our customers and potential customers believe our services are unreliable.</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These hardware, software, data, and cloud computing systems may not continue to be available at reasonable prices, on commercially reasonable terms, or at all.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26"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If the way cookies are used or shared, or if the use or transfer of cookies is restricted by third parties outside of our control or becomes subject to unfavorable legislation or regulation, our ability to develop and provide certain products or services could be diminished or eliminated.</w:t>
      </w:r>
    </w:p>
    <w:p>
      <w:pPr>
        <w:spacing w:after="0" w:line="83"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Small text files (referred to as “cookies”) placed on internet browsers by certain websites are used to gather data regarding the content of a user’s web browsing activity. We license data gathered using cookies to identify trends in online content consumption by business organizations in order to make assumptions about the goods and services such businesses may purchase. The availability of this data may be limited by numerous potential factors, including general trends among internet users to refuse to accept cookies on their web browsers, laws or regulations limiting the transferability or use of information gathered using cookies, or the refusal of providers of such information to provide it to us or to provide it to us on favorable terms. If we are not able to obtain this information on the terms we anticipate, we will not be able to provide some of our predictive intent products or services, which may cause a reduction in revenue or a reduction in revenue growth. It may negatively impact our ability to obtain new customers, as well as our ability to renew or grow the subscriptions of existing customers.</w:t>
      </w:r>
    </w:p>
    <w:p>
      <w:pPr>
        <w:spacing w:after="0" w:line="133"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Cookies may easily be deleted or blocked by internet users. All of the most commonly used internet browsers (including Chrome, Firefox, Internet Explorer, and Safari) allow internet users to prevent cookies from being accepted by their browsers. Internet users can also delete cookies from their computers at any time. Some internet users also download “ad blocking” software that prevents cookies from being stored on a user’s computer. If more internet users adopt these settings or delete their cookies more frequently than they currently do, our business could be harmed. In addition, the Safari and Firefox browsers block third-party cookies by default, and other browsers may do so in the future. Unless such default settings in browsers were altered by internet users to permit the placement of third-party cookies, fewer cookies would be available, which could adversely affect our business. In addition, companies such as Google have publicly disclosed their intention to move away from cookies to another form of persistent unique identifier (“ID”) to identify individual internet users or internet-connected devices in the bidding process on advertising exchanges. If companies do not use shared IDs across the entire ecosystem, this could have a negative impact on our ability obtain content consumption data.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71"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business was originally founded in 2007, though much of our growth has occurred in recent periods. Our newest platform was introduced publicly in September 2019.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Additionally, the sales cycle for the evaluation and implementation of our paid versions, which can range from a single day to many months, may also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be subject to litigation for any of a variety of claims, which could harm our reputation and adversely affect our business, results of operations, and financial condition.</w:t>
      </w:r>
    </w:p>
    <w:p>
      <w:pPr>
        <w:spacing w:after="0" w:line="10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3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19"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breached laws or regulations relating to privacy or data protection. Additionally, there are potential issues around possible ownership rights in personal data, which is subject to evolving regulatory oversight.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240"/>
          </w:cols>
          <w:pgMar w:left="320" w:top="337" w:right="339" w:bottom="1440" w:gutter="0" w:footer="0" w:header="0"/>
        </w:sectPr>
      </w:pPr>
    </w:p>
    <w:bookmarkStart w:id="61" w:name="page62"/>
    <w:bookmarkEnd w:id="61"/>
    <w:p>
      <w:pPr>
        <w:jc w:val="both"/>
        <w:spacing w:after="0" w:line="267" w:lineRule="auto"/>
        <w:rPr>
          <w:sz w:val="20"/>
          <w:szCs w:val="20"/>
          <w:color w:val="auto"/>
        </w:rPr>
      </w:pPr>
      <w:r>
        <w:rPr>
          <w:rFonts w:ascii="Arial" w:cs="Arial" w:eastAsia="Arial" w:hAnsi="Arial"/>
          <w:sz w:val="17"/>
          <w:szCs w:val="17"/>
          <w:color w:val="auto"/>
        </w:rPr>
        <w:t>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increased as a result of acquisitions of other companies.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our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Changes in laws and regulations related to the internet or changes in the internet infrastructure itself may diminish the demand for our platform and could harm our business.</w:t>
      </w:r>
    </w:p>
    <w:p>
      <w:pPr>
        <w:spacing w:after="0" w:line="106"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22"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the fourth state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240"/>
          </w:cols>
          <w:pgMar w:left="320" w:top="337" w:right="339" w:bottom="1440" w:gutter="0" w:footer="0" w:header="0"/>
        </w:sectPr>
      </w:pPr>
    </w:p>
    <w:bookmarkStart w:id="62" w:name="page63"/>
    <w:bookmarkEnd w:id="62"/>
    <w:p>
      <w:pPr>
        <w:jc w:val="both"/>
        <w:spacing w:after="0" w:line="289" w:lineRule="auto"/>
        <w:rPr>
          <w:sz w:val="20"/>
          <w:szCs w:val="20"/>
          <w:color w:val="auto"/>
        </w:rPr>
      </w:pPr>
      <w:r>
        <w:rPr>
          <w:rFonts w:ascii="Arial" w:cs="Arial" w:eastAsia="Arial" w:hAnsi="Arial"/>
          <w:sz w:val="17"/>
          <w:szCs w:val="17"/>
          <w:color w:val="auto"/>
        </w:rPr>
        <w:t>to support the demands placed upon it. The failure of the internet infrastructure that we or our users rely on, even for a short period of time, could undermine our operations and harm our results of operations.</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could incur greater operating expenses and our user acquisition and retention could be negatively impacted if network operators:</w:t>
      </w:r>
    </w:p>
    <w:p>
      <w:pPr>
        <w:spacing w:after="0" w:line="171" w:lineRule="exact"/>
        <w:rPr>
          <w:sz w:val="20"/>
          <w:szCs w:val="20"/>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implement usage-based pricing;</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discount pricing for competitive products;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otherwise materially change their pricing rates or schemes;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charge us to deliver our traffic at certain levels or at all;</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throttle traffic based on its source or type;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implement bandwidth caps or other usage restrictions; or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otherwise try to monetize or control access to their networks.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06"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06"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40"/>
          </w:cols>
          <w:pgMar w:left="320" w:top="337" w:right="339" w:bottom="1440" w:gutter="0" w:footer="0" w:header="0"/>
        </w:sectPr>
      </w:pPr>
    </w:p>
    <w:bookmarkStart w:id="63" w:name="page64"/>
    <w:bookmarkEnd w:id="63"/>
    <w:p>
      <w:pPr>
        <w:jc w:val="both"/>
        <w:spacing w:after="0" w:line="297" w:lineRule="auto"/>
        <w:rPr>
          <w:sz w:val="20"/>
          <w:szCs w:val="20"/>
          <w:color w:val="auto"/>
        </w:rPr>
      </w:pPr>
      <w:r>
        <w:rPr>
          <w:rFonts w:ascii="Arial" w:cs="Arial" w:eastAsia="Arial" w:hAnsi="Arial"/>
          <w:sz w:val="16"/>
          <w:szCs w:val="16"/>
          <w:color w:val="auto"/>
        </w:rPr>
        <w:t>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03"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1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existing financial accounting standards or practices may harm our results of operations.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 xml:space="preserve">In particular, in May 2014, the FASB and International Accounting Standard Board jointly issued a new revenue recognition standard, Accounting Standard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later codified as Accounting Standards Codification (“ASC”) Topic 606 (collectively with subsequent amendments, “Topic 606”), that is designed to improve financial reporting by creating a common recognition guidance for GAAP. The core principle of this guidance is that an entity should recognize revenue to depict the transfer of promised services to customers in an amount that reflects the consideration to which the entity expects to be entitled in exchange for those services.</w:t>
      </w:r>
    </w:p>
    <w:p>
      <w:pPr>
        <w:spacing w:after="0" w:line="12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We adopted Topic 606, effective January 1, 2018, using the full retrospective method of adoption as if the adoption occurred on January 1, 2017, while 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We believe that the revenue presented for Pre-Acquisition ZI in 2018 would not have materially changed, had Pre-Acquisition ZI used the full retrospective method of adoption for Topic 606 and restated their 2018 revenue figures. See Note 2 - Basis of Presentation and Summary of Significant Accounting Policies within our consolidated financial statements included appearing elsewhere in this prospectus for additional information.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314"/>
        <w:spacing w:after="0" w:line="27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(“Topic 842”),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Topic 842, which allows transition to the new lease standard by recognizing a cumulative-effect adjustment to the opening balance of retained earnings in the period of adoption. We adopted Topic 842 as of January 1, 2019 under this new alternative transition method. We elected the package of practical expedients permitted under the transition guidance within the new standard, which among other things, allows us to carry forward the historical lease classification. In addition, as a practical expedient relating to our property leases, we will not separate lease components from nonlease components. We did not elect the hindsight practical expedient permitted under the transition guidance within the new lease standard. While adoption of Topic 842 did not have a material impact to our consolidated statements of operations or comprehensive loss, we did record a material increase to our assets and liabilities on the balance sheet upon adoption of this standard. Upon adoption, we recognized a right-of-use asset of $9.3 million and a lease liability of $12.8 million, largely pertaining to the Company’s headquarter office lease, with a cumulative-effect adjustment, net of tax, to retained earnings in the amount of $1.8 million representing hidden impairment. In addition, we recorded an additional $28.6 million right-of-use asset and lease liability on February 1, 2019 in connection with the acquisition of Pre-Acquisition ZI.</w:t>
      </w:r>
    </w:p>
    <w:p>
      <w:pPr>
        <w:spacing w:after="0" w:line="124"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Any difficulties in implementing these pronouncements could cause us to fail to meet our financial reporting obligations, which could result in regulatory discipline and harm investors’ confidence in us.</w:t>
      </w:r>
    </w:p>
    <w:p>
      <w:pPr>
        <w:spacing w:after="0" w:line="10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Our internal controls over financial reporting currently do not meet all of the standards contemplated by Section 404 of SOX, and 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03"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5"/>
          <w:szCs w:val="15"/>
          <w:color w:val="auto"/>
        </w:rPr>
        <w:t>As a public company, we will have significant requirements for enhanced financial reporting and internal controls.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will be required, pursuant to Section 404 of SOX, to furnish a report by management on, among other things, the effectiveness of our internal control over financial reporting in the second annual report on Form 10-K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Beginning with our second annual report on Form 10-K following the completion of this offering, our independent registered public accounting firm will be required to attest to the effectiveness of our internal control over financial reporting on an annual basis. However, while we remain an emerging growth company, we will not be required to include an attestation report on internal control over financial reporting issued by our independent registered public accounting firm.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w:t>
      </w:r>
    </w:p>
    <w:p>
      <w:pPr>
        <w:spacing w:after="0" w:line="11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314"/>
        <w:spacing w:after="0" w:line="263" w:lineRule="auto"/>
        <w:rPr>
          <w:sz w:val="20"/>
          <w:szCs w:val="20"/>
          <w:color w:val="auto"/>
        </w:rPr>
      </w:pPr>
      <w:r>
        <w:rPr>
          <w:rFonts w:ascii="Arial" w:cs="Arial" w:eastAsia="Arial" w:hAnsi="Arial"/>
          <w:sz w:val="17"/>
          <w:szCs w:val="17"/>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Class A common stock.</w:t>
      </w:r>
    </w:p>
    <w:p>
      <w:pPr>
        <w:spacing w:after="0" w:line="129"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In connection with the audit of our consolidated financial statements for the year ended December 31, 2018, our management and auditors determined that a material weakness existed in the internal control over financial reporting due to insufficient controls over the review and approval of manual journal entries, including appropriate segregation of duties, and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While we remediated several of the issues described above and continue to take remediation steps, including hiring additional personnel around and subsequent to December 31, 2018, including a new chief financial officer with experience with scale subscription businesses and a vice president of accounting and controller with public company experience, we continued to have a limited number of personnel with the level of GAAP accounting knowledge, specifically related to complex accounting transactions, commensurate with our financial reporting requirements. As such, we continued to have a material weakness in our control over financial reporting as of December 31, 2019.</w:t>
      </w:r>
    </w:p>
    <w:p>
      <w:pPr>
        <w:spacing w:after="0" w:line="135"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Although we believe the additional accounting resources will remediate the weakness with respect to insufficient personnel, there can be no assurance that the material weakness will be remediated on a timely basis or at all, or that additional material weaknesses will not be identified in the future. If we are unable to remediate the material weakness, our ability to record, process, and report financial information accurately, and to prepare financial statements within the time periods specified by the rules and forms of the SEC, could be adversely affected which, in turn, to may adversely affect our reputation and business and the market price of our Class A common stock.</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0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have a history of net losses, we anticipate increasing operating expenses in the future, and we may not be able to achieve and, if achieved, maintain profitability.</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have incurred significant net losses in each year since our inception, including net losses of $28.6 million in 2018 and $78.0 million in 2019, and we had an accumulated deficit of $213.8 million as of December 31, 2019. We may not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hire additional personnel, particularly in sales and marketing and research and development, expand our partnerships,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240"/>
          </w:cols>
          <w:pgMar w:left="320" w:top="337" w:right="339" w:bottom="1440" w:gutter="0" w:footer="0" w:header="0"/>
        </w:sectPr>
      </w:pPr>
    </w:p>
    <w:bookmarkStart w:id="66" w:name="page67"/>
    <w:bookmarkEnd w:id="66"/>
    <w:p>
      <w:pPr>
        <w:jc w:val="both"/>
        <w:spacing w:after="0" w:line="300" w:lineRule="auto"/>
        <w:rPr>
          <w:sz w:val="20"/>
          <w:szCs w:val="20"/>
          <w:color w:val="auto"/>
        </w:rPr>
      </w:pPr>
      <w:r>
        <w:rPr>
          <w:rFonts w:ascii="Arial" w:cs="Arial" w:eastAsia="Arial" w:hAnsi="Arial"/>
          <w:sz w:val="15"/>
          <w:szCs w:val="15"/>
          <w:color w:val="auto"/>
        </w:rPr>
        <w:t>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become a public company and grow, we will incur additional significant legal, accounting, and other expenses that we did not incur as a private company.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achieve or sustain profitability on a consistent basis could cause the value of our Class A common stock to decline.</w:t>
      </w:r>
    </w:p>
    <w:p>
      <w:pPr>
        <w:spacing w:after="0" w:line="1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06"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color w:val="auto"/>
        </w:rPr>
        <w:t>Our balance sheet reflects goodwill of $445.7 million, $966.8 million, and $966.8 million as of December 31, 2018, December 31, 2019, and March 31, 2020, respectively, and intangible assets of $88.7 million, $370.6 million, and $360.4 million as of December 31, 2018, December 31, 2019, and March 31, 2020, respectively. In accordance with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07" w:lineRule="exact"/>
        <w:rPr>
          <w:sz w:val="20"/>
          <w:szCs w:val="20"/>
          <w:color w:val="auto"/>
        </w:rPr>
      </w:pPr>
    </w:p>
    <w:p>
      <w:pPr>
        <w:ind w:left="640" w:hanging="32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40"/>
          </w:cols>
          <w:pgMar w:left="320" w:top="337" w:right="339" w:bottom="1440" w:gutter="0" w:footer="0" w:header="0"/>
        </w:sectPr>
      </w:pPr>
    </w:p>
    <w:bookmarkStart w:id="67" w:name="page68"/>
    <w:bookmarkEnd w:id="67"/>
    <w:p>
      <w:pPr>
        <w:jc w:val="both"/>
        <w:ind w:firstLine="314"/>
        <w:spacing w:after="0" w:line="273" w:lineRule="auto"/>
        <w:rPr>
          <w:sz w:val="20"/>
          <w:szCs w:val="20"/>
          <w:color w:val="auto"/>
        </w:rPr>
      </w:pPr>
      <w:r>
        <w:rPr>
          <w:rFonts w:ascii="Arial" w:cs="Arial" w:eastAsia="Arial" w:hAnsi="Arial"/>
          <w:sz w:val="17"/>
          <w:szCs w:val="17"/>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19"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1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06"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11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On December 22, 2017, the legislation commonly referred to as the Tax Cuts and Jobs Act (the “Tax Act”), was enacted, which contains significant changes to U.S. tax law, including, but not limited to, a reduction in the corporate tax rate and a transition to a modified territorial system of taxation. The primary impact of the new legislation on us is that our ability to take deductions for interest payments is subject to limitations. The impact of the Tax Act will likely be subject to ongoing technical guidance and accounting interpretation, which we will continue to monitor and assess.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2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40"/>
          </w:cols>
          <w:pgMar w:left="320" w:top="337" w:right="339" w:bottom="1440" w:gutter="0" w:footer="0" w:header="0"/>
        </w:sectPr>
      </w:pPr>
    </w:p>
    <w:bookmarkStart w:id="68" w:name="page69"/>
    <w:bookmarkEnd w:id="68"/>
    <w:p>
      <w:pPr>
        <w:jc w:val="both"/>
        <w:ind w:firstLine="314"/>
        <w:spacing w:after="0" w:line="263"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0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11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March 31, 2020, on a pro forma basis after giving effect to the Reorganization Transactions and the Offering Transactions, we would have had total outstanding indebtedness of approximately $841.5 million consisting of outstanding borrowings under our first lien credit facilities. Additionally, we would have had $100 million of availability under our first lien revolving credit facility as of March 31, 2020 on the same pro forma basis. Our substantial indebtedness may:</w:t>
      </w:r>
    </w:p>
    <w:p>
      <w:pPr>
        <w:spacing w:after="0" w:line="126" w:lineRule="exact"/>
        <w:rPr>
          <w:sz w:val="20"/>
          <w:szCs w:val="20"/>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make it difficult for us to satisfy our financial obligations, including with respect to our indebtedness;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limit our ability to borrow additional funds for working capital, capital expenditures, acquisitions, or other general business purposes;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expose us to the risk of increased interest rates as certain of our borrowings, including under our secured credit facilities, are at variable rates of interest;</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limit our ability to pay dividends;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limit our flexibility to plan for, or react to, changes in our business and industry;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40"/>
          </w:cols>
          <w:pgMar w:left="320" w:top="337" w:right="339" w:bottom="1440" w:gutter="0" w:footer="0" w:header="0"/>
        </w:sectPr>
      </w:pPr>
    </w:p>
    <w:bookmarkStart w:id="69" w:name="page70"/>
    <w:bookmarkEnd w:id="69"/>
    <w:p>
      <w:pPr>
        <w:ind w:left="640" w:hanging="32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place us at a competitive disadvantage compared with our less-leveraged competitors;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 our vulnerability to the impact of adverse economic, competitive, and industry conditions;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 our cost of borrowing.</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addition, the credit agreements governing our secured credit facilities contain,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1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scheduled principal repayments of debt made in 2019 and 2018 were $6.5 million and $3.7 million, respectively. Our total interest expense, net for 2019 and 2018 was $102.4 million and $58.2 million, respectively. We may be unable to maintain a level of cash flow sufficient to permit us to pay the principal, premium, if any, and interest on our indebtedness.</w:t>
      </w:r>
    </w:p>
    <w:p>
      <w:pPr>
        <w:spacing w:after="0" w:line="113"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agreements governing our secured credit facilities restrict,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agreements governing our secured credit facilities, ZoomInfo OpCo is restricted from making certain payments, including dividend payments to ZoomInfo Technologies Inc., subject to certain exceptions.</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fluctuations may affect our results of operations and financial condition.</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40"/>
          </w:cols>
          <w:pgMar w:left="320" w:top="337" w:right="339" w:bottom="1440" w:gutter="0" w:footer="0" w:header="0"/>
        </w:sectPr>
      </w:pPr>
    </w:p>
    <w:bookmarkStart w:id="70" w:name="page71"/>
    <w:bookmarkEnd w:id="70"/>
    <w:p>
      <w:pPr>
        <w:jc w:val="both"/>
        <w:spacing w:after="0" w:line="273" w:lineRule="auto"/>
        <w:rPr>
          <w:sz w:val="20"/>
          <w:szCs w:val="20"/>
          <w:color w:val="auto"/>
        </w:rPr>
      </w:pPr>
      <w:r>
        <w:rPr>
          <w:rFonts w:ascii="Arial" w:cs="Arial" w:eastAsia="Arial" w:hAnsi="Arial"/>
          <w:sz w:val="17"/>
          <w:szCs w:val="17"/>
          <w:color w:val="auto"/>
        </w:rPr>
        <w:t>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These reforms and other pressures may cause LIBOR to be replaced with a new benchmark or to perform differently than in the past. The consequences of these developments cannot be entirely predicted but could include an increase in the cost of our variable rate indebtedness.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our credit ratings could adversely impact our operations and lower our profitability.</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Credit rating agencies continually revise their ratings for the companies that they follow, including us. Credit rating agencies also evaluate our industry as a whole and may change their credit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ZoomInfo Technologies Inc. is a holding company, its only material asset after completion of this offering will be its interest in ZoomInfo HoldCo, which is a holding company whose only material asset after the completion of this offering will be its interest in ZoomInfo OpCo, and ZoomInfo Technologies Inc. is accordingly dependent upon distributions from ZoomInfo OpCo through ZoomInfo HoldCo to pay taxes, make payments under the tax receivable agreements, and pay dividends.</w:t>
      </w:r>
    </w:p>
    <w:p>
      <w:pPr>
        <w:spacing w:after="0" w:line="126"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ZoomInfo Technologies Inc. will be a holding company, and after completion of this offering will have no material assets other than its ownership of HoldCo Units. ZoomInfo HoldCo will be a holding company, and after completion of this offering will have no material assets other than its ownership of OpCo Units. ZoomInfo Technologies Inc. has no independent means of generating revenue. The limited liability company agreement of ZoomInfo OpCo that will be in effect at the time of this offering provides that certain distributions to cover the taxes of the ZoomInfo Tax Group and the other holders of OpCo Units and Class P Units will be made based upon assumed tax rates and other assumptions provided in the limited liability company agreement (such distributions, “tax distributions”).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or ZoomInfo HoldCo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24"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We anticipate that ZoomInfo OpCo will continue to be treated as a partnership for U.S. federal income tax purposes and, as such, generally will not be subject to any entity-level U.S. federal income tax. Instead, taxable income will be allocated to holders of OpCo Units. Accordingly, the ZoomInfo Tax Group will be required to pay income taxes on our allocable share of any net taxable income of ZoomInfo OpCo. Recently enacted legislation that is effective for taxable years beginning after December 31, 2017 may impute liability for adjustments to a partnership’s tax return on the partnership itself in certain circumstances, absent an election to the contrary. ZoomInfo OpCo may be subject to material liabilities pursuant to this legislation and related guidance if, for example, its calculations of taxable income are incorrect. In addition, the ZoomInfo Tax Group’s allocable share of ZoomInfo OpCo’s net taxable income will increase over time as our Pre-IPO OpCo Unitholders continue to exchange their OpCo Units (together with a corresponding number of shares of Class B common stock) for shares of our Class A common stock. Such increase in our taxable income may increase our tax expenses and may have an adverse effect on our business, results of operations, and financial condition.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40"/>
          </w:cols>
          <w:pgMar w:left="320" w:top="337" w:right="339" w:bottom="1440" w:gutter="0" w:footer="0" w:header="0"/>
        </w:sectPr>
      </w:pPr>
    </w:p>
    <w:bookmarkStart w:id="71" w:name="page72"/>
    <w:bookmarkEnd w:id="71"/>
    <w:p>
      <w:pPr>
        <w:jc w:val="both"/>
        <w:ind w:firstLine="314"/>
        <w:spacing w:after="0" w:line="281" w:lineRule="auto"/>
        <w:rPr>
          <w:sz w:val="20"/>
          <w:szCs w:val="20"/>
          <w:color w:val="auto"/>
        </w:rPr>
      </w:pPr>
      <w:r>
        <w:rPr>
          <w:rFonts w:ascii="Arial" w:cs="Arial" w:eastAsia="Arial" w:hAnsi="Arial"/>
          <w:sz w:val="16"/>
          <w:szCs w:val="16"/>
          <w:color w:val="auto"/>
        </w:rPr>
        <w:t>Distributions from ZoomInfo OpCo may in certain periods exceed our liabilities, including tax liabilities, and obligations to make payments under the tax receivable agreements. Our board of directors, in its sole discretion, will make any determination from time to time with respect to the use of any such excess cash so accumulated, which may include, among other uses, to acquire additional newly issued OpCo Units from ZoomInfo OpCo at a per unit price determined by reference to the market value of the Class A common stock, to pay dividends, which may include special dividends, on its Class A common stock and Class C common stock, to fund repurchases of its Class A common stock and Class C common stock, or any combination of the foregoing. We will have no obligation to distribute such cash (or other available cash other than any declared dividend) to our stockholders. See “Certain Relationships and Related Person Transactions—ZoomInfo OpCo Amended and Restated Limited Liability Company Agreement.”</w:t>
      </w:r>
    </w:p>
    <w:p>
      <w:pPr>
        <w:spacing w:after="0" w:line="11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We have no current plans to pay cash dividends on our Class A common stock or Class C common stock. Holders of Class B common stock do not have any right to receive dividends, or to receive a distribution upon a liquidation, dissolution, or winding up of ZoomInfo Technologies Inc., with respect to their Class B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ZoomInfo Technologies Inc. will be required to pay our pre-IPO owners for most of the benefits relating to any additional tax depreciation or amortization deductions that we may claim as a result of the ZoomInfo Tax Group’s allocable share of existing tax basis acquired in this offering, the ZoomInfo Tax Group’s increase in its allocable share of existing tax basis, and anticipated tax basis adjustments the ZoomInfo Tax Group receives in connection with sales or exchanges of OpCo Units after this offering, and certain other tax attributes.</w:t>
      </w:r>
    </w:p>
    <w:p>
      <w:pPr>
        <w:spacing w:after="0" w:line="126"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118"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each case, these increases in existing tax basis and tax basis adjustments generated over time may increase (for tax purposes) depreciation and amortization deductions and, therefore, may reduce the amount of tax that ZoomInfo Technologies Inc.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337" w:right="339" w:bottom="1440" w:gutter="0" w:footer="0" w:header="0"/>
        </w:sectPr>
      </w:pPr>
    </w:p>
    <w:bookmarkStart w:id="72" w:name="page73"/>
    <w:bookmarkEnd w:id="72"/>
    <w:p>
      <w:pPr>
        <w:jc w:val="both"/>
        <w:spacing w:after="0" w:line="278" w:lineRule="auto"/>
        <w:rPr>
          <w:sz w:val="20"/>
          <w:szCs w:val="20"/>
          <w:color w:val="auto"/>
        </w:rPr>
      </w:pPr>
      <w:r>
        <w:rPr>
          <w:rFonts w:ascii="Arial" w:cs="Arial" w:eastAsia="Arial" w:hAnsi="Arial"/>
          <w:sz w:val="16"/>
          <w:szCs w:val="16"/>
          <w:color w:val="auto"/>
        </w:rPr>
        <w:t>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this offering, the payments that the members of the ZoomInfo Tax Group may make under the tax receivable agreements will be substantial. We estimate the amount of existing tax basis with respect to which our pre-IPO owners will be entitled to receive payments under the tax receivable agreements (assuming all Pre-IPO OpCo Unitholders excluding the Blocker Companies exchange their OpCo Units (together with a corresponding number of shares of Class B common stock) on the date of this offering) is approximately $352.2 million. The payments under the tax receivable agreements are not conditioned upon continued ownership of us by the exchanging holders of OpCo Units or the prior owners of the Blocker Companies. See “Certain Relationships and Related Person Transactions—Tax Receivable Agreements.”</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06"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the lesser of (i) 6.5% per annum and (ii) one year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25"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HoldCo are not sufficient to permit ZoomInfo Technologies Inc. to make payments under the tax receivable agreements after it has paid taxes and other expenses. Based upon certain assumptions described in greater detail below under “Certain Relationships and Related Person Transactions—Tax Receivable Agreements,” we estimate that if ZoomInfo Technologies Inc. were to exercise its termination right immediately following this offering, the aggregate amount of these termination payments would be approximately $1,064.0 million. The foregoing number is merely an estimate and the actual payments could differ materially. We may need to incur additional indebtedness to finance payments under the tax receivable agreements to the extent our cash resources are insufficient to meet our obligations under the tax receivable agreements as a result of</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240"/>
          </w:cols>
          <w:pgMar w:left="320" w:top="337" w:right="339" w:bottom="1440" w:gutter="0" w:footer="0" w:header="0"/>
        </w:sectPr>
      </w:pPr>
    </w:p>
    <w:bookmarkStart w:id="73" w:name="page74"/>
    <w:bookmarkEnd w:id="73"/>
    <w:p>
      <w:pPr>
        <w:jc w:val="both"/>
        <w:spacing w:after="0" w:line="289" w:lineRule="auto"/>
        <w:rPr>
          <w:sz w:val="20"/>
          <w:szCs w:val="20"/>
          <w:color w:val="auto"/>
        </w:rPr>
      </w:pPr>
      <w:r>
        <w:rPr>
          <w:rFonts w:ascii="Arial" w:cs="Arial" w:eastAsia="Arial" w:hAnsi="Arial"/>
          <w:sz w:val="17"/>
          <w:szCs w:val="17"/>
          <w:color w:val="auto"/>
        </w:rPr>
        <w:t>timing discrepancies or otherwise, and these obligations could have the effect of delaying, deferring, or preventing certain mergers, asset sales, other forms of business combinations, or other changes of control.</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0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1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ZoomInfo HoldCo, applicable restrictions could make it impractical for us to continue our business as contemplated and could have a material adverse effect on our business.</w:t>
      </w:r>
    </w:p>
    <w:p>
      <w:pPr>
        <w:spacing w:after="0" w:line="11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13"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Upon completion of the Reorganization Transactions, we will have control over ZoomInfo HoldCo. As the sole managing member of ZoomInfo OpCo, ZoomInfo HoldCo will control and operate ZoomInfo OpCo. On that basis, we believe that neither our interest in ZoomInfo HoldCo nor ZoomInfo HoldCo’s interest in ZoomInfo OpCo is an “investment security” as that term is used in the 1940 Act. However, if we were to cease participation in the management of ZoomInfo HoldCo, if ZoomInfo HoldCo were to cease participation in the management of ZoomInfo OpCo, or if ZoomInfo OpCo itself becomes an investment company, our interest in ZoomInfo HoldCo or ZoomInfo HoldCo’s interest in ZoomInfo OpCo, as applicable, could be deemed an “investment security” for purposes of the 1940 Act.</w:t>
      </w:r>
    </w:p>
    <w:p>
      <w:pPr>
        <w:spacing w:after="0" w:line="12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ZoomInfo HoldCo, and ZoomInfo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parties to our stockholders agreement control us, and their interests may conflict with ours or yours in the future.</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Immediately following this offering and the application of net proceeds therefrom, the parties to our stockholders agreement will beneficially own approximately 89.6% of the combined voting power of our Class A, Class B, and Class C common stock (or 89.4% if the underwriters exercise in full their option to purchase additional shares of Class A common stock), with each share of Class A common stock entitling the holder to one vote, each share of Class B common stock entitling the holder to ten votes (for so long as the aggregate number of outstanding shares of our Class B common stock and Class C common stock represents at least 5% of the aggregate number of our outstanding shares of common stock, and thereafter, one vote per share) and each share of Class C common stock entitling the holder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337" w:right="339" w:bottom="1440" w:gutter="0" w:footer="0" w:header="0"/>
        </w:sectPr>
      </w:pPr>
    </w:p>
    <w:bookmarkStart w:id="74" w:name="page75"/>
    <w:bookmarkEnd w:id="74"/>
    <w:p>
      <w:pPr>
        <w:jc w:val="both"/>
        <w:spacing w:after="0" w:line="276" w:lineRule="auto"/>
        <w:rPr>
          <w:sz w:val="20"/>
          <w:szCs w:val="20"/>
          <w:color w:val="auto"/>
        </w:rPr>
      </w:pPr>
      <w:r>
        <w:rPr>
          <w:rFonts w:ascii="Arial" w:cs="Arial" w:eastAsia="Arial" w:hAnsi="Arial"/>
          <w:sz w:val="16"/>
          <w:szCs w:val="16"/>
          <w:color w:val="auto"/>
        </w:rPr>
        <w:t>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Moreover, we will agree to nominate to our board of directors individuals designated by TA Associates, Carlyle, and our Founders in accordance with our stockholders agreement. TA Associates, Carlyle, and our Founders will each retain the right to designate directors for so long as they beneficially own at least 5% of the voting power of all shares of our outstanding capital stock entitled to vote generally in the election of our directors. See “Certain Relationships and Related Person Transactions —Stockholders Agreement.” Even when the parties to our stockholders agreement cease to own shares of our stock representing a majority of the total voting power, for so long as the parties to our stockholders agreement continue to own a significant percentage of our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including the appointment and removal of our officers. In particular, for so long as the parties to our stockholders agreement continue to own a significant percentage of our stock, the parties to our stockholders agreement will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27"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In addition, immediately following this offering and the application of the net proceeds therefrom, the Pre-IPO OpCo Unitholders will own 61.4% of the OpCo Units (or 60.3% if the underwriters exercise in full their option to purchase additional shares of Class A common stock). Because they hold their ownership interest in our business directly in ZoomInfo OpCo, rather than through ZoomInfo Technologies Inc., the Pre-IPO OpCo Unitholders may have conflicting interests with holders of shares of our Class A common stock. For example, if ZoomInfo OpCo makes distributions through ZoomInfo HoldCo to ZoomInfo Technologies Inc., the non-managing members of ZoomInfo OpCo will also be entitled to receive such distributions pro rata in accordance with the percentages of their respective limited liability company interests in ZoomInfo OpCo and their preferences as to the timing and amount of any such distributions may differ from those of our public stockholders. Our pre-IPO owners may also have different tax positions from us that could influence their decisions regarding whether and when to dispose of assets, especially in light of the existence of the tax receivable agreements that we will enter in connection with this offering, whether and when to incur new or refinance existing indebtedness and whether and when ZoomInfo Technologies Inc. should terminate the tax receivable agreements and accelerate its obligations thereunder. In addition, the structuring of future transactions may take into consideration our pre-IPO owners’ tax or other considerations even where no similar benefit would accrue to us. See “Certain Relationships and Related Person Transactions—Tax Receivable Agreements.”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not limit the ability of our Sponsors to compete with us, and they and certain of our executive officers may have investments in businesses whose interests conflict with ours.</w:t>
      </w:r>
    </w:p>
    <w:p>
      <w:pPr>
        <w:spacing w:after="0" w:line="10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See “Description of Capital Stock—Conflicts of Interest.”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Upon the listing of our Class A common stock on the Nasdaq, we will be a “controlled company” within the meaning of the Nasdaq rules and, as a result, will qualify for, and intend to rely on, exemptions and relief from certain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Arial" w:cs="Arial" w:eastAsia="Arial" w:hAnsi="Arial"/>
          <w:sz w:val="15"/>
          <w:szCs w:val="15"/>
          <w:b w:val="1"/>
          <w:bCs w:val="1"/>
          <w:i w:val="1"/>
          <w:iCs w:val="1"/>
          <w:color w:val="auto"/>
        </w:rPr>
        <w:t>corporate governance requirements. You will not have the same protections afforded to stockholders of companies that are subject to such requirements.</w:t>
      </w:r>
    </w:p>
    <w:p>
      <w:pPr>
        <w:spacing w:after="0" w:line="194"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After the completion of this offering, certain affiliates of TA Associates, Carlyle, and our Founders will beneficially own approximately 89.6% of the combined voting power of our Class A, Class B, and Class C common stock (or 89.4% if the underwriters exercise in full their option to purchase additional shares of Class A common stock) and will be parties, among others, to a stockholders agreement described in “Certain Relationships and Related Person Transactions—Stockholders Agreement.” As a result, we will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30" w:lineRule="exact"/>
        <w:rPr>
          <w:sz w:val="20"/>
          <w:szCs w:val="20"/>
          <w:color w:val="auto"/>
        </w:rPr>
      </w:pPr>
    </w:p>
    <w:p>
      <w:pPr>
        <w:ind w:left="640" w:hanging="32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board that is composed of a majority of “independent directors,” as defined under the Nasdaq rules;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compensation committee that is composed entirely of independent directors; and</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Following this offering, we intend to utilize these exemptions. Accordingly, you will not have the same protections afforded to stockholders of companies that are subject to all of the corporate governance requirements of the Nasdaq.</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0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by SEC rules to (and plan to) rely on exemptions and relief from certain reporting requirements that are applicable to other SEC-registered public companies that are not emerging growth companies. These exemptions and relief include (i) not being required to comply with the auditor attestation requirements of Section 404 of SOX, (ii) not being required to comply with any requirement that may be adopted by the PCAOB regarding mandatory audit firm rotation or a supplement to the auditor’s report providing additional information about the audit and the financial statements, (iii) reduced disclosure obligations regarding executive compensation, and (iv)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In this prospectus, we have not included all of the executive compensation-related information that would be required if we were not an emerging growth company.</w:t>
      </w:r>
    </w:p>
    <w:p>
      <w:pPr>
        <w:spacing w:after="0" w:line="118"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may remain an emerging growth company until the fiscal year-end following the fifth anniversary of the completion of this initial public offering, though we may cease to be an emerging growth company earlier under certain circumstances, including (1) if our gross revenue exceeds $1.07 billion in any fiscal year, (2) if we become a large accelerated filer, with at least $700.0 million of equity securities held by non-affiliates, or (3) if we issue more than $1.0 billion in non-convertible notes in any three-year period.</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cannot predict whether investors will find our Class A common stock less attractive if we rely on these exemptions and relief. If some investors find our Class A common stock less attractive as a result, there may be a less active trading market for our Class A common stock and our stock price may decline and/or be more volatile.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240"/>
          </w:cols>
          <w:pgMar w:left="320" w:top="337" w:right="339" w:bottom="1440" w:gutter="0" w:footer="0" w:header="0"/>
        </w:sectPr>
      </w:pPr>
    </w:p>
    <w:bookmarkStart w:id="76" w:name="page77"/>
    <w:bookmarkEnd w:id="76"/>
    <w:p>
      <w:pPr>
        <w:jc w:val="both"/>
        <w:spacing w:after="0" w:line="289" w:lineRule="auto"/>
        <w:rPr>
          <w:sz w:val="20"/>
          <w:szCs w:val="20"/>
          <w:color w:val="auto"/>
        </w:rPr>
      </w:pPr>
      <w:r>
        <w:rPr>
          <w:rFonts w:ascii="Arial" w:cs="Arial" w:eastAsia="Arial" w:hAnsi="Arial"/>
          <w:sz w:val="17"/>
          <w:szCs w:val="17"/>
          <w:b w:val="1"/>
          <w:bCs w:val="1"/>
          <w:i w:val="1"/>
          <w:iCs w:val="1"/>
          <w:color w:val="auto"/>
        </w:rPr>
        <w:t>We will incur increased costs and become subject to additional regulations and requirements as a result of becoming a public company, which could impair our profitability, make it more difficult to run our business, or divert management’s attention from our business.</w:t>
      </w:r>
    </w:p>
    <w:p>
      <w:pPr>
        <w:spacing w:after="0" w:line="106"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As a public company, and particularly after we are no longer an emerging growth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and recruiting and retaining independent directors. We also have incurred and will continue to incur costs associated with SOX and the Dodd-Frank Wall Street Reform and Consumer Protection Act and related rules implemented by the SEC and the Nasdaq, and compliance with these requirements will place significant demands on our legal, accounting, and finance staff and on our accounting, financial, and information systems.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In addition, we might not be successful in implementing these requirements.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There may not be an active trading market for shares of our Class A common stock, which may cause shares of our Class A common stock to trade at a discount from their initial offering price and make it difficult to sell the shares of Class A common stock you purchase.</w:t>
      </w:r>
    </w:p>
    <w:p>
      <w:pPr>
        <w:spacing w:after="0" w:line="10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 common stock will trade in the public market after this offering. We cannot predict the extent to which investor interest in our Class A common stock will lead to the development of an active trading market on the Nasdaq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 and you may not be able to sell your shares of our Class A common stock at or above the price you paid in this offering, or at all.</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predict the impact our multi-class structure may have on the market price of our Class A common stock.</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cannot predict whether our multi-class structure, combined with the concentrated control of our stockholders who held our capital stock prior to the completion of this offering, including our Sponsors, executive officers, employees, and directors and their affiliates, will result in a lower or more volatile market price of our Class A common stock or in adverse publicity or other adverse consequences. In addition, certain index providers have announced restrictions on including companies with multiple class share structures in certain of their indexes. For example, in July 2017,</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40"/>
          </w:cols>
          <w:pgMar w:left="320" w:top="337" w:right="339" w:bottom="1440" w:gutter="0" w:footer="0" w:header="0"/>
        </w:sectPr>
      </w:pPr>
    </w:p>
    <w:bookmarkStart w:id="77" w:name="page78"/>
    <w:bookmarkEnd w:id="77"/>
    <w:p>
      <w:pPr>
        <w:jc w:val="both"/>
        <w:spacing w:after="0" w:line="265" w:lineRule="auto"/>
        <w:rPr>
          <w:sz w:val="20"/>
          <w:szCs w:val="20"/>
          <w:color w:val="auto"/>
        </w:rPr>
      </w:pPr>
      <w:r>
        <w:rPr>
          <w:rFonts w:ascii="Arial" w:cs="Arial" w:eastAsia="Arial" w:hAnsi="Arial"/>
          <w:sz w:val="17"/>
          <w:szCs w:val="17"/>
          <w:color w:val="auto"/>
        </w:rPr>
        <w:t>FTSE Russell and Standard &amp; Poor’s announced that they would cease to allow most newly public companies utilizing dual or multi-class capital structures to be included in their indices. Under the announced policies, our multi-class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disparity in the voting rights among the classes of common stock may have a potential adverse effect on the price of our Class A common stock.</w:t>
      </w:r>
    </w:p>
    <w:p>
      <w:pPr>
        <w:spacing w:after="0" w:line="194"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Each share of our Class A common stock will entitle its holder to one vote on all matters on which stockholders of ZoomInfo Technologies Inc. are entitled to vote generally. Shares of Class B common stock will have no economic rights but each share will entitle its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the consummation of this offering, all of our Class B common stock will be held by the Pre-IPO OpCo Unitholders, including the Sponsors and the Founders, and the Pre-IPO HoldCo Unitholders. Shares of Class C common stock will have the same economic rights as shares of Class A common stock, but each share will entitle its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the consummation of this offering, all of our Class C common stock will be held by the Pre-IPO Blocker Holders. The difference in voting rights could adversely affect the value of our Class A common stock by, for example, delaying or deferring a change of control or if investors view, or any potential future purchaser of our company views, the superior voting rights of the Class B and Class C common stock to have value. Because of the ten-to-one voting ratio between our Class B and Class C common stock, on the one hand, and Class A common stock, on the other hand, the holders of our Class B and Class C common stock collectively will continue to control a majority of the combined voting power of our common stock and therefore be able to control all matters submitted to our stockholders so long as the Class B and Class C common stock represent at least 9.1% of all outstanding stock of our Class A, Class B, and Class C common stock. This concentrated control will limit or preclude the ability of holders of Class A common stock to influence corporate matters for the foreseeable future. For a description of our multi-class structure, see “Description of Capital Stock.”</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initial public offering price due to a number of factors, such as those listed elsewhere in this “Risk Factors” section and the following:</w:t>
      </w:r>
    </w:p>
    <w:p>
      <w:pPr>
        <w:spacing w:after="0" w:line="126" w:lineRule="exact"/>
        <w:rPr>
          <w:sz w:val="20"/>
          <w:szCs w:val="20"/>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variations in our, our competitors’, or other comparable companies’ quarterly operating results or dividends, if any, to stockholders;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guidance, if any, that we, our competitors, or other comparable companies provide to the public, any changes in this guidance, or failure to meet this guidance;</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failure by us or others in our industry to meet analysts’ earnings estimates;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publication of research reports about our industry;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240"/>
          </w:cols>
          <w:pgMar w:left="320" w:top="337" w:right="339" w:bottom="1440" w:gutter="0" w:footer="0" w:header="0"/>
        </w:sectPr>
      </w:pPr>
    </w:p>
    <w:bookmarkStart w:id="78" w:name="page79"/>
    <w:bookmarkEnd w:id="78"/>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market valuations of similar companies or speculation in the press or investment community;</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similar companies;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acquisitions, dispositions, strategic partnerships, joint ventures, or capital commitments;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announcements relating to litigation, government investigations, changes in laws, or changes in business or regulatory conditions, or differing interpretations or enforcement thereof;</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adverse publicity about the industries we participate in; or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individual scandals.</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0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in this offering will suffer immediate and substantial dilution.</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OpCo Units by the pre-IPO owners. See “Dilution.”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Participation in this offering by the cornerstone investors could reduce the public float for our shares of Class A common stock.</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Prior to the date hereof, the cornerstone investors have indicated an interest in purchasing an aggregate of up to $100.0 million each (up to $300.0 million in the aggregate) in shares of our Class A common stock in this offering at the initial public offering price. Because this indication of interest is not a binding agreement or commitment to purchase, the cornerstone investors could determine to purchase more, less, or no shares in this offering or the underwriters could determine to sell more, less, or no shares to any of the cornerstone investors. The underwriters will receive the same discount on any of our shares of Class A common stock purchased by the cornerstone investors as they will from any other shares of Class A common stock sold to the public in this offering.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40"/>
          </w:cols>
          <w:pgMar w:left="320" w:top="337" w:right="339" w:bottom="1440" w:gutter="0" w:footer="0" w:header="0"/>
        </w:sectPr>
      </w:pPr>
    </w:p>
    <w:bookmarkStart w:id="79" w:name="page80"/>
    <w:bookmarkEnd w:id="79"/>
    <w:p>
      <w:pPr>
        <w:jc w:val="both"/>
        <w:ind w:firstLine="314"/>
        <w:spacing w:after="0" w:line="322" w:lineRule="auto"/>
        <w:rPr>
          <w:sz w:val="20"/>
          <w:szCs w:val="20"/>
          <w:color w:val="auto"/>
        </w:rPr>
      </w:pPr>
      <w:r>
        <w:rPr>
          <w:rFonts w:ascii="Arial" w:cs="Arial" w:eastAsia="Arial" w:hAnsi="Arial"/>
          <w:sz w:val="16"/>
          <w:szCs w:val="16"/>
          <w:color w:val="auto"/>
        </w:rPr>
        <w:t>If the cornerstone investors are allocated all or a portion of the shares in which they have indicated an interest in this offering or more, and purchase any such shares, such purchase could reduce the available public float for our shares if the cornerstone investors hold these shares long term.</w:t>
      </w:r>
    </w:p>
    <w:p>
      <w:pPr>
        <w:spacing w:after="0" w:line="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You may be diluted by the future issuance of additional Class A common stock or OpCo Units in connection with our incentive plans, acquisitions, or otherwise.</w:t>
      </w:r>
    </w:p>
    <w:p>
      <w:pPr>
        <w:spacing w:after="0" w:line="106"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After this offering, we will have 2,454,621,016 shares of Class A common stock authorized but unissued, including 239,164,095 shares of Class A common stock issuable upon exchange of OpCo Units or HoldCo Units that will be held by the Pre-IPO OpCo Unitholders or the Pre-IPO HoldCo Unitholders, respectively, 98,106,387 shares of Class A common stock issuable upon conversion of 98,106,387 shares of Class C common stock that will be held by the Pre-IPO Blocker Holders, and 10,657,948 shares of Class A common stock issuable upon the vesting and conversion of 14,471,631 Class P Units held by the Continuing Class P Unitholders (assuming no exercise of the over-allotment option by the underwriters). Our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liability company agreements of ZoomInfo OpCo and ZoomInfo HoldCo permit ZoomInfo OpCo and ZoomInfo HoldCo to issue an unlimited number of additional limited liability company interests of ZoomInfo OpCo and ZoomInfo HoldCo, respectively, with designations, preferences, rights, powers, and duties that are different from, and may be senior to, those applicable to the OpCo Units or the HoldCo Units, as applicable, and which may be exchangeable for shares of our Class A common stock. Additionally, we have reserved an aggregate of 18,650,000 shares of Class A common stock for issuance under our 2020 Omnibus Incentive Plan. In connection with the offering, 513,440 restricted stock units, 47,620 LTIP Units, 577,879 stock options, which we refer to as “leverage restoration options,” with a strike price equal to the public offering price per share of Class A common stock, and 630,000 Class P Units with a participation threshold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strike price) equal to the public offering price per share of Class A common stock are expected to be granted under our 2020 Omnibus Incentive Plan. See “Executive Compensation—Compensation Arrangements to be Adopted in Connection with this Offering—2020 Omnibus Incentive Plan.” Any Class A common stock that we issue, including under our 2020 Omnibus Incentive Plan or other equity incentive plans that we may adopt in the future, would dilute the percentage ownership held by the investors who purchase Class A common stock in this offering.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whose terms could adversely affect the voting power or value of our Class A common stock.</w:t>
      </w:r>
    </w:p>
    <w:p>
      <w:pPr>
        <w:spacing w:after="0" w:line="171"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Our amended and restated certificate of incorporation will authorize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10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45,378,984 shares of our Class A common stock outstanding (or 52,053,984 shares if the underwriters exercise in full their option to purchase additional shares of our Class A common stock). All of the shares of our Class A common stock sold in this offering will be freely tradable without restriction or further registration under the Securities Act of 1933, as amended (the “Securities Act”), by persons other than our “affiliates,” as that term is defined under Rule 144 of the Securities Act (“Rule 144”). See “Shares Eligible for Future Sale.”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337" w:right="339" w:bottom="1440" w:gutter="0" w:footer="0" w:header="0"/>
        </w:sectPr>
      </w:pPr>
    </w:p>
    <w:bookmarkStart w:id="80" w:name="page81"/>
    <w:bookmarkEnd w:id="80"/>
    <w:p>
      <w:pPr>
        <w:jc w:val="both"/>
        <w:ind w:firstLine="314"/>
        <w:spacing w:after="0" w:line="277" w:lineRule="auto"/>
        <w:rPr>
          <w:sz w:val="20"/>
          <w:szCs w:val="20"/>
          <w:color w:val="auto"/>
        </w:rPr>
      </w:pPr>
      <w:r>
        <w:rPr>
          <w:rFonts w:ascii="Arial" w:cs="Arial" w:eastAsia="Arial" w:hAnsi="Arial"/>
          <w:sz w:val="16"/>
          <w:szCs w:val="16"/>
          <w:color w:val="auto"/>
        </w:rPr>
        <w:t>In addition, under the amended and restated limited liability company agreement of ZoomInfo OpCo, the Pre-IPO OpCo Unitholders (or certain permitted transferees) will have the right, after the completion of this offering (subject to the terms of such limited liability company agreement), to exchange their OpCo Units (together with a corresponding number of shares of Class B common stock) for shares of our Class A common stock on a one-for-one basis, subject to customary conversion rate adjustments. Under the amended and restated limited liability company agreement of ZoomInfo HoldCo, the Pre-IPO HoldCo Unitholders (or certain permitted transferees) will have the right, after the completion of this offering (subject to the terms of such limited liability company agreement), to exchange their HoldCo Units (together with a corresponding number of shares of Class B common stock) for shares of our Class A common stock on a one-for-one basis, subject to customary conversion rate adjustments.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2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Upon completion of this offering (subject to the terms of the applicable limited liability company agreement), an aggregate of 234,932,785 OpCo Units and an aggregate of 4,231,310 HoldCo Units may be exchanged for shares of our Class A common stock and an aggregate of 98,106,387 shares of Class C common stock may be converted into shares of our Class A common stock. Any shares we issue upon exchange of OpCo Units or HoldCo Units or upon the conversion of shares of Class C common stock, as applicable, will be “restricted securities” as defined in Rule 144 and may not be sold in the absence of registration under the Securities Act unless an exemption from registration is available, including the exemptions contained in Rule 144. We, our executive officers, our directors, the holders of all of our Class C common stock, the holders of substantially all of our outstanding OpCo Units, and certain holders of our HoldCo Units have agreed, subject to certain exceptions, not to dispose of or hedge any shares of our Class A common stock (including shares issued upon exchange of OpCo Units or HoldCo Units or upon conversion of shares of Class C common stock, as applicable) or securities convertible into or exchangeable for shares of our Class A common stock, including our Class B and Class C common stock, for 180 days from the date of this prospectus, except with certain underwriters’ prior written consent. See “Underwriting.”</w:t>
      </w:r>
    </w:p>
    <w:p>
      <w:pPr>
        <w:spacing w:after="0" w:line="135"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Subject to certain limitations and exceptions, pursuant to the terms of the amended and restated limited liability company agreement of ZoomInfo OpCo, the holders of 14,471,631 Class P Units, which have a weighted-average per unit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xml:space="preserve"> the strike price) of $5.53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certain of our Sponsors will continue to be considered affiliates following the expiration of the lock-up period based on their expected share ownership and their board nomination rights. Certain other of our stockholders may also be considered affiliates at that time.</w:t>
      </w:r>
    </w:p>
    <w:p>
      <w:pPr>
        <w:spacing w:after="0" w:line="126"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However, subject to the expiration or waiver of the 180-day lock-up period, the holders of these shares of Class A common stock (including shares issued upon exchange of OpCo Units or HoldCo Units or upon conversion of shares of Class C common stock, as applicable) will have the right, subject to certain exceptions and conditions, to require us to register their shares of Class A common stock under the Securities Act, and they will have the right to participate in future registrations of securities by us. Following completion of this offering, the shares covered by registration rights would represent approximately 85.0% of our total Class A common stock outstanding (or 83.5% shares if the underwriters exercise in full their option to purchase additional shares of our Class A common stock). Registration of any of these outstanding shares of Class A common stock would result in such shares becoming freely tradable without compliance with Rule 144 upon effectiveness of the registration statement. See “Shares Eligible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240"/>
          </w:cols>
          <w:pgMar w:left="320" w:top="336"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for Future Sale—Registration Rights” and “Certain Relationships and Related Person Transactions—Registration Rights Agreement.”</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shares of our Class A common stock or securities convertible into or exchangeable for shares of our Class A common stock issued pursuant to the 2020 Plan. Any such Form S-8 registration statements will automatically become effective upon filing. Accordingly, shares registered under such registration statements will be available for sale in the open market. We expect that the initial registration statement on Form S-8 will cover 18,650,000 shares of our Class A common stock.</w:t>
      </w:r>
    </w:p>
    <w:p>
      <w:pPr>
        <w:spacing w:after="0" w:line="10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Delaware law might discourage or delay acquisition attempts for us that you might consider favorable.</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immediately prior to the consummation of this offering will contain provisions that may make a merger with or acquisition of our Company more difficult without the approval of our board of directors. Among other things, these provisions:</w:t>
      </w:r>
    </w:p>
    <w:p>
      <w:pPr>
        <w:spacing w:after="0" w:line="119" w:lineRule="exact"/>
        <w:rPr>
          <w:sz w:val="20"/>
          <w:szCs w:val="20"/>
          <w:color w:val="auto"/>
        </w:rPr>
      </w:pPr>
    </w:p>
    <w:p>
      <w:pPr>
        <w:ind w:left="640" w:hanging="321"/>
        <w:spacing w:after="0" w:line="289"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that our board of directors will be divided into three classes, as nearly equal in size as possible, with directors in each class serving three-year terms and with terms of the directors of only one class expiring in any given year;</w:t>
      </w:r>
    </w:p>
    <w:p>
      <w:pPr>
        <w:spacing w:after="0" w:line="73" w:lineRule="exact"/>
        <w:rPr>
          <w:rFonts w:ascii="Arial" w:cs="Arial" w:eastAsia="Arial" w:hAnsi="Arial"/>
          <w:sz w:val="17"/>
          <w:szCs w:val="17"/>
          <w:color w:val="auto"/>
        </w:rPr>
      </w:pPr>
    </w:p>
    <w:p>
      <w:pPr>
        <w:jc w:val="both"/>
        <w:ind w:left="640" w:hanging="321"/>
        <w:spacing w:after="0" w:line="293"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02" w:lineRule="exact"/>
        <w:rPr>
          <w:rFonts w:ascii="Arial" w:cs="Arial" w:eastAsia="Arial" w:hAnsi="Arial"/>
          <w:sz w:val="17"/>
          <w:szCs w:val="17"/>
          <w:color w:val="auto"/>
        </w:rPr>
      </w:pPr>
    </w:p>
    <w:p>
      <w:pPr>
        <w:jc w:val="both"/>
        <w:ind w:left="640" w:hanging="321"/>
        <w:spacing w:after="0" w:line="325" w:lineRule="auto"/>
        <w:tabs>
          <w:tab w:leader="none" w:pos="6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common stock;</w:t>
      </w:r>
    </w:p>
    <w:p>
      <w:pPr>
        <w:spacing w:after="0" w:line="85" w:lineRule="exact"/>
        <w:rPr>
          <w:rFonts w:ascii="Arial" w:cs="Arial" w:eastAsia="Arial" w:hAnsi="Arial"/>
          <w:sz w:val="15"/>
          <w:szCs w:val="15"/>
          <w:color w:val="auto"/>
        </w:rPr>
      </w:pPr>
    </w:p>
    <w:p>
      <w:pPr>
        <w:jc w:val="both"/>
        <w:ind w:left="640" w:hanging="321"/>
        <w:spacing w:after="0" w:line="273"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18" w:lineRule="exact"/>
        <w:rPr>
          <w:rFonts w:ascii="Arial" w:cs="Arial" w:eastAsia="Arial" w:hAnsi="Arial"/>
          <w:sz w:val="17"/>
          <w:szCs w:val="17"/>
          <w:color w:val="auto"/>
        </w:rPr>
      </w:pPr>
    </w:p>
    <w:p>
      <w:pPr>
        <w:ind w:left="640" w:hanging="32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for certain limitations on convening special stockholder meetings;</w:t>
      </w:r>
    </w:p>
    <w:p>
      <w:pPr>
        <w:spacing w:after="0" w:line="171"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2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40"/>
          </w:cols>
          <w:pgMar w:left="320" w:top="337" w:right="339" w:bottom="1440" w:gutter="0" w:footer="0" w:header="0"/>
        </w:sectPr>
      </w:pPr>
    </w:p>
    <w:bookmarkStart w:id="82" w:name="page83"/>
    <w:bookmarkEnd w:id="82"/>
    <w:p>
      <w:pPr>
        <w:ind w:left="640"/>
        <w:spacing w:after="0"/>
        <w:rPr>
          <w:sz w:val="20"/>
          <w:szCs w:val="20"/>
          <w:color w:val="auto"/>
        </w:rPr>
      </w:pPr>
      <w:r>
        <w:rPr>
          <w:rFonts w:ascii="Arial" w:cs="Arial" w:eastAsia="Arial" w:hAnsi="Arial"/>
          <w:sz w:val="17"/>
          <w:szCs w:val="17"/>
          <w:color w:val="auto"/>
        </w:rPr>
        <w:t>the total voting power of all then-outstanding shares of our capital stock entitled to vote generally in the election of directors; and</w:t>
      </w:r>
    </w:p>
    <w:p>
      <w:pPr>
        <w:spacing w:after="0" w:line="171" w:lineRule="exact"/>
        <w:rPr>
          <w:sz w:val="20"/>
          <w:szCs w:val="20"/>
          <w:color w:val="auto"/>
        </w:rPr>
      </w:pPr>
    </w:p>
    <w:p>
      <w:pPr>
        <w:ind w:left="640" w:hanging="321"/>
        <w:spacing w:after="0" w:line="289" w:lineRule="auto"/>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elections to our board of directors or for proposing matters that can be acted upon by stockholders at stockholder meetings.</w:t>
      </w:r>
    </w:p>
    <w:p>
      <w:pPr>
        <w:spacing w:after="0" w:line="10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19"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w:t>
      </w:r>
    </w:p>
    <w:p>
      <w:pPr>
        <w:jc w:val="both"/>
        <w:ind w:firstLine="5"/>
        <w:spacing w:after="0" w:line="258" w:lineRule="auto"/>
        <w:tabs>
          <w:tab w:leader="none" w:pos="287"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40"/>
          </w:cols>
          <w:pgMar w:left="320" w:top="33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This prospectus contains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“outlook,” “believes,” “expects,” “potential,” “continues,” “may,” “will,” “should,” “could,” “seeks,” “predicts,” “intends,” “trends,” “plans,” “estimates,” “anticipates,” or the negative version of these words or other comparable words.</w:t>
      </w:r>
    </w:p>
    <w:p>
      <w:pPr>
        <w:spacing w:after="0" w:line="116" w:lineRule="exact"/>
        <w:rPr>
          <w:sz w:val="20"/>
          <w:szCs w:val="20"/>
          <w:color w:val="auto"/>
        </w:rPr>
      </w:pPr>
    </w:p>
    <w:p>
      <w:pPr>
        <w:jc w:val="both"/>
        <w:ind w:firstLine="314"/>
        <w:spacing w:after="0" w:line="314" w:lineRule="auto"/>
        <w:rPr>
          <w:sz w:val="20"/>
          <w:szCs w:val="20"/>
          <w:color w:val="auto"/>
        </w:rPr>
      </w:pPr>
      <w:r>
        <w:rPr>
          <w:rFonts w:ascii="Arial" w:cs="Arial" w:eastAsia="Arial" w:hAnsi="Arial"/>
          <w:sz w:val="15"/>
          <w:szCs w:val="15"/>
          <w:color w:val="auto"/>
        </w:rPr>
        <w:t>The forward-looking statements contained in this prospectus are based on management’s current expectations and are not guarantees of future performance. Our expectations, beliefs and projections are expressed in good faith and we believe there is a reasonable basis for them. However, there can be no assurance that management’s expectations, beliefs and projections will result or be achieved. Such forward-looking statements are subject to various risks, uncertainties, assumptions or changes in circumstances that are difficult to predict or quantify. Accordingly, there are or will be important factors including:</w:t>
      </w:r>
    </w:p>
    <w:p>
      <w:pPr>
        <w:spacing w:after="0" w:line="93" w:lineRule="exact"/>
        <w:rPr>
          <w:sz w:val="20"/>
          <w:szCs w:val="20"/>
          <w:color w:val="auto"/>
        </w:rPr>
      </w:pPr>
    </w:p>
    <w:p>
      <w:pPr>
        <w:ind w:left="640" w:hanging="321"/>
        <w:spacing w:after="0" w:line="289" w:lineRule="auto"/>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COVID-19 pandemic, including the global economic uncertainty and measures taken in response, could materially impact our business and future results of operations;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larger well-funded companies shifting their existing business models to become more competitive with us;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provide or adapt our platform for changes in laws and regulations or public perception, or changes in the enforcement of such laws, relating to data privacy;</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effects of companies more effectively catering to our customers by offering more tailored products or platforms at lower costs;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adverse general economic and market conditions reducing spending on sales and marketing;</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effects of declining demand for sales and marketing subscription platforms;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improve our technology and keep up with new processes for data collection, organization, and cleansing;</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provide a highly accurate, reliable, and comprehensive platform moving forward;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reliance on third-party systems that we do not control to integrate with our system and our potential inability to continue to support integration;</w:t>
      </w:r>
    </w:p>
    <w:p>
      <w:pPr>
        <w:spacing w:after="0" w:line="182" w:lineRule="exact"/>
        <w:rPr>
          <w:rFonts w:ascii="Arial" w:cs="Arial" w:eastAsia="Arial" w:hAnsi="Arial"/>
          <w:sz w:val="16"/>
          <w:szCs w:val="16"/>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attract new customers and expand existing subscriptions;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failure to protect and maintain our brand and our ability to attract and retain customers;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other factors described under “Risk Factors.”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240"/>
          </w:cols>
          <w:pgMar w:left="320" w:top="331" w:right="339" w:bottom="1440" w:gutter="0" w:footer="0" w:header="0"/>
        </w:sectPr>
      </w:pPr>
    </w:p>
    <w:bookmarkStart w:id="84" w:name="page85"/>
    <w:bookmarkEnd w:id="84"/>
    <w:p>
      <w:pPr>
        <w:jc w:val="both"/>
        <w:spacing w:after="0" w:line="273" w:lineRule="auto"/>
        <w:rPr>
          <w:sz w:val="20"/>
          <w:szCs w:val="20"/>
          <w:color w:val="auto"/>
        </w:rPr>
      </w:pPr>
      <w:r>
        <w:rPr>
          <w:rFonts w:ascii="Arial" w:cs="Arial" w:eastAsia="Arial" w:hAnsi="Arial"/>
          <w:sz w:val="17"/>
          <w:szCs w:val="17"/>
          <w:color w:val="auto"/>
        </w:rPr>
        <w:t>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19"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Any forward-looking statement made by us in this prospectus speaks only as of the date of this prospectus. We undertake no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337"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MARKET AND INDUSTRY DATA</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This prospectus includes market and industry data and forecasts that we have derived from independent consultant reports, publicly available information, various industry publications, other published industry sources, including S&amp;P Global Market Intelligence (“Capital IQ”), Salesforce Research (“Salesforce.com”), Global Industry Analysts (“Global Industry Analysts, Inc.”), Sirius Decisions (“SiriusDecisions”), and Forrester Research, Inc. (“Forrester”), and our internal data and estimates, including data generated utilizing our ZoomInfo platform. Independent consultant reports, industry publications, and other published industry sources generally indicate that the information contained therein was obtained from sources believed to be reliable.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source of certain statistical data, estimates, and forecasts contained in this prospectus are the following independent industry publications or reports:</w:t>
      </w:r>
    </w:p>
    <w:p>
      <w:pPr>
        <w:spacing w:after="0" w:line="183" w:lineRule="exact"/>
        <w:rPr>
          <w:sz w:val="20"/>
          <w:szCs w:val="20"/>
          <w:color w:val="auto"/>
        </w:rPr>
      </w:pPr>
    </w:p>
    <w:p>
      <w:pPr>
        <w:ind w:left="640" w:hanging="321"/>
        <w:spacing w:after="0" w:line="289" w:lineRule="auto"/>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B2B Sales and Marketing Intelligence Solutions Drive Improved Business Outcomes, a commissioned study conducted by Forrester Consulting on behalf of DiscoverOrg, August 2019;</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State of Sales, Salesforce Research, July 2018;</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S&amp;P Global Capital IQ database, ©2019: S&amp;P Global Market Intelligence;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Global Industry Analysts, Global Customer Relationship Management (CRM) Software Industry Report, October 2019;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Tracking the True Cost of Sales, Sirius Decisions, 2019.</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5"/>
          <w:szCs w:val="15"/>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Unless otherwise noted, all of our market share and market position information presented in this prospectus is an approximation. Our market share and market position in each of our lines of business, unless otherwise noted, is based on our sales relative to the estimated sales in the markets we served. References herein to our being a leader in a market or product category refer to our belief that we have a leading market share position in each specified market, unless the context otherwise requires. As there are no publicly available sources supporting this belief, it is based solely on our internal analysis of our sales as compared to our estimates of sales of our competitors. In addition, the discussion herein regarding our various end markets is based on how we define the end markets for our products, which products may be either part of larger overall end markets or end markets that include other types of products and services.</w:t>
      </w:r>
    </w:p>
    <w:p>
      <w:pPr>
        <w:spacing w:after="0" w:line="10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internal data and estimates are based upon information obtained from trade and business organizations and other contacts in the markets in which we operate and our management’s understanding of industry conditions. Although we believe that such information is reliable, we have not had this information verified by any independent sources.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240"/>
          </w:cols>
          <w:pgMar w:left="320" w:top="331" w:right="339" w:bottom="1440" w:gutter="0" w:footer="0" w:header="0"/>
        </w:sectPr>
      </w:pPr>
    </w:p>
    <w:bookmarkStart w:id="86" w:name="page87"/>
    <w:bookmarkEnd w:id="86"/>
    <w:p>
      <w:pPr>
        <w:ind w:left="4240"/>
        <w:spacing w:after="0"/>
        <w:rPr>
          <w:sz w:val="20"/>
          <w:szCs w:val="20"/>
          <w:color w:val="auto"/>
        </w:rPr>
      </w:pPr>
      <w:r>
        <w:rPr>
          <w:rFonts w:ascii="Arial" w:cs="Arial" w:eastAsia="Arial" w:hAnsi="Arial"/>
          <w:sz w:val="17"/>
          <w:szCs w:val="17"/>
          <w:b w:val="1"/>
          <w:bCs w:val="1"/>
          <w:color w:val="auto"/>
        </w:rPr>
        <w:t>ORGANIZATIONAL STRUCTURE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 Prior to this Offering and the Transactions</w:t>
      </w:r>
    </w:p>
    <w:p>
      <w:pPr>
        <w:spacing w:after="0" w:line="177"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The diagram below depicts our current organizational structure.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74930</wp:posOffset>
            </wp:positionV>
            <wp:extent cx="1597025" cy="3177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97025" cy="317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 w:lineRule="exact"/>
        <w:rPr>
          <w:sz w:val="20"/>
          <w:szCs w:val="20"/>
          <w:color w:val="auto"/>
        </w:rPr>
      </w:pPr>
    </w:p>
    <w:p>
      <w:pPr>
        <w:ind w:left="320" w:hanging="315"/>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our secured credit facilities. See “Description of Certain Indebtedness.”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Organizational Structure Following this Offering and the Transactions</w:t>
      </w:r>
    </w:p>
    <w:p>
      <w:pPr>
        <w:spacing w:after="0" w:line="17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of ZoomInfo OpCo through ZoomInfo HoldCo and, through ZoomInfo OpCo and its subsidiaries, conduct our business. 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income.</w:t>
      </w:r>
    </w:p>
    <w:p>
      <w:pPr>
        <w:spacing w:after="0" w:line="11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Pre-IPO OpCo Unitholders and the Pre-IPO HoldCo Unitholders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will hold all of the issued and outstanding shares of our Class C common stock. The shares of Class C common stock will have the same economic rights as shares of Class A common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240"/>
          </w:cols>
          <w:pgMar w:left="320" w:top="331" w:right="339" w:bottom="1440" w:gutter="0" w:footer="0" w:header="0"/>
        </w:sectPr>
      </w:pPr>
    </w:p>
    <w:bookmarkStart w:id="87" w:name="page88"/>
    <w:bookmarkEnd w:id="87"/>
    <w:p>
      <w:pPr>
        <w:jc w:val="both"/>
        <w:spacing w:after="0" w:line="267" w:lineRule="auto"/>
        <w:rPr>
          <w:sz w:val="20"/>
          <w:szCs w:val="20"/>
          <w:color w:val="auto"/>
        </w:rPr>
      </w:pPr>
      <w:r>
        <w:rPr>
          <w:rFonts w:ascii="Arial" w:cs="Arial" w:eastAsia="Arial" w:hAnsi="Arial"/>
          <w:sz w:val="17"/>
          <w:szCs w:val="17"/>
          <w:color w:val="auto"/>
        </w:rPr>
        <w:t>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26"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The voting power afforded to Pre-IPO OpCo Unitholders and Pre-IPO HoldCo Unitholders, as applicable, by their shares of Class B common stock is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Person Transactions—ZoomInfo OpCo Amended and Restated Limited Liability Company Agreement,” “Certain Relationships and Related Person Transactions—ZoomInfo HoldCo Amended and Restated Limited Liability Company Agreement” and “Description of Capital Stock.” Holders of outstanding shares of our Class A common stock, Class B common stock, and Class C common stock will vote as a single class on all matters on which stockholders are entitled to vote generally, except as otherwise required by law.</w:t>
      </w:r>
    </w:p>
    <w:p>
      <w:pPr>
        <w:spacing w:after="0" w:line="117"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Our post-offering organizational structure is commonly referred to as an UP-C structure. This organizational structure will allow our Pre-IPO OpCo Unitholders to retain their equity ownership in ZoomInfo OpCo, an entity that is classified as a partnership for U.S. federal income tax purposes, in the form of OpCo Units. Investors in this offering and the Pre-IPO Blocker Holders will, by contrast, hold their equity ownership in ZoomInfo Technologies Inc., a Delaware corporation that is a domestic corporation for U.S. federal income tax purposes, in the form of shares of Class A or Class C common stock. Pre-IPO HoldCo Unitholders will hold their equity ownership in ZoomInfo HoldCo, an entity classified as a corporation for U.S. federal income tax purposes, in the form of HoldCo Units. We believe that our Pre-IPO OpCo Unitholders will generally find it advantageous to continue to hold their equity interests in an entity that is not taxable as a corporation for U.S. federal income tax purposes. One of these benefits is that future taxable income of ZoomInfo OpCo that is allocated to our Pre-IPO OpCo Unitholders will be taxed on a flow-through basis and therefore will not be subject to corporate taxes at the entity level. Additionally, because our Pre-IPO OpCo Unitholders and Pre-IPO HoldCo Unitholders may exchange their OpCo Units or HoldCo Units, respectively, for shares of our Class A common stock, our UP-C structure provides our Pre-IPO OpCo Unitholders and Pre-IPO HoldCo Unitholders with potential liquidity that holders of non-publicly traded limited liability companies are not typically afforded. We do not believe that our UP-C structure will give rise to any significant business or strategic benefit or detriment to us.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240"/>
          </w:cols>
          <w:pgMar w:left="320" w:top="337" w:right="339" w:bottom="1440" w:gutter="0" w:footer="0" w:header="0"/>
        </w:sectPr>
      </w:pPr>
    </w:p>
    <w:bookmarkStart w:id="88" w:name="page89"/>
    <w:bookmarkEnd w:id="88"/>
    <w:p>
      <w:pPr>
        <w:jc w:val="both"/>
        <w:ind w:firstLine="314"/>
        <w:spacing w:after="0" w:line="265" w:lineRule="auto"/>
        <w:rPr>
          <w:sz w:val="20"/>
          <w:szCs w:val="20"/>
          <w:color w:val="auto"/>
        </w:rPr>
      </w:pPr>
      <w:r>
        <w:rPr>
          <w:rFonts w:ascii="Arial" w:cs="Arial" w:eastAsia="Arial" w:hAnsi="Arial"/>
          <w:sz w:val="17"/>
          <w:szCs w:val="17"/>
          <w:color w:val="auto"/>
        </w:rPr>
        <w:t>The diagram below depicts our organizational structure immediately following the consummation of the Offering Transactions and the Reorganization Transactions (assuming no exercise of the over-allotment option by the underwriters). For purposes of depicting ownership of voting power in ZoomInfo Technologies Inc., the below diagram takes into account shares of Class B common stock held by Pre-IPO OpCo Unitholders and Pre-IPO HoldCo Unitholders and shares of Class C common stock held by Pre-IPO Blocker Holders.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87630</wp:posOffset>
            </wp:positionV>
            <wp:extent cx="5181600" cy="5223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81600" cy="522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w:t>
      </w:r>
    </w:p>
    <w:p>
      <w:pPr>
        <w:spacing w:after="0" w:line="20" w:lineRule="exact"/>
        <w:rPr>
          <w:sz w:val="20"/>
          <w:szCs w:val="20"/>
          <w:color w:val="auto"/>
        </w:rPr>
      </w:pPr>
    </w:p>
    <w:p>
      <w:pPr>
        <w:jc w:val="both"/>
        <w:ind w:left="320" w:hanging="315"/>
        <w:spacing w:after="0" w:line="259" w:lineRule="auto"/>
        <w:tabs>
          <w:tab w:leader="none" w:pos="320" w:val="left"/>
        </w:tabs>
        <w:numPr>
          <w:ilvl w:val="0"/>
          <w:numId w:val="64"/>
        </w:numPr>
        <w:rPr>
          <w:rFonts w:ascii="Arial" w:cs="Arial" w:eastAsia="Arial" w:hAnsi="Arial"/>
          <w:sz w:val="13"/>
          <w:szCs w:val="13"/>
          <w:color w:val="auto"/>
        </w:rPr>
      </w:pPr>
      <w:r>
        <w:rPr>
          <w:rFonts w:ascii="Arial" w:cs="Arial" w:eastAsia="Arial" w:hAnsi="Arial"/>
          <w:sz w:val="13"/>
          <w:szCs w:val="13"/>
          <w:color w:val="auto"/>
        </w:rPr>
        <w:t>Each share of Class B common stock will provide the holder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Immediately following this offering, the Pre-IPO OpCo Unitholders and the Pre-IPO HoldCo Unitholders will hold 234,932,785 and 4,231,310 shares of our Class B common stock, respectively, collectively representing 100% of our outstanding Class B common stock, and will collectively hold 70.0% of the voting power in ZoomInfo Technologies Inc. For additional information, see “Description of Capital Stock—Common Stock—Class B Common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240"/>
          </w:cols>
          <w:pgMar w:left="320" w:top="337" w:right="339" w:bottom="1440" w:gutter="0" w:footer="0" w:header="0"/>
        </w:sectPr>
      </w:pPr>
    </w:p>
    <w:bookmarkStart w:id="89" w:name="page90"/>
    <w:bookmarkEnd w:id="89"/>
    <w:p>
      <w:pPr>
        <w:jc w:val="both"/>
        <w:ind w:left="320" w:hanging="315"/>
        <w:spacing w:after="0" w:line="256" w:lineRule="auto"/>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Each share of Class C common stock will provide the holder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Immediately following this offering, the Pre-IPO Blocker Holders will hold 98,106,387 shares of our Class C common stock, representing 100% of our Class C common stock, and will collectively hold 28.7% of the voting power in ZoomInfo Technologies Inc. For additional information, see “Description of Capital Stock—Common Stock—Class C Common Stock.”</w:t>
      </w:r>
    </w:p>
    <w:p>
      <w:pPr>
        <w:jc w:val="both"/>
        <w:ind w:left="320" w:hanging="315"/>
        <w:spacing w:after="0" w:line="252" w:lineRule="auto"/>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At the time of this offering, 10,657,948 shares of Class A common stock would be issuable upon the exchange of 14,471,631 Class P Units (assuming such Class P Units are fully vested) that are held by the Continuing Class P Unitholders. For additional information, see “—Reclassification and Amendment and Restatement of Limited Liability Company Agreement of ZoomInfo OpCo” and “Certain Relationships and Related Person Transactions—ZoomInfo OpCo Amended and Restated Limited Liability Company Agreement.”</w:t>
      </w:r>
    </w:p>
    <w:p>
      <w:pPr>
        <w:ind w:left="320" w:hanging="315"/>
        <w:spacing w:after="0"/>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ZoomInfo LLC (formerly known as DiscoverOrg, LLC) serves as the borrower under the secured credit facilities. See “Description of Certain Indebtedness.”</w:t>
      </w:r>
    </w:p>
    <w:p>
      <w:pPr>
        <w:spacing w:after="0" w:line="14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following presents the outstanding common stock, OpCo Units and HoldCo Units (i) on an actual basis, excluding the conversion of 14,471,631 Class P Units held by the Continuing Class P Unitholders, which are convertible for 10,657,948 shares of Class A common stock upon vesting, and (ii) on a diluted basis, assuming the conversion of such Class P Units, upon completion of the Reorganization Transactions and the Offering Transactions (assuming no exercise of the over-allotment option by the underwriters):</w:t>
      </w:r>
    </w:p>
    <w:p>
      <w:pPr>
        <w:sectPr>
          <w:pgSz w:w="11900" w:h="16838" w:orient="portrait"/>
          <w:cols w:equalWidth="0" w:num="1">
            <w:col w:w="11240"/>
          </w:cols>
          <w:pgMar w:left="320" w:top="3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Public Stockholders</w:t>
      </w:r>
      <w:r>
        <w:rPr>
          <w:rFonts w:ascii="Arial" w:cs="Arial" w:eastAsia="Arial" w:hAnsi="Arial"/>
          <w:sz w:val="8"/>
          <w:szCs w:val="8"/>
          <w:color w:val="auto"/>
        </w:rPr>
        <w:t>(1)</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Pre-IPO OpCo Unitholders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Pre-IPO HoldCo Unitholders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Pre-IPO Blocker Holders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ZoomInfo Technologies Inc.</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ZoomInfo HoldCo</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outstanding</w:t>
      </w:r>
    </w:p>
    <w:p>
      <w:pPr>
        <w:spacing w:after="0" w:line="35" w:lineRule="exact"/>
        <w:rPr>
          <w:sz w:val="20"/>
          <w:szCs w:val="20"/>
          <w:color w:val="auto"/>
        </w:rPr>
      </w:pPr>
    </w:p>
    <w:p>
      <w:pPr>
        <w:ind w:left="420" w:hanging="156"/>
        <w:spacing w:after="0" w:line="280" w:lineRule="auto"/>
        <w:rPr>
          <w:sz w:val="20"/>
          <w:szCs w:val="20"/>
          <w:color w:val="auto"/>
        </w:rPr>
      </w:pPr>
      <w:r>
        <w:rPr>
          <w:rFonts w:ascii="Arial" w:cs="Arial" w:eastAsia="Arial" w:hAnsi="Arial"/>
          <w:sz w:val="12"/>
          <w:szCs w:val="12"/>
          <w:color w:val="auto"/>
        </w:rPr>
        <w:t>Total, after giving effect to the conversion of Class P Units held by Continuing Class P Unitholders</w:t>
      </w:r>
      <w:r>
        <w:rPr>
          <w:rFonts w:ascii="Arial" w:cs="Arial" w:eastAsia="Arial" w:hAnsi="Arial"/>
          <w:sz w:val="7"/>
          <w:szCs w:val="7"/>
          <w:color w:val="auto"/>
        </w:rPr>
        <w:t>(2)</w:t>
      </w:r>
    </w:p>
    <w:p>
      <w:pPr>
        <w:spacing w:after="0" w:line="2" w:lineRule="exact"/>
        <w:rPr>
          <w:sz w:val="20"/>
          <w:szCs w:val="20"/>
          <w:color w:val="auto"/>
        </w:rPr>
      </w:pPr>
    </w:p>
    <w:p>
      <w:pPr>
        <w:jc w:val="both"/>
        <w:ind w:left="420" w:right="40" w:hanging="156"/>
        <w:spacing w:after="0" w:line="227" w:lineRule="auto"/>
        <w:rPr>
          <w:sz w:val="20"/>
          <w:szCs w:val="20"/>
          <w:color w:val="auto"/>
        </w:rPr>
      </w:pPr>
      <w:r>
        <w:rPr>
          <w:rFonts w:ascii="Arial" w:cs="Arial" w:eastAsia="Arial" w:hAnsi="Arial"/>
          <w:sz w:val="14"/>
          <w:szCs w:val="14"/>
          <w:color w:val="auto"/>
        </w:rPr>
        <w:t>Total, after giving further effect to the vesting of employee equity grants under our 2020 Omnibus Incentive Plan</w:t>
      </w:r>
      <w:r>
        <w:rPr>
          <w:rFonts w:ascii="Arial" w:cs="Arial" w:eastAsia="Arial" w:hAnsi="Arial"/>
          <w:sz w:val="8"/>
          <w:szCs w:val="8"/>
          <w:color w:val="auto"/>
        </w:rPr>
        <w:t>(3)</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Common Stock</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146"/>
        </w:trPr>
        <w:tc>
          <w:tcPr>
            <w:tcW w:w="148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9"/>
              </w:rPr>
              <w:t>Class A Common</w:t>
            </w:r>
          </w:p>
        </w:tc>
        <w:tc>
          <w:tcPr>
            <w:tcW w:w="148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9"/>
              </w:rPr>
              <w:t>Class B Common</w:t>
            </w:r>
          </w:p>
        </w:tc>
        <w:tc>
          <w:tcPr>
            <w:tcW w:w="14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89"/>
              </w:rPr>
              <w:t>Class C Common</w:t>
            </w:r>
          </w:p>
        </w:tc>
        <w:tc>
          <w:tcPr>
            <w:tcW w:w="14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124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HoldCo Units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230"/>
              <w:spacing w:after="0"/>
              <w:rPr>
                <w:sz w:val="20"/>
                <w:szCs w:val="20"/>
                <w:color w:val="auto"/>
              </w:rPr>
            </w:pPr>
            <w:r>
              <w:rPr>
                <w:rFonts w:ascii="Arial" w:cs="Arial" w:eastAsia="Arial" w:hAnsi="Arial"/>
                <w:sz w:val="14"/>
                <w:szCs w:val="14"/>
                <w:b w:val="1"/>
                <w:bCs w:val="1"/>
                <w:color w:val="auto"/>
              </w:rPr>
              <w:t>OpCo Units</w:t>
            </w:r>
          </w:p>
        </w:tc>
        <w:tc>
          <w:tcPr>
            <w:tcW w:w="0" w:type="dxa"/>
            <w:vAlign w:val="bottom"/>
          </w:tcPr>
          <w:p>
            <w:pPr>
              <w:spacing w:after="0"/>
              <w:rPr>
                <w:sz w:val="1"/>
                <w:szCs w:val="1"/>
                <w:color w:val="auto"/>
              </w:rPr>
            </w:pPr>
          </w:p>
        </w:tc>
      </w:tr>
      <w:tr>
        <w:trPr>
          <w:trHeight w:val="188"/>
        </w:trPr>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Stock</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Stock</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144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45,378,984</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45,378,984</w:t>
            </w: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234,932,785</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234,932,785</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4"/>
                <w:szCs w:val="14"/>
                <w:color w:val="auto"/>
              </w:rPr>
              <w:t>234,932,785</w:t>
            </w: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4,231,310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4,231,310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4,231,310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143,485,371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147,716,681</w:t>
            </w:r>
          </w:p>
        </w:tc>
        <w:tc>
          <w:tcPr>
            <w:tcW w:w="0" w:type="dxa"/>
            <w:vAlign w:val="bottom"/>
          </w:tcPr>
          <w:p>
            <w:pPr>
              <w:spacing w:after="0"/>
              <w:rPr>
                <w:sz w:val="1"/>
                <w:szCs w:val="1"/>
                <w:color w:val="auto"/>
              </w:rPr>
            </w:pPr>
          </w:p>
        </w:tc>
      </w:tr>
      <w:tr>
        <w:trPr>
          <w:trHeight w:val="229"/>
        </w:trPr>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45,378,984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239,164,095</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382,649,466</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147,716,681</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382,649,466</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56,036,932</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239,164,095</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393,307,414</w:t>
            </w:r>
          </w:p>
        </w:tc>
        <w:tc>
          <w:tcPr>
            <w:tcW w:w="1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158,374,629</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393,307,414</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1360" w:type="dxa"/>
            <w:vAlign w:val="bottom"/>
          </w:tcPr>
          <w:p>
            <w:pPr>
              <w:jc w:val="right"/>
              <w:ind w:right="50"/>
              <w:spacing w:after="0"/>
              <w:rPr>
                <w:sz w:val="20"/>
                <w:szCs w:val="20"/>
                <w:color w:val="auto"/>
              </w:rPr>
            </w:pPr>
            <w:r>
              <w:rPr>
                <w:rFonts w:ascii="Arial" w:cs="Arial" w:eastAsia="Arial" w:hAnsi="Arial"/>
                <w:sz w:val="14"/>
                <w:szCs w:val="14"/>
                <w:color w:val="auto"/>
              </w:rPr>
              <w:t>56,597,992</w:t>
            </w:r>
          </w:p>
        </w:tc>
        <w:tc>
          <w:tcPr>
            <w:tcW w:w="12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239,164,095</w:t>
            </w:r>
          </w:p>
        </w:tc>
        <w:tc>
          <w:tcPr>
            <w:tcW w:w="120" w:type="dxa"/>
            <w:vAlign w:val="bottom"/>
          </w:tcPr>
          <w:p>
            <w:pPr>
              <w:spacing w:after="0"/>
              <w:rPr>
                <w:sz w:val="24"/>
                <w:szCs w:val="24"/>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98,106,387</w:t>
            </w:r>
          </w:p>
        </w:tc>
        <w:tc>
          <w:tcPr>
            <w:tcW w:w="100" w:type="dxa"/>
            <w:vAlign w:val="bottom"/>
          </w:tcPr>
          <w:p>
            <w:pPr>
              <w:spacing w:after="0"/>
              <w:rPr>
                <w:sz w:val="24"/>
                <w:szCs w:val="24"/>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393,868,474</w:t>
            </w: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158,935,689</w:t>
            </w:r>
          </w:p>
        </w:tc>
        <w:tc>
          <w:tcPr>
            <w:tcW w:w="1540" w:type="dxa"/>
            <w:vAlign w:val="bottom"/>
            <w:gridSpan w:val="3"/>
          </w:tcPr>
          <w:p>
            <w:pPr>
              <w:jc w:val="right"/>
              <w:ind w:right="30"/>
              <w:spacing w:after="0"/>
              <w:rPr>
                <w:sz w:val="20"/>
                <w:szCs w:val="20"/>
                <w:color w:val="auto"/>
              </w:rPr>
            </w:pPr>
            <w:r>
              <w:rPr>
                <w:rFonts w:ascii="Arial" w:cs="Arial" w:eastAsia="Arial" w:hAnsi="Arial"/>
                <w:sz w:val="14"/>
                <w:szCs w:val="14"/>
                <w:color w:val="auto"/>
              </w:rPr>
              <w:t>393,868,474</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-1887220</wp:posOffset>
            </wp:positionV>
            <wp:extent cx="7136130" cy="166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6637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-1554480</wp:posOffset>
            </wp:positionV>
            <wp:extent cx="7136130" cy="166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6637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-1221740</wp:posOffset>
            </wp:positionV>
            <wp:extent cx="7136130" cy="166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6637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-889635</wp:posOffset>
            </wp:positionV>
            <wp:extent cx="7136130" cy="166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6370"/>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-415290</wp:posOffset>
            </wp:positionV>
            <wp:extent cx="7136130" cy="399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39941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2420" w:space="180"/>
            <w:col w:w="8640"/>
          </w:cols>
          <w:pgMar w:left="320" w:top="330" w:right="339" w:bottom="1440" w:gutter="0" w:footer="0" w:header="0"/>
          <w:type w:val="continuous"/>
        </w:sectPr>
      </w:pPr>
    </w:p>
    <w:p>
      <w:pPr>
        <w:ind w:left="320" w:hanging="315"/>
        <w:spacing w:after="0"/>
        <w:tabs>
          <w:tab w:leader="none" w:pos="3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Includes 878,984 shares of Class A common stock issued to former employees of ZoomInfo OpCo in exchange for vested direct and indirect interests in ZoomInfo OpCo held prior to the offering.</w:t>
      </w:r>
    </w:p>
    <w:p>
      <w:pPr>
        <w:spacing w:after="0" w:line="19" w:lineRule="exact"/>
        <w:rPr>
          <w:rFonts w:ascii="Arial" w:cs="Arial" w:eastAsia="Arial" w:hAnsi="Arial"/>
          <w:sz w:val="12"/>
          <w:szCs w:val="12"/>
          <w:color w:val="auto"/>
        </w:rPr>
      </w:pPr>
    </w:p>
    <w:p>
      <w:pPr>
        <w:ind w:left="320" w:hanging="315"/>
        <w:spacing w:after="0" w:line="234" w:lineRule="auto"/>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connection with the conversion of any Class P Unit for a share of Class A common stock, one OpCo Unit will be issued to ZoomInfo HoldCo and one HoldCo Unit will be issued to ZoomInfo Technologies Inc.</w:t>
      </w:r>
    </w:p>
    <w:p>
      <w:pPr>
        <w:jc w:val="both"/>
        <w:ind w:left="320" w:hanging="315"/>
        <w:spacing w:after="0" w:line="238" w:lineRule="auto"/>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Includes 513,440 restricted stock units and 47,620 LTIP Units to be granted in connection with this offering under the 2020 Omnibus Incentive Plan. In addition, 577,879 stock options, which we refer to as “leverage restoration options,” and 630,000 Class P Units, in each case with a strike price of the public offering price per share of Class A common stock, are expected to be granted in connection with the offering under the 2020 Omnibus Incentive Plan.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240"/>
          </w:cols>
          <w:pgMar w:left="320" w:top="330" w:right="339" w:bottom="1440" w:gutter="0" w:footer="0" w:header="0"/>
          <w:type w:val="continuous"/>
        </w:sectPr>
      </w:pPr>
    </w:p>
    <w:bookmarkStart w:id="90" w:name="page91"/>
    <w:bookmarkEnd w:id="90"/>
    <w:p>
      <w:pPr>
        <w:jc w:val="both"/>
        <w:ind w:firstLine="314"/>
        <w:spacing w:after="0" w:line="297" w:lineRule="auto"/>
        <w:rPr>
          <w:sz w:val="20"/>
          <w:szCs w:val="20"/>
          <w:color w:val="auto"/>
        </w:rPr>
      </w:pPr>
      <w:r>
        <w:rPr>
          <w:rFonts w:ascii="Arial" w:cs="Arial" w:eastAsia="Arial" w:hAnsi="Arial"/>
          <w:sz w:val="16"/>
          <w:szCs w:val="16"/>
          <w:color w:val="auto"/>
        </w:rPr>
        <w:t>The following presents the economic interests and combined voting power in ZoomInfo Technologies Inc. held by the Sponsors, the Founders, management and others, and public stockholders (which does not reflect the exchange of any Class P Unit for a share of Class A common stock), upon completion of the Reorganization Transactions and the Offering Transactions (assuming no exercise of the over-allotment option by the underwriters):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400" w:type="dxa"/>
            <w:vAlign w:val="bottom"/>
            <w:gridSpan w:val="3"/>
          </w:tcPr>
          <w:p>
            <w:pPr>
              <w:jc w:val="center"/>
              <w:ind w:left="1039"/>
              <w:spacing w:after="0"/>
              <w:rPr>
                <w:sz w:val="20"/>
                <w:szCs w:val="20"/>
                <w:color w:val="auto"/>
              </w:rPr>
            </w:pPr>
            <w:r>
              <w:rPr>
                <w:rFonts w:ascii="Arial" w:cs="Arial" w:eastAsia="Arial" w:hAnsi="Arial"/>
                <w:sz w:val="14"/>
                <w:szCs w:val="14"/>
                <w:b w:val="1"/>
                <w:bCs w:val="1"/>
                <w:color w:val="auto"/>
                <w:w w:val="89"/>
              </w:rPr>
              <w:t>Common Stock</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3"/>
            <w:vMerge w:val="restart"/>
          </w:tcPr>
          <w:p>
            <w:pPr>
              <w:ind w:left="1320"/>
              <w:spacing w:after="0"/>
              <w:rPr>
                <w:sz w:val="20"/>
                <w:szCs w:val="20"/>
                <w:color w:val="auto"/>
              </w:rPr>
            </w:pPr>
            <w:r>
              <w:rPr>
                <w:rFonts w:ascii="Arial" w:cs="Arial" w:eastAsia="Arial" w:hAnsi="Arial"/>
                <w:sz w:val="14"/>
                <w:szCs w:val="14"/>
                <w:b w:val="1"/>
                <w:bCs w:val="1"/>
                <w:color w:val="auto"/>
              </w:rPr>
              <w:t>Voting Power</w:t>
            </w:r>
            <w:r>
              <w:rPr>
                <w:rFonts w:ascii="Arial" w:cs="Arial" w:eastAsia="Arial" w:hAnsi="Arial"/>
                <w:sz w:val="8"/>
                <w:szCs w:val="8"/>
                <w:b w:val="1"/>
                <w:bCs w:val="1"/>
                <w:color w:val="auto"/>
              </w:rPr>
              <w:t>(2)</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1059"/>
              <w:spacing w:after="0"/>
              <w:rPr>
                <w:sz w:val="20"/>
                <w:szCs w:val="20"/>
                <w:color w:val="auto"/>
              </w:rPr>
            </w:pPr>
            <w:r>
              <w:rPr>
                <w:rFonts w:ascii="Arial" w:cs="Arial" w:eastAsia="Arial" w:hAnsi="Arial"/>
                <w:sz w:val="14"/>
                <w:szCs w:val="14"/>
                <w:b w:val="1"/>
                <w:bCs w:val="1"/>
                <w:color w:val="auto"/>
                <w:w w:val="95"/>
              </w:rPr>
              <w:t>Owned</w:t>
            </w:r>
            <w:r>
              <w:rPr>
                <w:rFonts w:ascii="Arial" w:cs="Arial" w:eastAsia="Arial" w:hAnsi="Arial"/>
                <w:sz w:val="8"/>
                <w:szCs w:val="8"/>
                <w:b w:val="1"/>
                <w:bCs w:val="1"/>
                <w:color w:val="auto"/>
                <w:w w:val="95"/>
              </w:rPr>
              <w:t>(1)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Borders>
              <w:bottom w:val="single" w:sz="8" w:color="auto"/>
            </w:tcBorders>
            <w:gridSpan w:val="3"/>
            <w:vMerge w:val="continue"/>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100" w:type="dxa"/>
            <w:vAlign w:val="bottom"/>
          </w:tcPr>
          <w:p>
            <w:pPr>
              <w:spacing w:after="0"/>
              <w:rPr>
                <w:sz w:val="22"/>
                <w:szCs w:val="22"/>
                <w:color w:val="auto"/>
              </w:rPr>
            </w:pPr>
          </w:p>
        </w:tc>
        <w:tc>
          <w:tcPr>
            <w:tcW w:w="2400" w:type="dxa"/>
            <w:vAlign w:val="bottom"/>
            <w:gridSpan w:val="3"/>
          </w:tcPr>
          <w:p>
            <w:pPr>
              <w:ind w:left="620"/>
              <w:spacing w:after="0"/>
              <w:rPr>
                <w:sz w:val="20"/>
                <w:szCs w:val="20"/>
                <w:color w:val="auto"/>
              </w:rPr>
            </w:pPr>
            <w:r>
              <w:rPr>
                <w:rFonts w:ascii="Arial" w:cs="Arial" w:eastAsia="Arial" w:hAnsi="Arial"/>
                <w:sz w:val="14"/>
                <w:szCs w:val="14"/>
                <w:b w:val="1"/>
                <w:bCs w:val="1"/>
                <w:color w:val="auto"/>
              </w:rPr>
              <w:t>Shares</w:t>
            </w:r>
          </w:p>
        </w:tc>
        <w:tc>
          <w:tcPr>
            <w:tcW w:w="1120" w:type="dxa"/>
            <w:vAlign w:val="bottom"/>
          </w:tcPr>
          <w:p>
            <w:pPr>
              <w:jc w:val="right"/>
              <w:ind w:right="71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400" w:type="dxa"/>
            <w:vAlign w:val="bottom"/>
            <w:gridSpan w:val="3"/>
          </w:tcPr>
          <w:p>
            <w:pPr>
              <w:ind w:left="680"/>
              <w:spacing w:after="0"/>
              <w:rPr>
                <w:sz w:val="20"/>
                <w:szCs w:val="20"/>
                <w:color w:val="auto"/>
              </w:rPr>
            </w:pPr>
            <w:r>
              <w:rPr>
                <w:rFonts w:ascii="Arial" w:cs="Arial" w:eastAsia="Arial" w:hAnsi="Arial"/>
                <w:sz w:val="14"/>
                <w:szCs w:val="14"/>
                <w:b w:val="1"/>
                <w:bCs w:val="1"/>
                <w:color w:val="auto"/>
              </w:rPr>
              <w:t>Votes</w:t>
            </w:r>
          </w:p>
        </w:tc>
        <w:tc>
          <w:tcPr>
            <w:tcW w:w="1120" w:type="dxa"/>
            <w:vAlign w:val="bottom"/>
          </w:tcPr>
          <w:p>
            <w:pPr>
              <w:jc w:val="right"/>
              <w:ind w:right="71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0"/>
        </w:trPr>
        <w:tc>
          <w:tcPr>
            <w:tcW w:w="4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Sponsors</w:t>
            </w:r>
          </w:p>
        </w:tc>
        <w:tc>
          <w:tcPr>
            <w:tcW w:w="1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251,207,121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2,512,071,210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62"/>
        </w:trPr>
        <w:tc>
          <w:tcPr>
            <w:tcW w:w="4100" w:type="dxa"/>
            <w:vAlign w:val="bottom"/>
          </w:tcPr>
          <w:p>
            <w:pPr>
              <w:ind w:left="40"/>
              <w:spacing w:after="0" w:line="262" w:lineRule="exact"/>
              <w:rPr>
                <w:sz w:val="20"/>
                <w:szCs w:val="20"/>
                <w:color w:val="auto"/>
              </w:rPr>
            </w:pPr>
            <w:r>
              <w:rPr>
                <w:rFonts w:ascii="Arial" w:cs="Arial" w:eastAsia="Arial" w:hAnsi="Arial"/>
                <w:sz w:val="17"/>
                <w:szCs w:val="17"/>
                <w:color w:val="auto"/>
              </w:rPr>
              <w:t>Founders</w:t>
            </w:r>
            <w:r>
              <w:rPr>
                <w:rFonts w:ascii="Arial" w:cs="Arial" w:eastAsia="Arial" w:hAnsi="Arial"/>
                <w:sz w:val="24"/>
                <w:szCs w:val="24"/>
                <w:color w:val="auto"/>
                <w:vertAlign w:val="superscript"/>
              </w:rPr>
              <w:t>(3)</w:t>
            </w:r>
          </w:p>
        </w:tc>
        <w:tc>
          <w:tcPr>
            <w:tcW w:w="1660" w:type="dxa"/>
            <w:vAlign w:val="bottom"/>
          </w:tcPr>
          <w:p>
            <w:pPr>
              <w:jc w:val="right"/>
              <w:ind w:right="19"/>
              <w:spacing w:after="0"/>
              <w:rPr>
                <w:sz w:val="20"/>
                <w:szCs w:val="20"/>
                <w:color w:val="auto"/>
              </w:rPr>
            </w:pPr>
            <w:r>
              <w:rPr>
                <w:rFonts w:ascii="Arial" w:cs="Arial" w:eastAsia="Arial" w:hAnsi="Arial"/>
                <w:sz w:val="17"/>
                <w:szCs w:val="17"/>
                <w:color w:val="auto"/>
              </w:rPr>
              <w:t>66,011,392</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22"/>
                <w:szCs w:val="22"/>
                <w:color w:val="auto"/>
              </w:rPr>
            </w:pPr>
          </w:p>
        </w:tc>
        <w:tc>
          <w:tcPr>
            <w:tcW w:w="1680" w:type="dxa"/>
            <w:vAlign w:val="bottom"/>
          </w:tcPr>
          <w:p>
            <w:pPr>
              <w:jc w:val="right"/>
              <w:ind w:right="18"/>
              <w:spacing w:after="0"/>
              <w:rPr>
                <w:sz w:val="20"/>
                <w:szCs w:val="20"/>
                <w:color w:val="auto"/>
              </w:rPr>
            </w:pPr>
            <w:r>
              <w:rPr>
                <w:rFonts w:ascii="Arial" w:cs="Arial" w:eastAsia="Arial" w:hAnsi="Arial"/>
                <w:sz w:val="17"/>
                <w:szCs w:val="17"/>
                <w:color w:val="auto"/>
              </w:rPr>
              <w:t>660,113,920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42"/>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Management and Others</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20,051,969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200,519,690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62"/>
        </w:trPr>
        <w:tc>
          <w:tcPr>
            <w:tcW w:w="4100" w:type="dxa"/>
            <w:vAlign w:val="bottom"/>
            <w:tcBorders>
              <w:bottom w:val="single" w:sz="8" w:color="CCEEFF"/>
            </w:tcBorders>
          </w:tcPr>
          <w:p>
            <w:pPr>
              <w:ind w:left="40"/>
              <w:spacing w:after="0" w:line="262" w:lineRule="exact"/>
              <w:rPr>
                <w:sz w:val="20"/>
                <w:szCs w:val="20"/>
                <w:color w:val="auto"/>
              </w:rPr>
            </w:pPr>
            <w:r>
              <w:rPr>
                <w:rFonts w:ascii="Arial" w:cs="Arial" w:eastAsia="Arial" w:hAnsi="Arial"/>
                <w:sz w:val="17"/>
                <w:szCs w:val="17"/>
                <w:color w:val="auto"/>
              </w:rPr>
              <w:t>Public Stockholders</w:t>
            </w:r>
            <w:r>
              <w:rPr>
                <w:rFonts w:ascii="Arial" w:cs="Arial" w:eastAsia="Arial" w:hAnsi="Arial"/>
                <w:sz w:val="24"/>
                <w:szCs w:val="24"/>
                <w:color w:val="auto"/>
                <w:vertAlign w:val="superscript"/>
              </w:rPr>
              <w:t>(4)</w:t>
            </w: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45,378,984</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45,378,984</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382,649,466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3,418,083,804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100" w:type="dxa"/>
            <w:vAlign w:val="bottom"/>
            <w:vMerge w:val="continue"/>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20" w:hanging="315"/>
        <w:spacing w:after="0" w:line="234"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the sum of shares of our Class A common stock, Class B common stock, and Class C common stock, which represents direct and indirect economic ownership in us and our subsidiaries. Each share of our Class A common stock and Class C common stock has the same economic interest. Our Class B common stock does not have any economic rights, but each share of our Class B common stock will relate to one OpCo Unit or HoldCo Unit at the time of the closing of this offering.</w:t>
      </w:r>
    </w:p>
    <w:p>
      <w:pPr>
        <w:ind w:left="320" w:hanging="315"/>
        <w:spacing w:after="0" w:line="234"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beneficial ownership, reflects one vote per share of Class A common stock, ten votes per share of Class B common stock, and ten votes per share of Class C common stock. See “Principal Stockholders” for additional information.</w:t>
      </w:r>
    </w:p>
    <w:p>
      <w:pPr>
        <w:jc w:val="both"/>
        <w:ind w:left="320" w:hanging="315"/>
        <w:spacing w:after="0" w:line="234"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Reflects (i) Henry Schuck’s indirect economic interest in 7,363,514 OpCo Units and associated shares of Class B common stock held directly by HSKB Funds, LLC and 30,910,042 OpCo Units and associated shares of Class B common stock held directly by DO Holdings (WA), LLC; and (ii) Kirk Brown’s indirect economic interest in 27,737,836 OpCo Units and associated shares of Class B common stock held directly by DO Holdings (WA), LLC. Messrs. Schuck and Brown may be deemed to share voting and dispositive power over the securities held by DO Holdings (WA), LLC. Mr. Schuck may be deemed to control voting power over the securities held by HSKB Funds I, LLC and HSKB Funds II, LLC. See “Principal Stockholders” for additional information.</w:t>
      </w:r>
    </w:p>
    <w:p>
      <w:pPr>
        <w:spacing w:after="0" w:line="1" w:lineRule="exact"/>
        <w:rPr>
          <w:rFonts w:ascii="Arial" w:cs="Arial" w:eastAsia="Arial" w:hAnsi="Arial"/>
          <w:sz w:val="14"/>
          <w:szCs w:val="14"/>
          <w:color w:val="auto"/>
        </w:rPr>
      </w:pPr>
    </w:p>
    <w:p>
      <w:pPr>
        <w:ind w:left="320" w:hanging="315"/>
        <w:spacing w:after="0"/>
        <w:tabs>
          <w:tab w:leader="none" w:pos="3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Includes 878,984 shares of Class A common stock issued to former employees of ZoomInfo OpCo in exchange for vested direct and indirect interests in ZoomInfo OpCo held prior to the offering.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Incorporation of ZoomInfo Technologies Inc.</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ZoomInfo Technologies Inc. was incorporated as a Delaware corporation on November 14, 2019. ZoomInfo Technologies Inc. has not engaged in any business or other activities except in connection with its formation. The amended and restated certificate of incorporation of ZoomInfo Technologies Inc. authorizes three classes of common stock, Class A common stock, Class B common stock, and Class C common stock, each having the terms described in “Description of Capital Stock.”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Formation of ZoomInfo HoldCo</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ZoomInfo Technologies Inc. formed ZoomInfo HoldCo on February 25, 2020 as a new subsidiary and became the sole managing member of ZoomInfo HoldCo. Prior to the completion of this offering, ZoomInfo HoldCo will become the sole managing member of ZoomInfo OpCo and the management of ZoomInfo HoldCo will vest in its manager. Prior to the completion of this offering, certain pre-IPO owners will acquire interests in ZoomInfo HoldCo and ZoomInfo HoldCo will acquire OpCo Units previously held directly or indirectly by such pre-IPO owners pursuant to the Blocker Mergers described below and in connection with the redemption of certain OpCo Units.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Blocker Mergers</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Prior to the completion of this offering, ZoomInfo Technologies Inc. will form a new merger subsidiary with respect to each of the Blocker Companies, through which certain of our Pre-IPO Blocker Holders hold their interests in us, and each merger subsidiary will merge with and into the respective Blocker Companies in reverse subsidiary mergers, and the surviving entities will merge with and into ZoomInfo Technologies Inc. In the Blocker Mergers, the Pre-IPO Blocker Holders, as the 100% owners of the Blocker Companies, will receive (i) 98,106,387 shares of newly issued Class C common stock (which remains unchanged if the underwriters exercise in full their option to purchase additional shares of Class A common stock) and (ii) an aggregate cash amount equal to 275,269 shares of Class C common stock (which remains unchanged if the underwriters exercise in full their option to purchase additional shares of Class A common stock) multiplied by the public offering price per share of Class A common stock, less the underwriting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240"/>
          </w:cols>
          <w:pgMar w:left="320" w:top="337" w:right="339" w:bottom="1440" w:gutter="0" w:footer="0" w:header="0"/>
        </w:sectPr>
      </w:pPr>
    </w:p>
    <w:bookmarkStart w:id="91" w:name="page92"/>
    <w:bookmarkEnd w:id="91"/>
    <w:p>
      <w:pPr>
        <w:jc w:val="both"/>
        <w:spacing w:after="0" w:line="273" w:lineRule="auto"/>
        <w:rPr>
          <w:sz w:val="20"/>
          <w:szCs w:val="20"/>
          <w:color w:val="auto"/>
        </w:rPr>
      </w:pPr>
      <w:r>
        <w:rPr>
          <w:rFonts w:ascii="Arial" w:cs="Arial" w:eastAsia="Arial" w:hAnsi="Arial"/>
          <w:sz w:val="17"/>
          <w:szCs w:val="17"/>
          <w:color w:val="auto"/>
        </w:rPr>
        <w:t>discount, in respect of reductions in such Pre-IPO Blocker Holders’ equity interests, and ZoomInfo Technologies Inc. will acquire an equal number of outstanding OpCo Units from the Pre-IPO Blocker Holders. ZoomInfo Technologies Inc. will contribute the OpCo Units it receives in the Blocker Mergers to ZoomInfo HoldCo in exchange for a corresponding number of newly issued HoldCo Units.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 and Amendment and Restatement of Limited Liability Company Agreement of ZoomInfo OpCo</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capital structure of ZoomInfo OpCo currently consists of four different classes of limited partnership interests (Series A Preferred Units, Preferred, Common, and Class P). A portion of the proceeds from this offering will be used to redeem and cancel all outstanding Series A Preferred Units. Prior to the completion of this offering, the limited liability company agreement of ZoomInfo OpCo will be amended and restated to, among other things, modify its capital structure by reclassifying its outstanding preferred units and common units into a new class of units that we refer to as “OpCo Units.” Class P Units that are held by Continuing Class P Unitholders will remain as Class P Units. Additionally, ZoomInfo OpCo will effect a four-for-one reverse unit split. Immediately following the Reorganization Transactions but prior to the other Offering Transactions described below, there will be 340,795,683 OpCo Units issued and outstanding.</w:t>
      </w:r>
    </w:p>
    <w:p>
      <w:pPr>
        <w:spacing w:after="0" w:line="130"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will be converted into vested and unvested Employee Units. “Employee Units” refers to the portion of HoldCo Units into which certain Class P Units (including, without limitation, certain indirectly held Class P Units) will be converted in the Reorganization Transactions. The number of Employee Units delivered in respect of each Class P Unit will be determined based on the amount of proceeds that would be distributed to such Class P Unit if the Company were to be sold at a value derived from the initial public offering price, and the intrinsic value of the Employee Units issued in respect of each Class P Unit will have an intrinsic value equal to the hypothetical proceeds such Class P Unit would have received. In addition, we may grant options to purchase shares of Class A common stock under the 2020 Omnibus Incentive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The precise number of leverage restoration options we grant in respect of each Class P Unit will be based on the initial public offering price. The aggregate number of such options granted to holders of Class P Units whose interests are converted into Employee Units in the Reclassification would be 577,879. For additional information regarding the conversion of the Class P Units, see “Executive Compensation—Compensation Arrangements to be Adopted in Connection with this Offering—Conversion of Class P Units.”</w:t>
      </w:r>
    </w:p>
    <w:p>
      <w:pPr>
        <w:spacing w:after="0" w:line="12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Pursuant to the amended and restated limited liability company agreement of ZoomInfo OpCo, ZoomInfo HoldCo will be the sole managing member of ZoomInfo OpCo. Pursuant to the amended and restated limited liability company agreement of ZoomInfo Holdco, the management of ZoomInfo HoldCo will vest in its manager. Accordingly, ZoomInfo Technologies Inc., through ZoomInfo HoldCo, will have the right to determine when distributions will be made to the members of ZoomInfo OpCo and the amount of any such distributions. If ZoomInfo Technologies Inc., through ZoomInfo HoldCo, authorizes a distribution, such distribution will be made to the members of ZoomInfo OpCo pro rata in accordance with the percentages of their respective limited liability company interests.</w:t>
      </w:r>
    </w:p>
    <w:p>
      <w:pPr>
        <w:spacing w:after="0" w:line="129"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holders of OpCo Units in ZoomInfo OpCo, including ZoomInfo HoldCo, a member of the ZoomInfo Tax Group, will incur United States federal, state, and local income taxes on their allocable share of any taxable income of ZoomInfo OpCo. The amended and restated limited liability company agreement provides for cash distributions to the holders of limited liability company interests in ZoomInfo OpCo if the taxable income of ZoomInfo OpCo will give rise to taxable income for its members. In accordance with the amended and restated limited liability company agreement, we intend to cause ZoomInfo HoldCo to cause ZoomInfo OpCo to make pro rata (other than with respect to Class P Units) cash distributions to the holders of limited liability company interests in ZoomInfo OpCo for purposes of funding such holders’ tax obligations in respect of the income of ZoomInfo OpCo that is allocated to them. Generally, these tax distributions will be computed, other than with respect to Class P Units, based on an estimate of the taxable income of ZoomInfo OpCo allocated to the holder of OpCo Units that receives the greatest proportionate allocation of income multiplied by an assumed tax rate. Tax distributions with respect to Class P Units will be determined based on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assumed tax liability of such Continuing Class P Unitholder with respect to such Class P Units rather than on a pro rata basis.</w:t>
      </w:r>
    </w:p>
    <w:p>
      <w:pPr>
        <w:spacing w:after="0" w:line="171"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will have the right to exchange their vested Class P Units into a number of shares of Class A common stock that will generally be equal to (a) the product of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strike price) and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will also provide that a holder of OpCo Units will not have the right to exchange OpCo Units if ZoomInfo HoldCo reasonably determines that such exchange would be prohibited by law or regulation or would violate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(together with a corresponding number of shares of Class B common stock) for shares of Class A common stock, the number of HoldCo Units held by ZoomInfo Technologies Inc. in exchange for the exchanged OpCo Units is correspondingly increased as it acquires the exchanged OpCo Units. See “Certain Relationships and Related Person Transactions—ZoomInfo OpCo Amended and Restated Limited Liability Company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HoldCo Amended and Restated Limited Liability Company Agreement</w:t>
      </w:r>
    </w:p>
    <w:p>
      <w:pPr>
        <w:spacing w:after="0" w:line="177"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Prior to this offering, we will amend and restate the limited liability company agreement of ZoomInfo HoldCo under which the Pre-IPO HoldCo Unitholders (or certain of their permitted transferees) will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The amended and restated limited liability company agreement of ZoomInfo HoldCo will also provide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 See “Certain Relationships and Related Person Transactions—ZoomInfo HoldCo Amended and Restated Limited Liability Company Agreement.”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Transactions</w:t>
      </w:r>
    </w:p>
    <w:p>
      <w:pPr>
        <w:spacing w:after="0" w:line="17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At the time of the consummation of this offering, ZoomInfo Technologies Inc. intends to consummate the purchase, for cash, of newly issued HoldCo Units from ZoomInfo HoldCo at a purchase price per unit equal to the initial public offering price per share of Class A common stock in this offering net of the underwriting discount. ZoomInfo HoldCo will, in turn, consummate the purchase, for cash, of newly issued OpCo Units from ZoomInfo OpCo at a purchase price per unit equal to the initial public offering price per share of Class A common stock in this offering net of the underwriting discount. At the time of this offering, ZoomInfo HoldCo will purchase from ZoomInfo OpCo 41,853,783 newly issued OpCo Units for an aggregate of $833.9 million (or 48,528,783 newly issued OpCo Units for an aggregate of $966.9 million if the underwriters exercise in full their option to purchase additional shares of Class A common stock). The issuance and sale of such newly issued OpCo Units by ZoomInfo OpCo to ZoomInfo HoldCo will correspondingly dilute the ownership interests of our pre-IPO owners in ZoomInfo OpCo. See “Principal Stockholders” for more information regarding the proceeds from this offering that will be paid to our directors and named executive officers.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240"/>
          </w:cols>
          <w:pgMar w:left="320" w:top="337" w:right="339" w:bottom="1440" w:gutter="0" w:footer="0" w:header="0"/>
        </w:sectPr>
      </w:pPr>
    </w:p>
    <w:bookmarkStart w:id="93" w:name="page94"/>
    <w:bookmarkEnd w:id="93"/>
    <w:p>
      <w:pPr>
        <w:jc w:val="both"/>
        <w:spacing w:after="0" w:line="278" w:lineRule="auto"/>
        <w:rPr>
          <w:sz w:val="20"/>
          <w:szCs w:val="20"/>
          <w:color w:val="auto"/>
        </w:rPr>
      </w:pPr>
      <w:r>
        <w:rPr>
          <w:rFonts w:ascii="Arial" w:cs="Arial" w:eastAsia="Arial" w:hAnsi="Arial"/>
          <w:sz w:val="16"/>
          <w:szCs w:val="16"/>
          <w:color w:val="auto"/>
        </w:rPr>
        <w:t>In addition, ZoomInfo Technologies Inc. intends to use a portion of the net proceeds from this offering (including from any exercise by the underwriters of their option to purchase additional shares of Class A common stock) (i) to purchase newly issued HoldCo Units from ZoomInfo HoldCo, which in turn will purchase the same number of newly issued OpCo Units from ZoomInfo OpCo, (ii) to purchase OpCo Units from certain Pre-IPO OpCo Unitholders; and (iii) to fund merger consideration payable to certain Pre-IPO Blocker Holders in connection with the Blocker Mergers. The foregoing purchases of OpCo Units will be at a price per unit equal to the public offering price per share of Class A common stock in this offering, less the underwriting discount. Upon each purchase of HoldCo Units or OpCo Units, the corresponding shares of Class B common stock will be canceled. ZoomInfo Technologies Inc. will contribute the OpCo Units it receives in the Blocker Mergers to ZoomInfo HoldCo in exchange for a corresponding number of newly issued HoldCo Units. The number of outstanding OpCo Units of ZoomInfo OpCo will equal the aggregate number of outstanding shares of Class A common stock, Class B common stock, and Class C common stock. Following this offering, ZoomInfo Technologies Inc. will hold, indirectly through ZoomInfo HoldCo, a number of OpCo Units that is equal to the number of shares of Class A common stock that it has issued, a relationship that we believe fosters transparency because it results in a single share of Class A common stock representing (albeit indirectly) the same percentage equity interest in ZoomInfo OpCo as a single OpCo Unit.</w:t>
      </w:r>
    </w:p>
    <w:p>
      <w:pPr>
        <w:spacing w:after="0" w:line="118" w:lineRule="exact"/>
        <w:rPr>
          <w:sz w:val="20"/>
          <w:szCs w:val="20"/>
          <w:color w:val="auto"/>
        </w:rPr>
      </w:pPr>
    </w:p>
    <w:p>
      <w:pPr>
        <w:jc w:val="both"/>
        <w:ind w:firstLine="314"/>
        <w:spacing w:after="0" w:line="295" w:lineRule="auto"/>
        <w:rPr>
          <w:sz w:val="20"/>
          <w:szCs w:val="20"/>
          <w:color w:val="auto"/>
        </w:rPr>
      </w:pPr>
      <w:r>
        <w:rPr>
          <w:rFonts w:ascii="Arial" w:cs="Arial" w:eastAsia="Arial" w:hAnsi="Arial"/>
          <w:sz w:val="15"/>
          <w:szCs w:val="15"/>
          <w:color w:val="auto"/>
        </w:rPr>
        <w:t>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the tax basis adjustments generated over time may increase (for tax purposes) depreciation and amortization deductions and, therefore, may reduce the amount of tax that the ZoomInfo Tax Group would otherwise be required to pay in the future.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This payment obligation is an obligation of members of the ZoomInfo Tax Group, but not of ZoomInfo OpCo. See “Certain Relationships and Related Person Transactions—Tax Receivable Agreements.”</w:t>
      </w:r>
    </w:p>
    <w:p>
      <w:pPr>
        <w:spacing w:after="0" w:line="32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ZoomInfo OpCo expects to use the proceeds it receives through ZoomInfo HoldCo from this offering to redeem and cancel all outstanding Series A Preferred Units, to repay our second lien term loans, to repay outstanding borrowings under our first lien revolving credit facility, and for general corporate purposes. See “Use of Proceeds” and “Certain Relationships and Related Person Transactions—Purchase of OpCo Units and Payment of Blocker Merger Consideration.”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refer to the foregoing transactions as the “Offering Transactions.”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240"/>
          </w:cols>
          <w:pgMar w:left="320" w:top="337" w:right="339" w:bottom="1440" w:gutter="0" w:footer="0" w:header="0"/>
        </w:sectPr>
      </w:pPr>
    </w:p>
    <w:bookmarkStart w:id="94" w:name="page95"/>
    <w:bookmarkEnd w:id="94"/>
    <w:p>
      <w:pPr>
        <w:ind w:left="1"/>
        <w:spacing w:after="0"/>
        <w:rPr>
          <w:sz w:val="20"/>
          <w:szCs w:val="20"/>
          <w:color w:val="auto"/>
        </w:rPr>
      </w:pPr>
      <w:r>
        <w:rPr>
          <w:rFonts w:ascii="Arial" w:cs="Arial" w:eastAsia="Arial" w:hAnsi="Arial"/>
          <w:sz w:val="17"/>
          <w:szCs w:val="17"/>
          <w:color w:val="auto"/>
        </w:rPr>
        <w:t>As a result of the transactions described above:</w:t>
      </w:r>
    </w:p>
    <w:p>
      <w:pPr>
        <w:spacing w:after="0" w:line="171" w:lineRule="exact"/>
        <w:rPr>
          <w:sz w:val="20"/>
          <w:szCs w:val="20"/>
          <w:color w:val="auto"/>
        </w:rPr>
      </w:pPr>
    </w:p>
    <w:p>
      <w:pPr>
        <w:ind w:left="321" w:hanging="321"/>
        <w:spacing w:after="0" w:line="289" w:lineRule="auto"/>
        <w:tabs>
          <w:tab w:leader="none" w:pos="32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investors in this offering will collectively own 44,500,000 shares of our Class A common stock (or 51,175,000 shares of Class A common stock if the underwriters exercise in full their option to purchase additional shares of Class A common stock);</w:t>
      </w:r>
    </w:p>
    <w:p>
      <w:pPr>
        <w:spacing w:after="0" w:line="105" w:lineRule="exact"/>
        <w:rPr>
          <w:rFonts w:ascii="Arial" w:cs="Arial" w:eastAsia="Arial" w:hAnsi="Arial"/>
          <w:sz w:val="17"/>
          <w:szCs w:val="17"/>
          <w:color w:val="auto"/>
        </w:rPr>
      </w:pPr>
    </w:p>
    <w:p>
      <w:pPr>
        <w:jc w:val="both"/>
        <w:ind w:left="321" w:hanging="321"/>
        <w:spacing w:after="0" w:line="273" w:lineRule="auto"/>
        <w:tabs>
          <w:tab w:leader="none" w:pos="32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Pre-IPO OpCo Unitholders will hold 234,932,785 OpCo Units, the Pre-IPO HoldCo Unitholders will hold 4,231,310 HoldCo Units, and the Continuing Class P Unitholders will hold 14,471,631 Class P Units (which all remain unchanged if the underwriters exercise in full their option to purchase additional shares of Class A common stock);</w:t>
      </w:r>
    </w:p>
    <w:p>
      <w:pPr>
        <w:spacing w:after="0" w:line="118"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Pre-IPO Blocker Holders will hold 98,106,387 shares of our Class C common stock (which remains unchanged if the underwriters exercise in full their option to purchase additional shares of Class A common stock);</w:t>
      </w:r>
    </w:p>
    <w:p>
      <w:pPr>
        <w:spacing w:after="0" w:line="10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68"/>
        </w:numPr>
        <w:rPr>
          <w:rFonts w:ascii="Arial" w:cs="Arial" w:eastAsia="Arial" w:hAnsi="Arial"/>
          <w:sz w:val="17"/>
          <w:szCs w:val="17"/>
          <w:color w:val="auto"/>
        </w:rPr>
      </w:pPr>
      <w:r>
        <w:rPr>
          <w:rFonts w:ascii="Arial" w:cs="Arial" w:eastAsia="Arial" w:hAnsi="Arial"/>
          <w:sz w:val="17"/>
          <w:szCs w:val="17"/>
          <w:color w:val="auto"/>
        </w:rPr>
        <w:t>ZoomInfo Technologies Inc. will hold 143,485,371 HoldCo Units (or 150,160,371 HoldCo Units if the underwriters exercise in full their option to purchase additional shares of Class A common stock);</w:t>
      </w:r>
    </w:p>
    <w:p>
      <w:pPr>
        <w:spacing w:after="0" w:line="10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68"/>
        </w:numPr>
        <w:rPr>
          <w:rFonts w:ascii="Arial" w:cs="Arial" w:eastAsia="Arial" w:hAnsi="Arial"/>
          <w:sz w:val="17"/>
          <w:szCs w:val="17"/>
          <w:color w:val="auto"/>
        </w:rPr>
      </w:pPr>
      <w:r>
        <w:rPr>
          <w:rFonts w:ascii="Arial" w:cs="Arial" w:eastAsia="Arial" w:hAnsi="Arial"/>
          <w:sz w:val="17"/>
          <w:szCs w:val="17"/>
          <w:color w:val="auto"/>
        </w:rPr>
        <w:t>ZoomInfo HoldCo will hold 147,716,681 OpCo Units (or 154,391,681 OpCo Units if the underwriters exercise in full their option to purchase additional shares of Class A common stock);</w:t>
      </w:r>
    </w:p>
    <w:p>
      <w:pPr>
        <w:spacing w:after="0" w:line="105" w:lineRule="exact"/>
        <w:rPr>
          <w:rFonts w:ascii="Arial" w:cs="Arial" w:eastAsia="Arial" w:hAnsi="Arial"/>
          <w:sz w:val="17"/>
          <w:szCs w:val="17"/>
          <w:color w:val="auto"/>
        </w:rPr>
      </w:pPr>
    </w:p>
    <w:p>
      <w:pPr>
        <w:ind w:left="321" w:hanging="321"/>
        <w:spacing w:after="0" w:line="289" w:lineRule="auto"/>
        <w:tabs>
          <w:tab w:leader="none" w:pos="32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investors in this offering will collectively have 1.3% of the voting power in ZoomInfo Technologies Inc. (or 1.5% if the underwriters exercise in full their option to purchase additional shares of Class A common stock);</w:t>
      </w:r>
    </w:p>
    <w:p>
      <w:pPr>
        <w:spacing w:after="0" w:line="105" w:lineRule="exact"/>
        <w:rPr>
          <w:rFonts w:ascii="Arial" w:cs="Arial" w:eastAsia="Arial" w:hAnsi="Arial"/>
          <w:sz w:val="17"/>
          <w:szCs w:val="17"/>
          <w:color w:val="auto"/>
        </w:rPr>
      </w:pPr>
    </w:p>
    <w:p>
      <w:pPr>
        <w:jc w:val="both"/>
        <w:ind w:left="321" w:hanging="321"/>
        <w:spacing w:after="0" w:line="273" w:lineRule="auto"/>
        <w:tabs>
          <w:tab w:leader="none" w:pos="32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Pre-IPO OpCo Unitholders and the Pre-IPO HoldCo Unitholders, as holders of all of the outstanding shares of Class B common stock, will have 70.0% of the voting power in ZoomInfo Technologies Inc. (or 69.8% if the underwriters exercise in full their option to purchase additional shares of Class A common stock); and</w:t>
      </w:r>
    </w:p>
    <w:p>
      <w:pPr>
        <w:spacing w:after="0" w:line="118" w:lineRule="exact"/>
        <w:rPr>
          <w:rFonts w:ascii="Arial" w:cs="Arial" w:eastAsia="Arial" w:hAnsi="Arial"/>
          <w:sz w:val="17"/>
          <w:szCs w:val="17"/>
          <w:color w:val="auto"/>
        </w:rPr>
      </w:pPr>
    </w:p>
    <w:p>
      <w:pPr>
        <w:ind w:left="321" w:hanging="321"/>
        <w:spacing w:after="0" w:line="322" w:lineRule="auto"/>
        <w:tabs>
          <w:tab w:leader="none" w:pos="32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Pre-IPO Blocker Holders, as holders of all of the outstanding shares of Class C common stock, will have 28.7% of the voting power in ZoomInfo Technologies Inc. (or 28.6% if the underwriters exercise in full their option to purchase additional shares of Class A common stock).</w:t>
      </w:r>
    </w:p>
    <w:p>
      <w:pPr>
        <w:spacing w:after="0" w:line="200" w:lineRule="exact"/>
        <w:rPr>
          <w:sz w:val="20"/>
          <w:szCs w:val="20"/>
          <w:color w:val="auto"/>
        </w:rPr>
      </w:pP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0921"/>
          </w:cols>
          <w:pgMar w:left="639" w:top="336"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USE OF PROCEEDS</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net proceeds to ZoomInfo Technologies Inc. from this offering , after deducting the underwriting discount, will be approximately $886.6 million (or $1,019.6 million if the underwriters exercise in full their option to purchase additional shares of Class A common stock). ZoomInfo OpCo will bear or reimburse ZoomInfo Technologies Inc. for all of the expenses payable by it in this offering. We estimate these offering expenses (excluding the underwriting discount) will be approximately $11.4 million.</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ZoomInfo Technologies Inc. intends to use all of the net proceeds from this offering (including from any exercise by the underwriters of their option to purchase additional shares of Class A common stock):</w:t>
      </w:r>
    </w:p>
    <w:p>
      <w:pPr>
        <w:spacing w:after="0" w:line="106" w:lineRule="exact"/>
        <w:rPr>
          <w:sz w:val="20"/>
          <w:szCs w:val="20"/>
          <w:color w:val="auto"/>
        </w:rPr>
      </w:pPr>
    </w:p>
    <w:p>
      <w:pPr>
        <w:jc w:val="both"/>
        <w:ind w:left="640" w:hanging="321"/>
        <w:spacing w:after="0" w:line="273"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purchase 41,853,783 newly issued HoldCo Units from ZoomInfo HoldCo for approximately $833.9 million (or 48,528,783 HoldCo Units for $966.9 million if the underwriters exercise in full their option to purchase additional shares of Class A common stock), which in turn will purchase the same number of newly issued OpCo Units from ZoomInfo OpCo;</w:t>
      </w:r>
    </w:p>
    <w:p>
      <w:pPr>
        <w:spacing w:after="0" w:line="118"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purchase 2,370,948 OpCo Units from certain Pre-IPO OpCo Unitholders for approximately $47.2 million (which remains unchanged if the underwriters exercise in full their option to purchase additional shares of Class A common stock); and</w:t>
      </w:r>
    </w:p>
    <w:p>
      <w:pPr>
        <w:spacing w:after="0" w:line="105" w:lineRule="exact"/>
        <w:rPr>
          <w:rFonts w:ascii="Arial" w:cs="Arial" w:eastAsia="Arial" w:hAnsi="Arial"/>
          <w:sz w:val="17"/>
          <w:szCs w:val="17"/>
          <w:color w:val="auto"/>
        </w:rPr>
      </w:pPr>
    </w:p>
    <w:p>
      <w:pPr>
        <w:jc w:val="both"/>
        <w:ind w:left="640" w:hanging="321"/>
        <w:spacing w:after="0" w:line="297" w:lineRule="auto"/>
        <w:tabs>
          <w:tab w:leader="none" w:pos="6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fund $5.5 million of merger consideration (an aggregate cash amount equal to 275,269 shares of Class C common stock multiplied by the public offering price per share of Class A common stock, less the underwriting discount) payable to certain Pre-IPO Blocker Holders in connection with the Blocker Mergers (which remains unchanged if the underwriters exercise in full their option to purchase additional shares of Class A common stock).</w:t>
      </w:r>
    </w:p>
    <w:p>
      <w:pPr>
        <w:spacing w:after="0" w:line="103"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foregoing purchases of HoldCo Units and OpCo Units will be made at a price per unit equal to the public offering price per share of Class A common stock in this offering, less the underwriting discount. Upon each purchase of OpCo Units, the corresponding shares of Class B common stock will be canceled. The number of outstanding OpCo Units of ZoomInfo OpCo will equal the aggregate number of outstanding shares of Class A common stock, Class B common stock, and Class C common stock. See “Organizational Structure—Offering Transactions” and “Certain Relationships and Related Person Transactions— Purchase of OpCo Units and Payment of Blocker Merger Consideration.”</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will only retain the net proceeds that are used to purchase newly issued HoldCo Units from ZoomInfo HoldCo which will, in turn, be used to purchase newly issued OpCo Units from ZoomInfo OpCo. We will not retain any of the net proceeds used to purchase OpCo Units from the Pre-IPO OpCo Unitholders or to fund merger consideration for the Blocker Mergers. See “Certain Relationships and Related Person Transactions—Purchase of OpCo Units and Payment of Blocker Merger Consideration.”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ZoomInfo OpCo expects to use the proceeds it receives through ZoomInfo HoldCo from this offering:</w:t>
      </w:r>
    </w:p>
    <w:p>
      <w:pPr>
        <w:spacing w:after="0" w:line="171" w:lineRule="exact"/>
        <w:rPr>
          <w:sz w:val="20"/>
          <w:szCs w:val="20"/>
          <w:color w:val="auto"/>
        </w:rPr>
      </w:pPr>
    </w:p>
    <w:p>
      <w:pPr>
        <w:ind w:left="640" w:hanging="321"/>
        <w:spacing w:after="0" w:line="289"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redeem and cancel all outstanding Series A Preferred Units for approximately $274.2 million, including accumulated but unpaid distributions and related prepayment premiums;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repay the entire aggregate principal amount of our second lien term loans, for approximately $380.6 million, including related prepayment premiums and accrued interest;</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repay $35.0 million of outstanding borrowings under our first lien revolving credit facility;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for general corporate purposes.</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first lien revolving credit facility provided for by our first lien credit agreement matures on February 1, 2024. Amounts borrowed under the first lien revolving credit facility bear interest, at our election, at either 3.0% over the base rate or 4.0% over adjusted LIBOR. These interest rate spreads will decline to 2.75% and 3.75%, respectively, if our consolidated first lien net leverage ratio declines to 4.40 to 1.00 or less. The outstanding borrowings under our first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240"/>
          </w:cols>
          <w:pgMar w:left="320" w:top="331"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lien revolving credit facility were drawn for general corporate purposes. See “Description of Certain Indebtedness—First Lien Credit Agreement.”</w:t>
      </w:r>
    </w:p>
    <w:p>
      <w:pPr>
        <w:spacing w:after="0" w:line="171"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second lien term loans provided for by our second lien credit agreement mature on February 1, 2027. Borrowings under the second lien credit agreement, for which Morgan Stanley Senior Funding, Inc. acts as administrative agent and collateral agent,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the highest of (i) 0.50% above the federal funds effective rate, (ii) the rate of interest established by the administrative agent as its “prime rate,” (iii) 1.0% above the adjusted LIBOR rate for dollar deposits with a one-month term commencing that day and (iv) 1.00% per annum, plus an applicable margin. We may prepay, in full or in part, borrowings under the second lien credit agreement, subject to notice requirements, minimum prepayment amounts, and increment limitations. If any prepayment of loans is made after February 1, 2020 but on or before February 1, 2021, a premium of 1.00% is required to be paid. See “Description of Certain Indebtedness—Second Lien Credit Agreement.”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240"/>
          </w:cols>
          <w:pgMar w:left="320" w:top="337"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DIVIDEND POLICY</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We have no current plans to pay dividends on our Class A common stock or Class C common stock. Holders of our Class B common stock do not have any right to receive dividends, or to receive a distribution upon a liquidation, dissolution, or winding up of ZoomInfo Technologies Inc., with respect to their Class B common stock. The declaration, amount, and payment of any future dividends on shares of Class A common stock or Class C common stock will be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78"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ZoomInfo Technologies Inc. is a holding company and has no material assets other than its ownership of HoldCo Units. ZoomInfo HoldCo is a holding company and has no material assets other than its ownership of OpCo Units. The limited liability company agreement of ZoomInfo OpCo that will be in effect at the time of this offering provides that certain distributions to cover the taxes of the ZoomInfo Tax Group and the other holders of OpCo Units and Class P Units will be made based upon assumed tax rates and other assumptions provided in the limited liability company agreement. See “Certain Relationships and Related Person Transactions—ZoomInfo OpCo Amended and Restated Limited Liability Company Agreement.”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If ZoomInfo OpCo makes such distributions to ZoomInfo HoldCo and ZoomInfo HoldCo makes such distributions to ZoomInfo Technologies Inc., the other holders of OpCo Units, HoldCo Units, and certain Class P Units will also be entitled to receive the respective equivalent pro rata distributions in accordance with the percentages of their respective limited liability company interests.</w:t>
      </w:r>
    </w:p>
    <w:p>
      <w:pPr>
        <w:spacing w:after="0" w:line="81" w:lineRule="exact"/>
        <w:rPr>
          <w:sz w:val="20"/>
          <w:szCs w:val="20"/>
          <w:color w:val="auto"/>
        </w:rPr>
      </w:pPr>
    </w:p>
    <w:p>
      <w:pPr>
        <w:jc w:val="both"/>
        <w:ind w:firstLine="314"/>
        <w:spacing w:after="0" w:line="259" w:lineRule="auto"/>
        <w:rPr>
          <w:sz w:val="20"/>
          <w:szCs w:val="20"/>
          <w:color w:val="auto"/>
        </w:rPr>
      </w:pPr>
      <w:r>
        <w:rPr>
          <w:rFonts w:ascii="Arial" w:cs="Arial" w:eastAsia="Arial" w:hAnsi="Arial"/>
          <w:sz w:val="17"/>
          <w:szCs w:val="17"/>
          <w:color w:val="auto"/>
        </w:rPr>
        <w:t>We anticipate that cash received by ZoomInfo HoldCo may, in certain periods, exceed its liabilities, including tax liabilities, and obligations to make payments under the tax receivable agreements. We expect that ZoomInfo HoldCo will use any such excess cash from time to time to acquire additional newly issued OpCo Units from ZoomInfo OpCo at a per unit price determined by reference to the market value of the Class A common stock; to pay dividends, which may include special dividends, on its Class A common stock and Class C common stock; to fund repurchases of its Class A common stock; or any combination of the foregoing. Our board of directors, in its sole discretion, will make any determination with respect to the use of any such excess cash. We also expect, if necessary, to undertake ameliorative actions, which may include pro rata or non-pro rata reclassifications, combinations, subdivisions, or adjustments of outstanding OpCo Units, or declare a stock dividend on our Class A common stock and Class C common stock of an aggregate number of additional newly issued shares that corresponds to the number of additional OpCo Units that ZoomInfo HoldCo is acquiring, to maintain one-to-one parity between OpCo Units and shares of Class A common stock, Class B common stock, and Class C common stock. See “Risk Factors—Risks Related to Our Organizational Structure— ZoomInfo Technologies Inc. is a holding company, its only material asset after completion of this offering will be its interest in ZoomInfo HoldCo, which is a holding company whose only material asset after the completion of this offering will be its interest in ZoomInfo OpCo, and ZoomInfo Technologies Inc. is accordingly dependent upon distributions from ZoomInfo OpCo through ZoomInfo HoldCo to pay taxes, make payments under the tax receivable agreements, and pay dividends.”</w:t>
      </w:r>
    </w:p>
    <w:p>
      <w:pPr>
        <w:spacing w:after="0" w:line="8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agreements governing our secured credit facilities contain a number of covenants that restrict, subject to certain exceptions, certain of our subsidiaries’ ability to pay dividends to us. See “Description of Certain Indebtedness.”</w:t>
      </w:r>
    </w:p>
    <w:p>
      <w:pPr>
        <w:spacing w:after="0" w:line="5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Any financing arrangements that we enter into in the future may include restrictive covenants that limit our ability to pay dividends. In addition, ZoomInfo OpCo is generally prohibited under Delaware law from making a distribution to a member to the extent that, at the time of the distribution, after giving effect to the distribution, liabilities of ZoomInfo OpCo (with certain exceptions) exceed the fair value of its assets. Subsidiaries of ZoomInfo OpCo are generally subject to similar legal limitations on their ability to make distributions to ZoomInfo OpCo.</w:t>
      </w:r>
    </w:p>
    <w:p>
      <w:pPr>
        <w:spacing w:after="0" w:line="7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Since its formation in November 2019, ZoomInfo Technologies Inc. has not paid any dividends to holders of its outstanding common stock. In 2018 and 2019 and during the three months ended March, 31, 2020, ZoomInfo OpCo made cash distributions to equity partners in an aggregate amount of $93.4 million, $16.5 million, and $5.0 million,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240"/>
          </w:cols>
          <w:pgMar w:left="320" w:top="331"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respectively.</w:t>
      </w:r>
    </w:p>
    <w:p>
      <w:pPr>
        <w:spacing w:after="0" w:line="200" w:lineRule="exact"/>
        <w:rPr>
          <w:sz w:val="20"/>
          <w:szCs w:val="20"/>
          <w:color w:val="auto"/>
        </w:rPr>
      </w:pPr>
    </w:p>
    <w:p>
      <w:pPr>
        <w:spacing w:after="0" w:line="338"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139"/>
          </w:cols>
          <w:pgMar w:left="320" w:top="337" w:right="1440" w:bottom="1440" w:gutter="0" w:footer="0" w:header="0"/>
        </w:sectPr>
      </w:pPr>
    </w:p>
    <w:bookmarkStart w:id="99" w:name="page100"/>
    <w:bookmarkEnd w:id="99"/>
    <w:p>
      <w:pPr>
        <w:ind w:left="4860"/>
        <w:spacing w:after="0"/>
        <w:rPr>
          <w:sz w:val="20"/>
          <w:szCs w:val="20"/>
          <w:color w:val="auto"/>
        </w:rPr>
      </w:pPr>
      <w:r>
        <w:rPr>
          <w:rFonts w:ascii="Arial" w:cs="Arial" w:eastAsia="Arial" w:hAnsi="Arial"/>
          <w:sz w:val="17"/>
          <w:szCs w:val="17"/>
          <w:b w:val="1"/>
          <w:bCs w:val="1"/>
          <w:color w:val="auto"/>
        </w:rPr>
        <w:t>CAPITALIZATION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our consolidated cash and cash equivalents and capitalization as of March 31, 2020:</w:t>
      </w:r>
    </w:p>
    <w:p>
      <w:pPr>
        <w:spacing w:after="0" w:line="171" w:lineRule="exact"/>
        <w:rPr>
          <w:sz w:val="20"/>
          <w:szCs w:val="20"/>
          <w:color w:val="auto"/>
        </w:rPr>
      </w:pPr>
    </w:p>
    <w:p>
      <w:pPr>
        <w:ind w:left="640" w:hanging="321"/>
        <w:spacing w:after="0"/>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 a historical basis; and</w:t>
      </w:r>
    </w:p>
    <w:p>
      <w:pPr>
        <w:spacing w:after="0" w:line="171"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on a pro forma basis giving effect to the transactions described under “Unaudited Pro Forma Combined and Consolidated Financial Information,” including the sale by us of 44,500,000 shares of Class A common stock in this offering at an initial public offering price of $21.00 per share and the application of the proceeds therefrom as described in “Use of Proceeds.”</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Cash and cash equivalents are not components of our total capitalization. You should read this table together with the other information contained in this prospectus, including “Organizational Structure,” “Use of Proceeds,” “Unaudited Pro Forma Combined and Consolidated Financial Information,” “Management’s Discussion and Analysis of Financial Condition and Results of Operations,” and our historical financial statements and related notes thereto included elsewhere in this prospectus.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46"/>
        </w:trPr>
        <w:tc>
          <w:tcPr>
            <w:tcW w:w="8000" w:type="dxa"/>
            <w:vAlign w:val="bottom"/>
          </w:tcPr>
          <w:p>
            <w:pPr>
              <w:spacing w:after="0"/>
              <w:rPr>
                <w:sz w:val="12"/>
                <w:szCs w:val="12"/>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ZoomInfo OpCo Actual</w:t>
            </w:r>
          </w:p>
        </w:tc>
        <w:tc>
          <w:tcPr>
            <w:tcW w:w="1560" w:type="dxa"/>
            <w:vAlign w:val="bottom"/>
            <w:gridSpan w:val="2"/>
          </w:tcPr>
          <w:p>
            <w:pPr>
              <w:jc w:val="right"/>
              <w:spacing w:after="0" w:line="146" w:lineRule="exact"/>
              <w:rPr>
                <w:sz w:val="20"/>
                <w:szCs w:val="20"/>
                <w:color w:val="auto"/>
              </w:rPr>
            </w:pPr>
            <w:r>
              <w:rPr>
                <w:rFonts w:ascii="Arial" w:cs="Arial" w:eastAsia="Arial" w:hAnsi="Arial"/>
                <w:sz w:val="14"/>
                <w:szCs w:val="14"/>
                <w:b w:val="1"/>
                <w:bCs w:val="1"/>
                <w:color w:val="auto"/>
                <w:w w:val="92"/>
              </w:rPr>
              <w:t>ZoomInfo Technologies</w:t>
            </w:r>
          </w:p>
        </w:tc>
        <w:tc>
          <w:tcPr>
            <w:tcW w:w="0" w:type="dxa"/>
            <w:vAlign w:val="bottom"/>
          </w:tcPr>
          <w:p>
            <w:pPr>
              <w:spacing w:after="0"/>
              <w:rPr>
                <w:sz w:val="1"/>
                <w:szCs w:val="1"/>
                <w:color w:val="auto"/>
              </w:rPr>
            </w:pPr>
          </w:p>
        </w:tc>
      </w:tr>
      <w:tr>
        <w:trPr>
          <w:trHeight w:val="186"/>
        </w:trPr>
        <w:tc>
          <w:tcPr>
            <w:tcW w:w="8000" w:type="dxa"/>
            <w:vAlign w:val="bottom"/>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Inc. Pro Forma</w:t>
            </w:r>
          </w:p>
        </w:tc>
        <w:tc>
          <w:tcPr>
            <w:tcW w:w="0" w:type="dxa"/>
            <w:vAlign w:val="bottom"/>
          </w:tcPr>
          <w:p>
            <w:pPr>
              <w:spacing w:after="0"/>
              <w:rPr>
                <w:sz w:val="1"/>
                <w:szCs w:val="1"/>
                <w:color w:val="auto"/>
              </w:rPr>
            </w:pPr>
          </w:p>
        </w:tc>
      </w:tr>
      <w:tr>
        <w:trPr>
          <w:trHeight w:val="257"/>
        </w:trPr>
        <w:tc>
          <w:tcPr>
            <w:tcW w:w="8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 except share amounts)</w:t>
            </w: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52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7"/>
                <w:szCs w:val="17"/>
                <w:color w:val="auto"/>
              </w:rPr>
              <w:t>Debt:</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First lien revolving credit facility</w:t>
            </w:r>
            <w:r>
              <w:rPr>
                <w:rFonts w:ascii="Arial" w:cs="Arial" w:eastAsia="Arial" w:hAnsi="Arial"/>
                <w:sz w:val="24"/>
                <w:szCs w:val="24"/>
                <w:color w:val="auto"/>
                <w:vertAlign w:val="superscript"/>
              </w:rPr>
              <w:t>(1)</w:t>
            </w:r>
          </w:p>
        </w:tc>
        <w:tc>
          <w:tcPr>
            <w:tcW w:w="52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2"/>
        </w:trPr>
        <w:tc>
          <w:tcPr>
            <w:tcW w:w="8000" w:type="dxa"/>
            <w:vAlign w:val="bottom"/>
          </w:tcPr>
          <w:p>
            <w:pPr>
              <w:ind w:left="260"/>
              <w:spacing w:after="0" w:line="262"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4"/>
                <w:szCs w:val="24"/>
                <w:color w:val="auto"/>
                <w:vertAlign w:val="superscript"/>
              </w:rPr>
              <w:t>(2)</w:t>
            </w:r>
          </w:p>
        </w:tc>
        <w:tc>
          <w:tcPr>
            <w:tcW w:w="52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841.5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841.5</w:t>
            </w:r>
          </w:p>
        </w:tc>
        <w:tc>
          <w:tcPr>
            <w:tcW w:w="0" w:type="dxa"/>
            <w:vAlign w:val="bottom"/>
          </w:tcPr>
          <w:p>
            <w:pPr>
              <w:spacing w:after="0"/>
              <w:rPr>
                <w:sz w:val="1"/>
                <w:szCs w:val="1"/>
                <w:color w:val="auto"/>
              </w:rPr>
            </w:pPr>
          </w:p>
        </w:tc>
      </w:tr>
      <w:tr>
        <w:trPr>
          <w:trHeight w:val="262"/>
        </w:trPr>
        <w:tc>
          <w:tcPr>
            <w:tcW w:w="800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Second lien term loans</w:t>
            </w:r>
            <w:r>
              <w:rPr>
                <w:rFonts w:ascii="Arial" w:cs="Arial" w:eastAsia="Arial" w:hAnsi="Arial"/>
                <w:sz w:val="24"/>
                <w:szCs w:val="24"/>
                <w:color w:val="auto"/>
                <w:vertAlign w:val="superscript"/>
              </w:rPr>
              <w:t>(3)</w:t>
            </w: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362.3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8000" w:type="dxa"/>
            <w:vAlign w:val="bottom"/>
          </w:tcPr>
          <w:p>
            <w:pPr>
              <w:ind w:left="40"/>
              <w:spacing w:after="0"/>
              <w:rPr>
                <w:sz w:val="20"/>
                <w:szCs w:val="20"/>
                <w:color w:val="auto"/>
              </w:rPr>
            </w:pPr>
            <w:r>
              <w:rPr>
                <w:rFonts w:ascii="Arial" w:cs="Arial" w:eastAsia="Arial" w:hAnsi="Arial"/>
                <w:sz w:val="17"/>
                <w:szCs w:val="17"/>
                <w:color w:val="auto"/>
              </w:rPr>
              <w:t>Total debt</w:t>
            </w:r>
          </w:p>
        </w:tc>
        <w:tc>
          <w:tcPr>
            <w:tcW w:w="52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7"/>
                <w:szCs w:val="17"/>
                <w:color w:val="auto"/>
              </w:rPr>
              <w:t>1,238.8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841.5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0" w:type="dxa"/>
            <w:vAlign w:val="bottom"/>
            <w:shd w:val="clear" w:color="auto" w:fill="CCEEFF"/>
          </w:tcPr>
          <w:p>
            <w:pPr>
              <w:ind w:left="500"/>
              <w:spacing w:after="0" w:line="255" w:lineRule="exact"/>
              <w:rPr>
                <w:sz w:val="20"/>
                <w:szCs w:val="20"/>
                <w:color w:val="auto"/>
              </w:rPr>
            </w:pPr>
            <w:r>
              <w:rPr>
                <w:rFonts w:ascii="Arial" w:cs="Arial" w:eastAsia="Arial" w:hAnsi="Arial"/>
                <w:sz w:val="17"/>
                <w:szCs w:val="17"/>
                <w:color w:val="auto"/>
              </w:rPr>
              <w:t>Series A Preferred Units</w:t>
            </w:r>
            <w:r>
              <w:rPr>
                <w:rFonts w:ascii="Arial" w:cs="Arial" w:eastAsia="Arial" w:hAnsi="Arial"/>
                <w:sz w:val="24"/>
                <w:szCs w:val="24"/>
                <w:color w:val="auto"/>
                <w:vertAlign w:val="superscript"/>
              </w:rPr>
              <w:t>(4)</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200.2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Equity:</w:t>
            </w: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Members’ equity (deficit)</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260"/>
              <w:spacing w:after="0"/>
              <w:rPr>
                <w:sz w:val="20"/>
                <w:szCs w:val="20"/>
                <w:color w:val="auto"/>
              </w:rPr>
            </w:pPr>
            <w:r>
              <w:rPr>
                <w:rFonts w:ascii="Arial" w:cs="Arial" w:eastAsia="Arial" w:hAnsi="Arial"/>
                <w:sz w:val="17"/>
                <w:szCs w:val="17"/>
                <w:color w:val="auto"/>
              </w:rPr>
              <w:t>Class A common stock, $0.01 par value per share, 1,000 shares authorized and no shares issued and</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420"/>
              <w:spacing w:after="0"/>
              <w:rPr>
                <w:sz w:val="20"/>
                <w:szCs w:val="20"/>
                <w:color w:val="auto"/>
              </w:rPr>
            </w:pPr>
            <w:r>
              <w:rPr>
                <w:rFonts w:ascii="Arial" w:cs="Arial" w:eastAsia="Arial" w:hAnsi="Arial"/>
                <w:sz w:val="17"/>
                <w:szCs w:val="17"/>
                <w:color w:val="auto"/>
                <w:w w:val="92"/>
              </w:rPr>
              <w:t>outstanding, actual; and 2,500,000,000 shares authorized and 45,378,984 shares issued and outstanding on</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420"/>
              <w:spacing w:after="0"/>
              <w:rPr>
                <w:sz w:val="20"/>
                <w:szCs w:val="20"/>
                <w:color w:val="auto"/>
              </w:rPr>
            </w:pPr>
            <w:r>
              <w:rPr>
                <w:rFonts w:ascii="Arial" w:cs="Arial" w:eastAsia="Arial" w:hAnsi="Arial"/>
                <w:sz w:val="17"/>
                <w:szCs w:val="17"/>
                <w:color w:val="auto"/>
              </w:rPr>
              <w:t>a pro forma basis</w:t>
            </w:r>
          </w:p>
        </w:tc>
        <w:tc>
          <w:tcPr>
            <w:tcW w:w="5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9"/>
              </w:rPr>
              <w:t>Class B common stock, $0.01 par value per share, 1,000 shares authorized and 100 shares issued and</w:t>
            </w: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1"/>
              </w:rPr>
              <w:t>outstanding, actual; and 500,000,000 shares authorized and 239,164,095 shares issued and outstanding on a</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ind w:left="420"/>
              <w:spacing w:after="0" w:line="250" w:lineRule="exact"/>
              <w:rPr>
                <w:sz w:val="20"/>
                <w:szCs w:val="20"/>
                <w:color w:val="auto"/>
              </w:rPr>
            </w:pPr>
            <w:r>
              <w:rPr>
                <w:rFonts w:ascii="Arial" w:cs="Arial" w:eastAsia="Arial" w:hAnsi="Arial"/>
                <w:sz w:val="17"/>
                <w:szCs w:val="17"/>
                <w:color w:val="auto"/>
              </w:rPr>
              <w:t>pro forma basis</w:t>
            </w:r>
            <w:r>
              <w:rPr>
                <w:rFonts w:ascii="Arial" w:cs="Arial" w:eastAsia="Arial" w:hAnsi="Arial"/>
                <w:sz w:val="24"/>
                <w:szCs w:val="24"/>
                <w:color w:val="auto"/>
                <w:vertAlign w:val="superscript"/>
              </w:rPr>
              <w:t>(5)</w:t>
            </w:r>
          </w:p>
        </w:tc>
        <w:tc>
          <w:tcPr>
            <w:tcW w:w="5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8000" w:type="dxa"/>
            <w:vAlign w:val="bottom"/>
          </w:tcPr>
          <w:p>
            <w:pPr>
              <w:ind w:left="260"/>
              <w:spacing w:after="0"/>
              <w:rPr>
                <w:sz w:val="20"/>
                <w:szCs w:val="20"/>
                <w:color w:val="auto"/>
              </w:rPr>
            </w:pPr>
            <w:r>
              <w:rPr>
                <w:rFonts w:ascii="Arial" w:cs="Arial" w:eastAsia="Arial" w:hAnsi="Arial"/>
                <w:sz w:val="17"/>
                <w:szCs w:val="17"/>
                <w:color w:val="auto"/>
                <w:w w:val="91"/>
              </w:rPr>
              <w:t>Class C common stock, $0.01 par value per share, no shares authorized and no shares issued and outstanding,</w:t>
            </w: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00" w:type="dxa"/>
            <w:vAlign w:val="bottom"/>
          </w:tcPr>
          <w:p>
            <w:pPr>
              <w:ind w:left="420"/>
              <w:spacing w:after="0"/>
              <w:rPr>
                <w:sz w:val="20"/>
                <w:szCs w:val="20"/>
                <w:color w:val="auto"/>
              </w:rPr>
            </w:pPr>
            <w:r>
              <w:rPr>
                <w:rFonts w:ascii="Arial" w:cs="Arial" w:eastAsia="Arial" w:hAnsi="Arial"/>
                <w:sz w:val="17"/>
                <w:szCs w:val="17"/>
                <w:color w:val="auto"/>
                <w:w w:val="95"/>
              </w:rPr>
              <w:t>actual; and 300,000,000 shares authorized and 98,106,387 shares issued and outstanding on a pro forma</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Pr>
          <w:p>
            <w:pPr>
              <w:ind w:left="420"/>
              <w:spacing w:after="0" w:line="250" w:lineRule="exact"/>
              <w:rPr>
                <w:sz w:val="20"/>
                <w:szCs w:val="20"/>
                <w:color w:val="auto"/>
              </w:rPr>
            </w:pPr>
            <w:r>
              <w:rPr>
                <w:rFonts w:ascii="Arial" w:cs="Arial" w:eastAsia="Arial" w:hAnsi="Arial"/>
                <w:sz w:val="17"/>
                <w:szCs w:val="17"/>
                <w:color w:val="auto"/>
              </w:rPr>
              <w:t>basis</w:t>
            </w:r>
            <w:r>
              <w:rPr>
                <w:rFonts w:ascii="Arial" w:cs="Arial" w:eastAsia="Arial" w:hAnsi="Arial"/>
                <w:sz w:val="24"/>
                <w:szCs w:val="24"/>
                <w:color w:val="auto"/>
                <w:vertAlign w:val="superscript"/>
              </w:rPr>
              <w:t>(6)</w:t>
            </w:r>
          </w:p>
        </w:tc>
        <w:tc>
          <w:tcPr>
            <w:tcW w:w="5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Additional paid-in capital</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942.9</w:t>
            </w: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Retained earnings (accumulated deficit)</w:t>
            </w: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income (loss)</w:t>
            </w: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Non-controlling interest</w:t>
            </w:r>
          </w:p>
        </w:tc>
        <w:tc>
          <w:tcPr>
            <w:tcW w:w="5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(168.3)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equity</w:t>
            </w: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703.9</w:t>
            </w:r>
          </w:p>
        </w:tc>
        <w:tc>
          <w:tcPr>
            <w:tcW w:w="0" w:type="dxa"/>
            <w:vAlign w:val="bottom"/>
          </w:tcPr>
          <w:p>
            <w:pPr>
              <w:spacing w:after="0"/>
              <w:rPr>
                <w:sz w:val="1"/>
                <w:szCs w:val="1"/>
                <w:color w:val="auto"/>
              </w:rPr>
            </w:pPr>
          </w:p>
        </w:tc>
      </w:tr>
      <w:tr>
        <w:trPr>
          <w:trHeight w:val="248"/>
        </w:trPr>
        <w:tc>
          <w:tcPr>
            <w:tcW w:w="8000" w:type="dxa"/>
            <w:vAlign w:val="bottom"/>
          </w:tcPr>
          <w:p>
            <w:pPr>
              <w:ind w:left="40"/>
              <w:spacing w:after="0"/>
              <w:rPr>
                <w:sz w:val="20"/>
                <w:szCs w:val="20"/>
                <w:color w:val="auto"/>
              </w:rPr>
            </w:pPr>
            <w:r>
              <w:rPr>
                <w:rFonts w:ascii="Arial" w:cs="Arial" w:eastAsia="Arial" w:hAnsi="Arial"/>
                <w:sz w:val="17"/>
                <w:szCs w:val="17"/>
                <w:color w:val="auto"/>
              </w:rPr>
              <w:t>Total capitalization</w:t>
            </w:r>
          </w:p>
        </w:tc>
        <w:tc>
          <w:tcPr>
            <w:tcW w:w="5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1,218.9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1,545.4</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0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3"/>
        </w:trPr>
        <w:tc>
          <w:tcPr>
            <w:tcW w:w="8000" w:type="dxa"/>
            <w:vAlign w:val="bottom"/>
          </w:tcPr>
          <w:p>
            <w:pPr>
              <w:ind w:left="5540"/>
              <w:spacing w:after="0"/>
              <w:rPr>
                <w:sz w:val="20"/>
                <w:szCs w:val="20"/>
                <w:color w:val="auto"/>
              </w:rPr>
            </w:pPr>
            <w:r>
              <w:rPr>
                <w:rFonts w:ascii="Arial" w:cs="Arial" w:eastAsia="Arial" w:hAnsi="Arial"/>
                <w:sz w:val="17"/>
                <w:szCs w:val="17"/>
                <w:color w:val="auto"/>
              </w:rPr>
              <w:t>92</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1" w:right="339" w:bottom="1440" w:gutter="0" w:footer="0" w:header="0"/>
        </w:sectPr>
      </w:pPr>
    </w:p>
    <w:bookmarkStart w:id="100" w:name="page101"/>
    <w:bookmarkEnd w:id="100"/>
    <w:p>
      <w:pPr>
        <w:ind w:left="320" w:hanging="315"/>
        <w:spacing w:after="0" w:line="243"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March 31, 2020, we had drawn down $35.0 million against our $100.0 million first lien revolving credit facility. As of March 31, 2020, there were no outstanding letters of credit under our first lien revolving credit facility. For a further description of our first lien credit agreement, see “Description of Certain Indebtedness.”</w:t>
      </w:r>
    </w:p>
    <w:p>
      <w:pPr>
        <w:ind w:left="320" w:hanging="315"/>
        <w:spacing w:after="0" w:line="234"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Represents the $856.4 million aggregate face amount of our first lien term loans, including current portion, net of unamortized discounts and issuance costs of $14.9 million. Our first lien term loans mature on February 1, 2026. For a further description of our first lien credit agreement, see “Description of Certain Indebtedness.”</w:t>
      </w:r>
    </w:p>
    <w:p>
      <w:pPr>
        <w:jc w:val="both"/>
        <w:ind w:left="320" w:hanging="315"/>
        <w:spacing w:after="0" w:line="252" w:lineRule="auto"/>
        <w:tabs>
          <w:tab w:leader="none" w:pos="320"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Represents the $370.0 million aggregate face amount of our second lien term loans net of unamortized discounts and issuance costs of $7.7 million. Our second lien term loans mature on February 1, 2027. As of March 31, 2020, a payment of $377.0 million would have been required to be made to repay all borrowings under our second lien term loans, including $3.7 million of prepayment premiums and $3.3 million of accrued interest. For a further description of our second lien credit agreement, see “Description of Certain Indebtedness.”</w:t>
      </w:r>
    </w:p>
    <w:p>
      <w:pPr>
        <w:jc w:val="both"/>
        <w:ind w:left="320" w:hanging="315"/>
        <w:spacing w:after="0" w:line="234"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March 31, 2020, $239.6 million aggregate liquidation preference of Series A Preferred Units was outstanding, with respect to which there were $32.6 million of accrued but unpaid distributions. As of March 31, 2020, the aggregate redemption price, including applicable premium and redemption price adjustments of $44.3 million, for the Series A Preferred Units would have been $283.9 million.</w:t>
      </w:r>
    </w:p>
    <w:p>
      <w:pPr>
        <w:jc w:val="both"/>
        <w:ind w:left="320" w:hanging="315"/>
        <w:spacing w:after="0" w:line="234"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jc w:val="both"/>
        <w:ind w:left="320" w:hanging="315"/>
        <w:spacing w:after="0" w:line="237"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240"/>
          </w:cols>
          <w:pgMar w:left="320" w:top="330"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DILUTION</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our pre-IPO owners.</w:t>
      </w:r>
    </w:p>
    <w:p>
      <w:pPr>
        <w:spacing w:after="0" w:line="126"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pro forma net tangible book deficit as of March 31, 2020 was approximately $(1,353.5) million, or $(3.97) per share of Class A common stock. Pro forma net tangible book value represents the amount of total tangible assets less total liabilities. Pro forma net tangible book value per share of Class A common stock represents pro forma net tangible book value divided by the number of shares of Class A common stock outstanding, after giving effect to the Reorganization Transactions and assuming that all Pre-IPO OpCo Unitholders and Pre-IPO HoldCo Unitholders exchanged their OpCo Units and HoldCo Units, as applicable, for newly issued shares of Class A common stock on a one-to-one basis and all Pre-IPO Blocker Holders converted their shares of Class C common stock into an equal number of shares of Class A common stock.</w:t>
      </w:r>
    </w:p>
    <w:p>
      <w:pPr>
        <w:spacing w:after="0" w:line="12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After giving effect to the transactions described under “Unaudited Pro Forma Combined and Consolidated Financial Information,” including the application of the proceeds from this offering as described in “Use of Proceeds,” our pro forma net tangible book deficit as of March 31, 2020 would have been $(640.1) million, or $(1.67) per share of Class A common stock. This represents an immediate increase in net tangible book value (or a decrease in net tangible book deficit) of $2.30 per share of Class A common stock to our pre-IPO owners and an immediate dilution in net tangible book value of $22.67 per share of Class A common stock to investors in this offering.</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following table illustrates this dilution on a per share of Class A common stock basis assuming the underwriters do not exercise their option to purchase additional shares of Class A common stock:</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Initial public offering price per share of Class A common stock</w:t>
            </w: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21.00</w:t>
            </w:r>
          </w:p>
        </w:tc>
      </w:tr>
      <w:tr>
        <w:trPr>
          <w:trHeight w:val="235"/>
        </w:trPr>
        <w:tc>
          <w:tcPr>
            <w:tcW w:w="7980" w:type="dxa"/>
            <w:vAlign w:val="bottom"/>
          </w:tcPr>
          <w:p>
            <w:pPr>
              <w:ind w:left="380"/>
              <w:spacing w:after="0"/>
              <w:rPr>
                <w:sz w:val="20"/>
                <w:szCs w:val="20"/>
                <w:color w:val="auto"/>
              </w:rPr>
            </w:pPr>
            <w:r>
              <w:rPr>
                <w:rFonts w:ascii="Arial" w:cs="Arial" w:eastAsia="Arial" w:hAnsi="Arial"/>
                <w:sz w:val="17"/>
                <w:szCs w:val="17"/>
                <w:color w:val="auto"/>
              </w:rPr>
              <w:t>Pro forma net tangible book value (deficit) per share of Class A common stock as of March 31, 2020</w:t>
            </w:r>
          </w:p>
        </w:tc>
        <w:tc>
          <w:tcPr>
            <w:tcW w:w="600" w:type="dxa"/>
            <w:vAlign w:val="bottom"/>
          </w:tcPr>
          <w:p>
            <w:pPr>
              <w:jc w:val="right"/>
              <w:ind w:right="39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3"/>
        </w:trPr>
        <w:tc>
          <w:tcPr>
            <w:tcW w:w="7980" w:type="dxa"/>
            <w:vAlign w:val="bottom"/>
            <w:shd w:val="clear" w:color="auto" w:fill="CCEEFF"/>
          </w:tcPr>
          <w:p>
            <w:pPr>
              <w:ind w:left="380"/>
              <w:spacing w:after="0"/>
              <w:rPr>
                <w:sz w:val="20"/>
                <w:szCs w:val="20"/>
                <w:color w:val="auto"/>
              </w:rPr>
            </w:pPr>
            <w:r>
              <w:rPr>
                <w:rFonts w:ascii="Arial" w:cs="Arial" w:eastAsia="Arial" w:hAnsi="Arial"/>
                <w:sz w:val="17"/>
                <w:szCs w:val="17"/>
                <w:color w:val="auto"/>
                <w:w w:val="93"/>
              </w:rPr>
              <w:t>Increase in pro forma net tangible book value per share of Class A common stock attributable to investors in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8"/>
        </w:trPr>
        <w:tc>
          <w:tcPr>
            <w:tcW w:w="7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this offering</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8"/>
        </w:trPr>
        <w:tc>
          <w:tcPr>
            <w:tcW w:w="7980" w:type="dxa"/>
            <w:vAlign w:val="bottom"/>
          </w:tcPr>
          <w:p>
            <w:pPr>
              <w:ind w:left="40"/>
              <w:spacing w:after="0"/>
              <w:rPr>
                <w:sz w:val="20"/>
                <w:szCs w:val="20"/>
                <w:color w:val="auto"/>
              </w:rPr>
            </w:pPr>
            <w:r>
              <w:rPr>
                <w:rFonts w:ascii="Arial" w:cs="Arial" w:eastAsia="Arial" w:hAnsi="Arial"/>
                <w:sz w:val="17"/>
                <w:szCs w:val="17"/>
                <w:color w:val="auto"/>
              </w:rPr>
              <w:t>Pro forma net tangible book value (deficit) per share of Class A common stock after the offering</w:t>
            </w:r>
          </w:p>
        </w:tc>
        <w:tc>
          <w:tcPr>
            <w:tcW w:w="6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7"/>
        </w:trPr>
        <w:tc>
          <w:tcPr>
            <w:tcW w:w="7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8"/>
        </w:trPr>
        <w:tc>
          <w:tcPr>
            <w:tcW w:w="7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Dilution per share of Class A common stock to investors in this offering</w:t>
            </w:r>
          </w:p>
        </w:tc>
        <w:tc>
          <w:tcPr>
            <w:tcW w:w="6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22.67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Because the Pre-IPO OpCo Unitholders and the Pre-IPO HoldCo Unitholders do not own any Class A common stock or other economic interests in ZoomInfo Technologies Inc., we have presented dilution in pro forma net tangible book value per share of Class A common stock to investors in this offering assuming that all Pre-IPO OpCo Unitholders and Pre-IPO HoldCo Unitholders exchanged their OpCo Units and HoldCo Units, as applicable, for newly issued shares of Class A common stock on a one-to-one basis and all Pre-IPO Blocker Holders converted their shares of Class C common stock into an equal number of shares of Class A common stock in order to more meaningfully present the dilutive impact on the investors in this offering. The above table does not reflect the exchange of any Class P Units for shares of Class A common stock.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240"/>
          </w:cols>
          <w:pgMar w:left="320" w:top="331" w:right="339" w:bottom="1440" w:gutter="0" w:footer="0" w:header="0"/>
        </w:sectPr>
      </w:pPr>
    </w:p>
    <w:bookmarkStart w:id="102" w:name="page103"/>
    <w:bookmarkEnd w:id="102"/>
    <w:p>
      <w:pPr>
        <w:jc w:val="both"/>
        <w:ind w:firstLine="314"/>
        <w:spacing w:after="0" w:line="263" w:lineRule="auto"/>
        <w:rPr>
          <w:sz w:val="20"/>
          <w:szCs w:val="20"/>
          <w:color w:val="auto"/>
        </w:rPr>
      </w:pPr>
      <w:r>
        <w:rPr>
          <w:rFonts w:ascii="Arial" w:cs="Arial" w:eastAsia="Arial" w:hAnsi="Arial"/>
          <w:sz w:val="17"/>
          <w:szCs w:val="17"/>
          <w:color w:val="auto"/>
        </w:rPr>
        <w:t>The following table summarizes, on the same pro forma basis as of March 31, 2020, the total number of shares of Class A common stock purchased from us, the total cash consideration paid to us, and the average price per share of Class A common stock paid by our pre-IPO owners and by new investors purchasing shares of Class A common stock in this offering, assuming that all Pre-IPO OpCo Unitholders and Pre-IPO HoldCo Unitholders exchanged their OpCo Units or HoldCo Units for newly issued shares of our Class A common stock on a one-to-one basis and all Pre-IPO Blocker Holders converted their shares of Class C common stock into an equal number of shares of Class A common stock. The following table does not reflect the exchange of any Class P Unit for a share of Class A common stock.</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100" w:type="dxa"/>
            <w:vAlign w:val="bottom"/>
            <w:gridSpan w:val="3"/>
          </w:tcPr>
          <w:p>
            <w:pPr>
              <w:jc w:val="center"/>
              <w:ind w:left="983"/>
              <w:spacing w:after="0"/>
              <w:rPr>
                <w:sz w:val="20"/>
                <w:szCs w:val="20"/>
                <w:color w:val="auto"/>
              </w:rPr>
            </w:pPr>
            <w:r>
              <w:rPr>
                <w:rFonts w:ascii="Arial" w:cs="Arial" w:eastAsia="Arial" w:hAnsi="Arial"/>
                <w:sz w:val="14"/>
                <w:szCs w:val="14"/>
                <w:b w:val="1"/>
                <w:bCs w:val="1"/>
                <w:color w:val="auto"/>
                <w:w w:val="87"/>
              </w:rPr>
              <w:t>Shares of Class A</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60" w:type="dxa"/>
            <w:vAlign w:val="bottom"/>
          </w:tcPr>
          <w:p>
            <w:pPr>
              <w:spacing w:after="0"/>
              <w:rPr>
                <w:sz w:val="12"/>
                <w:szCs w:val="12"/>
                <w:color w:val="auto"/>
              </w:rPr>
            </w:pPr>
          </w:p>
        </w:tc>
        <w:tc>
          <w:tcPr>
            <w:tcW w:w="2100" w:type="dxa"/>
            <w:vAlign w:val="bottom"/>
            <w:gridSpan w:val="3"/>
          </w:tcPr>
          <w:p>
            <w:pPr>
              <w:jc w:val="center"/>
              <w:ind w:left="983"/>
              <w:spacing w:after="0" w:line="144" w:lineRule="exact"/>
              <w:rPr>
                <w:sz w:val="20"/>
                <w:szCs w:val="20"/>
                <w:color w:val="auto"/>
              </w:rPr>
            </w:pPr>
            <w:r>
              <w:rPr>
                <w:rFonts w:ascii="Arial" w:cs="Arial" w:eastAsia="Arial" w:hAnsi="Arial"/>
                <w:sz w:val="14"/>
                <w:szCs w:val="14"/>
                <w:b w:val="1"/>
                <w:bCs w:val="1"/>
                <w:color w:val="auto"/>
                <w:w w:val="89"/>
              </w:rPr>
              <w:t>Common Stock</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0"/>
              </w:rPr>
              <w:t>Average Price Per</w:t>
            </w: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2100" w:type="dxa"/>
            <w:vAlign w:val="bottom"/>
            <w:gridSpan w:val="3"/>
          </w:tcPr>
          <w:p>
            <w:pPr>
              <w:jc w:val="center"/>
              <w:ind w:left="1023"/>
              <w:spacing w:after="0" w:line="141" w:lineRule="exact"/>
              <w:rPr>
                <w:sz w:val="20"/>
                <w:szCs w:val="20"/>
                <w:color w:val="auto"/>
              </w:rPr>
            </w:pPr>
            <w:r>
              <w:rPr>
                <w:rFonts w:ascii="Arial" w:cs="Arial" w:eastAsia="Arial" w:hAnsi="Arial"/>
                <w:sz w:val="14"/>
                <w:szCs w:val="14"/>
                <w:b w:val="1"/>
                <w:bCs w:val="1"/>
                <w:color w:val="auto"/>
                <w:w w:val="89"/>
              </w:rPr>
              <w:t>Purchased</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left="781"/>
              <w:spacing w:after="0" w:line="141" w:lineRule="exact"/>
              <w:rPr>
                <w:sz w:val="20"/>
                <w:szCs w:val="20"/>
                <w:color w:val="auto"/>
              </w:rPr>
            </w:pPr>
            <w:r>
              <w:rPr>
                <w:rFonts w:ascii="Arial" w:cs="Arial" w:eastAsia="Arial" w:hAnsi="Arial"/>
                <w:sz w:val="14"/>
                <w:szCs w:val="14"/>
                <w:b w:val="1"/>
                <w:bCs w:val="1"/>
                <w:color w:val="auto"/>
                <w:w w:val="91"/>
              </w:rPr>
              <w:t>Consideration</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326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vMerge w:val="restart"/>
          </w:tcPr>
          <w:p>
            <w:pPr>
              <w:jc w:val="center"/>
              <w:ind w:right="61"/>
              <w:spacing w:after="0" w:line="135" w:lineRule="exact"/>
              <w:rPr>
                <w:sz w:val="20"/>
                <w:szCs w:val="20"/>
                <w:color w:val="auto"/>
              </w:rPr>
            </w:pPr>
            <w:r>
              <w:rPr>
                <w:rFonts w:ascii="Arial" w:cs="Arial" w:eastAsia="Arial" w:hAnsi="Arial"/>
                <w:sz w:val="14"/>
                <w:szCs w:val="14"/>
                <w:b w:val="1"/>
                <w:bCs w:val="1"/>
                <w:color w:val="auto"/>
                <w:w w:val="88"/>
              </w:rPr>
              <w:t>Share of Class A</w:t>
            </w:r>
          </w:p>
        </w:tc>
        <w:tc>
          <w:tcPr>
            <w:tcW w:w="0" w:type="dxa"/>
            <w:vAlign w:val="bottom"/>
          </w:tcPr>
          <w:p>
            <w:pPr>
              <w:spacing w:after="0"/>
              <w:rPr>
                <w:sz w:val="1"/>
                <w:szCs w:val="1"/>
                <w:color w:val="auto"/>
              </w:rPr>
            </w:pPr>
          </w:p>
        </w:tc>
      </w:tr>
      <w:tr>
        <w:trPr>
          <w:trHeight w:val="62"/>
        </w:trPr>
        <w:tc>
          <w:tcPr>
            <w:tcW w:w="3260" w:type="dxa"/>
            <w:vAlign w:val="bottom"/>
          </w:tcPr>
          <w:p>
            <w:pPr>
              <w:spacing w:after="0"/>
              <w:rPr>
                <w:sz w:val="5"/>
                <w:szCs w:val="5"/>
                <w:color w:val="auto"/>
              </w:rPr>
            </w:pPr>
          </w:p>
        </w:tc>
        <w:tc>
          <w:tcPr>
            <w:tcW w:w="142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5"/>
                <w:szCs w:val="5"/>
                <w:color w:val="auto"/>
              </w:rPr>
            </w:pPr>
          </w:p>
        </w:tc>
        <w:tc>
          <w:tcPr>
            <w:tcW w:w="580" w:type="dxa"/>
            <w:vAlign w:val="bottom"/>
            <w:vMerge w:val="restart"/>
          </w:tcPr>
          <w:p>
            <w:pPr>
              <w:spacing w:after="0"/>
              <w:rPr>
                <w:sz w:val="5"/>
                <w:szCs w:val="5"/>
                <w:color w:val="auto"/>
              </w:rPr>
            </w:pPr>
          </w:p>
        </w:tc>
        <w:tc>
          <w:tcPr>
            <w:tcW w:w="80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w w:val="89"/>
              </w:rPr>
              <w:t>Percent</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vMerge w:val="restart"/>
          </w:tcPr>
          <w:p>
            <w:pPr>
              <w:spacing w:after="0"/>
              <w:rPr>
                <w:sz w:val="5"/>
                <w:szCs w:val="5"/>
                <w:color w:val="auto"/>
              </w:rPr>
            </w:pPr>
          </w:p>
        </w:tc>
        <w:tc>
          <w:tcPr>
            <w:tcW w:w="540" w:type="dxa"/>
            <w:vAlign w:val="bottom"/>
            <w:vMerge w:val="restart"/>
          </w:tcPr>
          <w:p>
            <w:pPr>
              <w:spacing w:after="0"/>
              <w:rPr>
                <w:sz w:val="5"/>
                <w:szCs w:val="5"/>
                <w:color w:val="auto"/>
              </w:rPr>
            </w:pPr>
          </w:p>
        </w:tc>
        <w:tc>
          <w:tcPr>
            <w:tcW w:w="8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3"/>
              </w:rPr>
              <w:t>Percent</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255"/>
        </w:trPr>
        <w:tc>
          <w:tcPr>
            <w:tcW w:w="3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1"/>
              </w:rPr>
              <w:t>(in millions)</w:t>
            </w: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260" w:type="dxa"/>
            <w:vAlign w:val="bottom"/>
            <w:shd w:val="clear" w:color="auto" w:fill="CCEEFF"/>
          </w:tcPr>
          <w:p>
            <w:pPr>
              <w:ind w:left="40"/>
              <w:spacing w:after="0" w:line="267" w:lineRule="exact"/>
              <w:rPr>
                <w:sz w:val="20"/>
                <w:szCs w:val="20"/>
                <w:color w:val="auto"/>
              </w:rPr>
            </w:pPr>
            <w:r>
              <w:rPr>
                <w:rFonts w:ascii="Arial" w:cs="Arial" w:eastAsia="Arial" w:hAnsi="Arial"/>
                <w:sz w:val="17"/>
                <w:szCs w:val="17"/>
                <w:color w:val="auto"/>
              </w:rPr>
              <w:t>Pre-IPO owners</w:t>
            </w:r>
            <w:r>
              <w:rPr>
                <w:rFonts w:ascii="Arial" w:cs="Arial" w:eastAsia="Arial" w:hAnsi="Arial"/>
                <w:sz w:val="24"/>
                <w:szCs w:val="24"/>
                <w:color w:val="auto"/>
                <w:vertAlign w:val="superscript"/>
              </w:rPr>
              <w:t>(1)</w:t>
            </w:r>
          </w:p>
        </w:tc>
        <w:tc>
          <w:tcPr>
            <w:tcW w:w="1420" w:type="dxa"/>
            <w:vAlign w:val="bottom"/>
            <w:shd w:val="clear" w:color="auto" w:fill="CCEEFF"/>
          </w:tcPr>
          <w:p>
            <w:pPr>
              <w:jc w:val="right"/>
              <w:ind w:right="23"/>
              <w:spacing w:after="0"/>
              <w:rPr>
                <w:sz w:val="20"/>
                <w:szCs w:val="20"/>
                <w:color w:val="auto"/>
              </w:rPr>
            </w:pPr>
            <w:r>
              <w:rPr>
                <w:rFonts w:ascii="Arial" w:cs="Arial" w:eastAsia="Arial" w:hAnsi="Arial"/>
                <w:sz w:val="17"/>
                <w:szCs w:val="17"/>
                <w:color w:val="auto"/>
              </w:rPr>
              <w:t>338,149,466</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0.60</w:t>
            </w:r>
          </w:p>
        </w:tc>
        <w:tc>
          <w:tcPr>
            <w:tcW w:w="0" w:type="dxa"/>
            <w:vAlign w:val="bottom"/>
          </w:tcPr>
          <w:p>
            <w:pPr>
              <w:spacing w:after="0"/>
              <w:rPr>
                <w:sz w:val="1"/>
                <w:szCs w:val="1"/>
                <w:color w:val="auto"/>
              </w:rPr>
            </w:pPr>
          </w:p>
        </w:tc>
      </w:tr>
      <w:tr>
        <w:trPr>
          <w:trHeight w:val="235"/>
        </w:trPr>
        <w:tc>
          <w:tcPr>
            <w:tcW w:w="3260" w:type="dxa"/>
            <w:vAlign w:val="bottom"/>
          </w:tcPr>
          <w:p>
            <w:pPr>
              <w:ind w:left="40"/>
              <w:spacing w:after="0"/>
              <w:rPr>
                <w:sz w:val="20"/>
                <w:szCs w:val="20"/>
                <w:color w:val="auto"/>
              </w:rPr>
            </w:pPr>
            <w:r>
              <w:rPr>
                <w:rFonts w:ascii="Arial" w:cs="Arial" w:eastAsia="Arial" w:hAnsi="Arial"/>
                <w:sz w:val="17"/>
                <w:szCs w:val="17"/>
                <w:color w:val="auto"/>
              </w:rPr>
              <w:t>Investors in this offering</w:t>
            </w:r>
          </w:p>
        </w:tc>
        <w:tc>
          <w:tcPr>
            <w:tcW w:w="1420" w:type="dxa"/>
            <w:vAlign w:val="bottom"/>
          </w:tcPr>
          <w:p>
            <w:pPr>
              <w:jc w:val="right"/>
              <w:ind w:right="23"/>
              <w:spacing w:after="0"/>
              <w:rPr>
                <w:sz w:val="20"/>
                <w:szCs w:val="20"/>
                <w:color w:val="auto"/>
              </w:rPr>
            </w:pPr>
            <w:r>
              <w:rPr>
                <w:rFonts w:ascii="Arial" w:cs="Arial" w:eastAsia="Arial" w:hAnsi="Arial"/>
                <w:sz w:val="17"/>
                <w:szCs w:val="17"/>
                <w:color w:val="auto"/>
              </w:rPr>
              <w:t>44,500,000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11.6</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7"/>
                <w:szCs w:val="17"/>
                <w:color w:val="auto"/>
              </w:rPr>
              <w:t>934.5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82.2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1"/>
              <w:spacing w:after="0"/>
              <w:rPr>
                <w:sz w:val="20"/>
                <w:szCs w:val="20"/>
                <w:color w:val="auto"/>
              </w:rPr>
            </w:pPr>
            <w:r>
              <w:rPr>
                <w:rFonts w:ascii="Arial" w:cs="Arial" w:eastAsia="Arial" w:hAnsi="Arial"/>
                <w:sz w:val="17"/>
                <w:szCs w:val="17"/>
                <w:color w:val="auto"/>
              </w:rPr>
              <w:t>21.00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382,649,466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1,136.3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0"/>
        </w:trPr>
        <w:tc>
          <w:tcPr>
            <w:tcW w:w="3260" w:type="dxa"/>
            <w:vAlign w:val="bottom"/>
            <w:vMerge w:val="restart"/>
          </w:tcPr>
          <w:p>
            <w:pPr>
              <w:jc w:val="right"/>
              <w:ind w:right="1917"/>
              <w:spacing w:after="0"/>
              <w:rPr>
                <w:sz w:val="20"/>
                <w:szCs w:val="20"/>
                <w:color w:val="auto"/>
              </w:rPr>
            </w:pPr>
            <w:r>
              <w:rPr>
                <w:rFonts w:ascii="Arial" w:cs="Arial" w:eastAsia="Arial" w:hAnsi="Arial"/>
                <w:sz w:val="14"/>
                <w:szCs w:val="14"/>
                <w:color w:val="auto"/>
                <w:w w:val="88"/>
              </w:rPr>
              <w:t>__________________</w:t>
            </w: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26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Includes 878,984 shares of Class A common stock issued to former employees of ZoomInfo OpCo in exchange for vested direct and indirect interests in ZoomInfo OpCo held prior to the offering.</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If the underwriters’ option to purchase additional shares is exercised in full, the number of shares held by new investors will be increased to 51,175,000, or approximately 34.7% of the total number of shares of Class A common stock.</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addition, subject to certain limitations and exceptions, the holders of 14,471,631 Class P Units, which have a weighted-average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strike price) of $5.53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240"/>
          </w:cols>
          <w:pgMar w:left="320" w:top="336"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UNAUDITED PRO FORMA COMBINED AND CONSOLIDATED FINANCIAL INFORMATION</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following unaudited pro forma combined and consolidated statement of operations for the year ended December 31, 2019 and the three months ended March 31, 2020 and the unaudited pro forma consolidated balance sheet as of March 31, 2020 give pro forma effect to the Zoom Information Acquisition, the Reorganization Transactions, and the Offering Transactions (collectively, the “Transactions”).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pro forma adjustments related to the Zoom Information Acquisition are described in the notes to the unaudited pro forma combined and consolidated statement of operations for the year ended December 31, 2019 and primarily include:</w:t>
      </w:r>
    </w:p>
    <w:p>
      <w:pPr>
        <w:spacing w:after="0" w:line="106" w:lineRule="exact"/>
        <w:rPr>
          <w:sz w:val="20"/>
          <w:szCs w:val="20"/>
          <w:color w:val="auto"/>
        </w:rPr>
      </w:pPr>
    </w:p>
    <w:p>
      <w:pPr>
        <w:ind w:left="640" w:hanging="321"/>
        <w:spacing w:after="0"/>
        <w:tabs>
          <w:tab w:leader="none" w:pos="6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issuance of the first lien and second lien term loans to fund the Zoom Information Acquisition and refinancing our pre-existing term loans; and</w:t>
      </w:r>
    </w:p>
    <w:p>
      <w:pPr>
        <w:spacing w:after="0" w:line="182" w:lineRule="exact"/>
        <w:rPr>
          <w:rFonts w:ascii="Arial" w:cs="Arial" w:eastAsia="Arial" w:hAnsi="Arial"/>
          <w:sz w:val="16"/>
          <w:szCs w:val="16"/>
          <w:color w:val="auto"/>
        </w:rPr>
      </w:pPr>
    </w:p>
    <w:p>
      <w:pPr>
        <w:ind w:left="640" w:hanging="321"/>
        <w:spacing w:after="0"/>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amortization of acquired intangibles and acquisition-related unearned revenue adjustments.</w:t>
      </w:r>
    </w:p>
    <w:p>
      <w:pPr>
        <w:spacing w:after="0" w:line="171"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The pro forma adjustments related to the Reorganization Transactions are described in the notes to the unaudited pro forma combined and consolidated financial information and primarily include:</w:t>
      </w:r>
    </w:p>
    <w:p>
      <w:pPr>
        <w:spacing w:after="0" w:line="106" w:lineRule="exact"/>
        <w:rPr>
          <w:sz w:val="20"/>
          <w:szCs w:val="20"/>
          <w:color w:val="auto"/>
        </w:rPr>
      </w:pPr>
    </w:p>
    <w:p>
      <w:pPr>
        <w:jc w:val="both"/>
        <w:ind w:left="640" w:hanging="321"/>
        <w:spacing w:after="0" w:line="273" w:lineRule="auto"/>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amendment and restatement of ZoomInfo Technologies Inc.’s certificate of incorporation to, among other things, (i) provide for Class A, Class B, and Class C common stock and (ii) issue shares of Class B common stock to the Pre-IPO OpCo Unitholders and the Pre-IPO HoldCo Unitholders equal to the number of OpCo Units and HoldCo Units they own, respectively;</w:t>
      </w:r>
    </w:p>
    <w:p>
      <w:pPr>
        <w:spacing w:after="0" w:line="118" w:lineRule="exact"/>
        <w:rPr>
          <w:rFonts w:ascii="Arial" w:cs="Arial" w:eastAsia="Arial" w:hAnsi="Arial"/>
          <w:sz w:val="17"/>
          <w:szCs w:val="17"/>
          <w:color w:val="auto"/>
        </w:rPr>
      </w:pPr>
    </w:p>
    <w:p>
      <w:pPr>
        <w:ind w:left="640" w:hanging="321"/>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Blocker Mergers and the issuance of shares of Class C common stock to the Pre-IPO Blocker Holders;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approximate 69.5% non-controlling interest in ZoomInfo OpCo represented by OpCo Units not held by ZoomInfo HoldCo after the completion of the Reorganization Transactions and prior to the Offering Transactions;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approximate 5.4% non-controlling interest in ZoomInfo HoldCo represented by HoldCo Units not held by ZoomInfo Technologies Inc. after the completion of the Reorganization Transactions and prior to the Offering Transactions; and</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execution of the tax receivable agreements and recognition of the related payable under such agreements.</w:t>
      </w:r>
    </w:p>
    <w:p>
      <w:pPr>
        <w:spacing w:after="0" w:line="171"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The pro forma adjustments related to the Offering Transactions are described in the notes to the unaudited pro forma combined and consolidated financial information and primarily include:</w:t>
      </w:r>
    </w:p>
    <w:p>
      <w:pPr>
        <w:spacing w:after="0" w:line="106" w:lineRule="exact"/>
        <w:rPr>
          <w:sz w:val="20"/>
          <w:szCs w:val="20"/>
          <w:color w:val="auto"/>
        </w:rPr>
      </w:pPr>
    </w:p>
    <w:p>
      <w:pPr>
        <w:ind w:left="640" w:hanging="321"/>
        <w:spacing w:after="0" w:line="322" w:lineRule="auto"/>
        <w:tabs>
          <w:tab w:leader="none" w:pos="6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issuance of 44,500,000 shares of our Class A common stock in this offering and the receipt of net proceeds of approximately $886.6 million, based on the initial public offering price of $21.00 per share, after deducting the underwriting discount and estimated unpaid offering expenses;</w:t>
      </w:r>
    </w:p>
    <w:p>
      <w:pPr>
        <w:spacing w:after="0" w:line="82" w:lineRule="exact"/>
        <w:rPr>
          <w:rFonts w:ascii="Arial" w:cs="Arial" w:eastAsia="Arial" w:hAnsi="Arial"/>
          <w:sz w:val="16"/>
          <w:szCs w:val="16"/>
          <w:color w:val="auto"/>
        </w:rPr>
      </w:pPr>
    </w:p>
    <w:p>
      <w:pPr>
        <w:ind w:left="640" w:hanging="321"/>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redemption of all 51.75 million outstanding Series A Preferred Units for $274.2 million;</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payment of $380.6 million to repay all amounts outstanding under our second lien term loans, which includes related prepayment premiums of approximately $3.7 million and accrued interest of approximately $6.9 million; and</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payment of $35.0 million to repay all outstanding borrowings under our first lien revolving credit facility.</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unaudited pro forma combined and consolidated statement of operations for the year ended December 31, 2019 gives pro forma effect to the Transactions as if they had occurred on January 1, 2019. The unaudited pro forma combined and consolidated statement of operations for the three months ended March 31, 2020 gives pro forma effect to the Reorganization Transactions and the Offering Transactions as if they had occurred on January 1, 2019. The unaudited pro forma consolidated balance sheet as of March 31, 2020 gives effect to the Reorganization Transactions and the Offering Transactions as if they had occurred on March 31, 2020.</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40"/>
          </w:cols>
          <w:pgMar w:left="320" w:top="330" w:right="339" w:bottom="1440" w:gutter="0" w:footer="0" w:header="0"/>
        </w:sectPr>
      </w:pPr>
    </w:p>
    <w:bookmarkStart w:id="104" w:name="page105"/>
    <w:bookmarkEnd w:id="104"/>
    <w:p>
      <w:pPr>
        <w:jc w:val="both"/>
        <w:ind w:firstLine="314"/>
        <w:spacing w:after="0" w:line="265" w:lineRule="auto"/>
        <w:rPr>
          <w:sz w:val="20"/>
          <w:szCs w:val="20"/>
          <w:color w:val="auto"/>
        </w:rPr>
      </w:pPr>
      <w:r>
        <w:rPr>
          <w:rFonts w:ascii="Arial" w:cs="Arial" w:eastAsia="Arial" w:hAnsi="Arial"/>
          <w:sz w:val="17"/>
          <w:szCs w:val="17"/>
          <w:color w:val="auto"/>
        </w:rPr>
        <w:t>ZoomInfo OpCo’s historical consolidated financial information has been derived from its consolidated financial statements and accompanying notes included elsewhere in this prospectus. Pre-Acquisition ZI’s historical consolidated financial information has been derived from its consolidated financial statements and accompanying notes included elsewhere in this prospectus. ZoomInfo Technologies Inc. was formed on November 14, 2019 and will have no material assets or results of operations until the completion of this offering. Therefore, its historical financial information is not included in the unaudited pro forma combined and consolidated financial information.</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unaudited pro forma combined and consolidated financial information was prepared in accordance with Article 11 of Regulation S-X, using the assumptions set forth in the notes to the unaudited pro forma combined and consolidated financial information. The unaudited pro forma combined and consolidated financial information has been adjusted to give effect to events that are (i) directly attributable to the Transactions, (ii) factually supportable, and (iii) expected to have a continuing impact on the statement of operations.</w:t>
      </w:r>
    </w:p>
    <w:p>
      <w:pPr>
        <w:spacing w:after="0" w:line="126"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would be based on subjective estimates and assumptions that could not be factually supported. We have not included any pro forma adjustments related to these costs.</w:t>
      </w:r>
    </w:p>
    <w:p>
      <w:pPr>
        <w:spacing w:after="0" w:line="12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unaudited pro forma combined and consolidated financial information is provided for informational purposes only and is not necessarily indicative of the operating results that would have occurred if the Transactions had been completed as of the dates set forth above, nor is it indicative of our future results. The unaudited pro forma combined and consolidated financial information also does not give effect to the potential impact of any anticipated synergies, operating efficiencies, or cost savings that may result from the Transactions or any integration costs that do not have a continuing impact.</w:t>
      </w:r>
    </w:p>
    <w:p>
      <w:pPr>
        <w:spacing w:after="0" w:line="10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unaudited pro forma combined and consolidated financial information should be read together with “Organizational Structure,” “Capitalization,” “Selected Historical Consolidated Financial Data,” “Management’s Discussion and Analysis of Financial Condition and Results of Operations,” and our historical financial statements and related notes thereto and the historical financial statements of Pre-Acquisition ZI and related notes thereto, each included elsewhere in this prospectus.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40"/>
          </w:cols>
          <w:pgMar w:left="320" w:top="337"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UNAUDITED PRO FORMA COMBINED AND CONSOLIDATED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2019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millions, except per share data)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95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Pro Forma Adjustments</w:t>
            </w:r>
          </w:p>
        </w:tc>
        <w:tc>
          <w:tcPr>
            <w:tcW w:w="10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ZoomInfo OpCo</w:t>
            </w:r>
            <w:r>
              <w:rPr>
                <w:rFonts w:ascii="Arial" w:cs="Arial" w:eastAsia="Arial" w:hAnsi="Arial"/>
                <w:sz w:val="8"/>
                <w:szCs w:val="8"/>
                <w:b w:val="1"/>
                <w:bCs w:val="1"/>
                <w:color w:val="auto"/>
              </w:rPr>
              <w:t>(a)</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Pre-Acquisition</w:t>
            </w:r>
          </w:p>
        </w:tc>
        <w:tc>
          <w:tcPr>
            <w:tcW w:w="100" w:type="dxa"/>
            <w:vAlign w:val="bottom"/>
          </w:tcPr>
          <w:p>
            <w:pPr>
              <w:spacing w:after="0"/>
              <w:rPr>
                <w:sz w:val="12"/>
                <w:szCs w:val="12"/>
                <w:color w:val="auto"/>
              </w:rPr>
            </w:pPr>
          </w:p>
        </w:tc>
        <w:tc>
          <w:tcPr>
            <w:tcW w:w="13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Zoom Information</w:t>
            </w:r>
          </w:p>
        </w:tc>
        <w:tc>
          <w:tcPr>
            <w:tcW w:w="180" w:type="dxa"/>
            <w:vAlign w:val="bottom"/>
          </w:tcPr>
          <w:p>
            <w:pPr>
              <w:spacing w:after="0"/>
              <w:rPr>
                <w:sz w:val="12"/>
                <w:szCs w:val="12"/>
                <w:color w:val="auto"/>
              </w:rPr>
            </w:pPr>
          </w:p>
        </w:tc>
        <w:tc>
          <w:tcPr>
            <w:tcW w:w="1260" w:type="dxa"/>
            <w:vAlign w:val="bottom"/>
          </w:tcPr>
          <w:p>
            <w:pPr>
              <w:jc w:val="right"/>
              <w:ind w:right="210"/>
              <w:spacing w:after="0" w:line="148" w:lineRule="exact"/>
              <w:rPr>
                <w:sz w:val="20"/>
                <w:szCs w:val="20"/>
                <w:color w:val="auto"/>
              </w:rPr>
            </w:pPr>
            <w:r>
              <w:rPr>
                <w:rFonts w:ascii="Arial" w:cs="Arial" w:eastAsia="Arial" w:hAnsi="Arial"/>
                <w:sz w:val="14"/>
                <w:szCs w:val="14"/>
                <w:b w:val="1"/>
                <w:bCs w:val="1"/>
                <w:color w:val="auto"/>
                <w:w w:val="94"/>
              </w:rPr>
              <w:t>Reorganization</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Offering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10"/>
              <w:spacing w:after="0" w:line="148"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ZI</w:t>
            </w:r>
            <w:r>
              <w:rPr>
                <w:rFonts w:ascii="Arial" w:cs="Arial" w:eastAsia="Arial" w:hAnsi="Arial"/>
                <w:sz w:val="8"/>
                <w:szCs w:val="8"/>
                <w:b w:val="1"/>
                <w:bCs w:val="1"/>
                <w:color w:val="auto"/>
              </w:rPr>
              <w:t>(b)</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Acquisition</w:t>
            </w:r>
            <w:r>
              <w:rPr>
                <w:rFonts w:ascii="Arial" w:cs="Arial" w:eastAsia="Arial" w:hAnsi="Arial"/>
                <w:sz w:val="8"/>
                <w:szCs w:val="8"/>
                <w:b w:val="1"/>
                <w:bCs w:val="1"/>
                <w:color w:val="auto"/>
              </w:rPr>
              <w:t>(c)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Transactions</w:t>
            </w:r>
          </w:p>
        </w:tc>
        <w:tc>
          <w:tcPr>
            <w:tcW w:w="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4"/>
              </w:rPr>
              <w:t>Transactions</w:t>
            </w: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47"/>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334.6</w:t>
            </w:r>
          </w:p>
        </w:tc>
        <w:tc>
          <w:tcPr>
            <w:tcW w:w="0" w:type="dxa"/>
            <w:vAlign w:val="bottom"/>
          </w:tcPr>
          <w:p>
            <w:pPr>
              <w:spacing w:after="0"/>
              <w:rPr>
                <w:sz w:val="1"/>
                <w:szCs w:val="1"/>
                <w:color w:val="auto"/>
              </w:rPr>
            </w:pPr>
          </w:p>
        </w:tc>
      </w:tr>
      <w:tr>
        <w:trPr>
          <w:trHeight w:val="314"/>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w:t>
            </w: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480" w:type="dxa"/>
            <w:vAlign w:val="bottom"/>
          </w:tcPr>
          <w:p>
            <w:pPr>
              <w:ind w:left="260"/>
              <w:spacing w:after="0"/>
              <w:rPr>
                <w:sz w:val="20"/>
                <w:szCs w:val="20"/>
                <w:color w:val="auto"/>
              </w:rPr>
            </w:pPr>
            <w:r>
              <w:rPr>
                <w:rFonts w:ascii="Arial" w:cs="Arial" w:eastAsia="Arial" w:hAnsi="Arial"/>
                <w:sz w:val="14"/>
                <w:szCs w:val="14"/>
                <w:color w:val="auto"/>
              </w:rPr>
              <w:t>Cost of service</w:t>
            </w:r>
          </w:p>
        </w:tc>
        <w:tc>
          <w:tcPr>
            <w:tcW w:w="4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9.8</w:t>
            </w:r>
          </w:p>
        </w:tc>
        <w:tc>
          <w:tcPr>
            <w:tcW w:w="520" w:type="dxa"/>
            <w:vAlign w:val="bottom"/>
            <w:gridSpan w:val="2"/>
          </w:tcPr>
          <w:p>
            <w:pPr>
              <w:ind w:left="20"/>
              <w:spacing w:after="0"/>
              <w:rPr>
                <w:sz w:val="20"/>
                <w:szCs w:val="20"/>
                <w:color w:val="auto"/>
              </w:rPr>
            </w:pPr>
            <w:r>
              <w:rPr>
                <w:rFonts w:ascii="Arial" w:cs="Arial" w:eastAsia="Arial" w:hAnsi="Arial"/>
                <w:sz w:val="10"/>
                <w:szCs w:val="10"/>
                <w:color w:val="auto"/>
              </w:rPr>
              <w:t>(m)</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62"/>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8"/>
              </w:rPr>
              <w:t>Amortization of acquired technology</w:t>
            </w: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42"/>
        </w:trPr>
        <w:tc>
          <w:tcPr>
            <w:tcW w:w="248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46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320"/>
        </w:trPr>
        <w:tc>
          <w:tcPr>
            <w:tcW w:w="2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4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19.3</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112.9</w:t>
            </w:r>
          </w:p>
        </w:tc>
        <w:tc>
          <w:tcPr>
            <w:tcW w:w="0" w:type="dxa"/>
            <w:vAlign w:val="bottom"/>
          </w:tcPr>
          <w:p>
            <w:pPr>
              <w:spacing w:after="0"/>
              <w:rPr>
                <w:sz w:val="1"/>
                <w:szCs w:val="1"/>
                <w:color w:val="auto"/>
              </w:rPr>
            </w:pPr>
          </w:p>
        </w:tc>
      </w:tr>
      <w:tr>
        <w:trPr>
          <w:trHeight w:val="257"/>
        </w:trPr>
        <w:tc>
          <w:tcPr>
            <w:tcW w:w="248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4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(0.8)</w:t>
            </w:r>
          </w:p>
        </w:tc>
        <w:tc>
          <w:tcPr>
            <w:tcW w:w="520" w:type="dxa"/>
            <w:vAlign w:val="bottom"/>
            <w:gridSpan w:val="2"/>
          </w:tcPr>
          <w:p>
            <w:pPr>
              <w:ind w:left="20"/>
              <w:spacing w:after="0"/>
              <w:rPr>
                <w:sz w:val="20"/>
                <w:szCs w:val="20"/>
                <w:color w:val="auto"/>
              </w:rPr>
            </w:pPr>
            <w:r>
              <w:rPr>
                <w:rFonts w:ascii="Arial" w:cs="Arial" w:eastAsia="Arial" w:hAnsi="Arial"/>
                <w:sz w:val="10"/>
                <w:szCs w:val="10"/>
                <w:color w:val="auto"/>
              </w:rPr>
              <w:t>(m)</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67"/>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52"/>
        </w:trPr>
        <w:tc>
          <w:tcPr>
            <w:tcW w:w="2480" w:type="dxa"/>
            <w:vAlign w:val="bottom"/>
          </w:tcPr>
          <w:p>
            <w:pPr>
              <w:ind w:left="260"/>
              <w:spacing w:after="0" w:line="152" w:lineRule="exact"/>
              <w:rPr>
                <w:sz w:val="20"/>
                <w:szCs w:val="20"/>
                <w:color w:val="auto"/>
              </w:rPr>
            </w:pPr>
            <w:r>
              <w:rPr>
                <w:rFonts w:ascii="Arial" w:cs="Arial" w:eastAsia="Arial" w:hAnsi="Arial"/>
                <w:sz w:val="14"/>
                <w:szCs w:val="14"/>
                <w:color w:val="auto"/>
              </w:rPr>
              <w:t>Amortization of other acquired</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80" w:type="dxa"/>
            <w:vAlign w:val="bottom"/>
          </w:tcPr>
          <w:p>
            <w:pPr>
              <w:ind w:left="420"/>
              <w:spacing w:after="0"/>
              <w:rPr>
                <w:sz w:val="20"/>
                <w:szCs w:val="20"/>
                <w:color w:val="auto"/>
              </w:rPr>
            </w:pPr>
            <w:r>
              <w:rPr>
                <w:rFonts w:ascii="Arial" w:cs="Arial" w:eastAsia="Arial" w:hAnsi="Arial"/>
                <w:sz w:val="14"/>
                <w:szCs w:val="14"/>
                <w:color w:val="auto"/>
              </w:rPr>
              <w:t>intangibles</w:t>
            </w:r>
          </w:p>
        </w:tc>
        <w:tc>
          <w:tcPr>
            <w:tcW w:w="460" w:type="dxa"/>
            <w:vAlign w:val="bottom"/>
          </w:tcPr>
          <w:p>
            <w:pPr>
              <w:spacing w:after="0"/>
              <w:rPr>
                <w:sz w:val="15"/>
                <w:szCs w:val="15"/>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57"/>
        </w:trPr>
        <w:tc>
          <w:tcPr>
            <w:tcW w:w="24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w w:val="95"/>
              </w:rPr>
              <w:t>Restructuring and transaction-related</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expenses</w:t>
            </w: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42"/>
        </w:trPr>
        <w:tc>
          <w:tcPr>
            <w:tcW w:w="2480" w:type="dxa"/>
            <w:vAlign w:val="bottom"/>
          </w:tcPr>
          <w:p>
            <w:pPr>
              <w:ind w:left="40"/>
              <w:spacing w:after="0"/>
              <w:rPr>
                <w:sz w:val="20"/>
                <w:szCs w:val="20"/>
                <w:color w:val="auto"/>
              </w:rPr>
            </w:pPr>
            <w:r>
              <w:rPr>
                <w:rFonts w:ascii="Arial" w:cs="Arial" w:eastAsia="Arial" w:hAnsi="Arial"/>
                <w:sz w:val="14"/>
                <w:szCs w:val="14"/>
                <w:color w:val="auto"/>
              </w:rPr>
              <w:t>Income (loss) from operations</w:t>
            </w: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67"/>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 net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257"/>
        </w:trPr>
        <w:tc>
          <w:tcPr>
            <w:tcW w:w="248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46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62"/>
        </w:trPr>
        <w:tc>
          <w:tcPr>
            <w:tcW w:w="2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income, net</w:t>
            </w:r>
          </w:p>
        </w:tc>
        <w:tc>
          <w:tcPr>
            <w:tcW w:w="4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248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(84.5)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6.4</w:t>
            </w:r>
          </w:p>
        </w:tc>
        <w:tc>
          <w:tcPr>
            <w:tcW w:w="3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57"/>
        </w:trPr>
        <w:tc>
          <w:tcPr>
            <w:tcW w:w="24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Provision for (benefit from) income</w:t>
            </w: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taxes</w:t>
            </w:r>
            <w:r>
              <w:rPr>
                <w:rFonts w:ascii="Arial" w:cs="Arial" w:eastAsia="Arial" w:hAnsi="Arial"/>
                <w:sz w:val="8"/>
                <w:szCs w:val="8"/>
                <w:color w:val="auto"/>
              </w:rPr>
              <w:t>(d)</w:t>
            </w: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87"/>
        </w:trPr>
        <w:tc>
          <w:tcPr>
            <w:tcW w:w="2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4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5.2</w:t>
            </w:r>
          </w:p>
        </w:tc>
        <w:tc>
          <w:tcPr>
            <w:tcW w:w="3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05"/>
        </w:trPr>
        <w:tc>
          <w:tcPr>
            <w:tcW w:w="2480" w:type="dxa"/>
            <w:vAlign w:val="bottom"/>
            <w:shd w:val="clear" w:color="auto" w:fill="CCEEFF"/>
          </w:tcPr>
          <w:p>
            <w:pPr>
              <w:ind w:left="260"/>
              <w:spacing w:after="0" w:line="105" w:lineRule="exact"/>
              <w:rPr>
                <w:sz w:val="20"/>
                <w:szCs w:val="20"/>
                <w:color w:val="auto"/>
              </w:rPr>
            </w:pPr>
            <w:r>
              <w:rPr>
                <w:rFonts w:ascii="Arial" w:cs="Arial" w:eastAsia="Arial" w:hAnsi="Arial"/>
                <w:sz w:val="12"/>
                <w:szCs w:val="12"/>
                <w:color w:val="auto"/>
              </w:rPr>
              <w:t>Less: Net income (loss) attributable to</w:t>
            </w:r>
          </w:p>
        </w:tc>
        <w:tc>
          <w:tcPr>
            <w:tcW w:w="4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160" w:type="dxa"/>
            <w:vAlign w:val="bottom"/>
            <w:vMerge w:val="restart"/>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200" w:type="dxa"/>
            <w:vAlign w:val="bottom"/>
            <w:vMerge w:val="restart"/>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the non-controlling interest</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3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8.1</w:t>
            </w:r>
          </w:p>
        </w:tc>
        <w:tc>
          <w:tcPr>
            <w:tcW w:w="320" w:type="dxa"/>
            <w:vAlign w:val="bottom"/>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32"/>
        </w:trPr>
        <w:tc>
          <w:tcPr>
            <w:tcW w:w="2480" w:type="dxa"/>
            <w:vAlign w:val="bottom"/>
          </w:tcPr>
          <w:p>
            <w:pPr>
              <w:ind w:left="40"/>
              <w:spacing w:after="0" w:line="132" w:lineRule="exact"/>
              <w:rPr>
                <w:sz w:val="20"/>
                <w:szCs w:val="20"/>
                <w:color w:val="auto"/>
              </w:rPr>
            </w:pPr>
            <w:r>
              <w:rPr>
                <w:rFonts w:ascii="Arial" w:cs="Arial" w:eastAsia="Arial" w:hAnsi="Arial"/>
                <w:sz w:val="14"/>
                <w:szCs w:val="14"/>
                <w:color w:val="auto"/>
                <w:w w:val="92"/>
              </w:rPr>
              <w:t>Net income (loss) attributable to ZoomInfo</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50"/>
              <w:spacing w:after="0"/>
              <w:rPr>
                <w:sz w:val="20"/>
                <w:szCs w:val="20"/>
                <w:color w:val="auto"/>
              </w:rPr>
            </w:pPr>
            <w:r>
              <w:rPr>
                <w:rFonts w:ascii="Arial" w:cs="Arial" w:eastAsia="Arial" w:hAnsi="Arial"/>
                <w:sz w:val="14"/>
                <w:szCs w:val="14"/>
                <w:color w:val="auto"/>
              </w:rPr>
              <w:t>39.9</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52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16"/>
        </w:trPr>
        <w:tc>
          <w:tcPr>
            <w:tcW w:w="2480" w:type="dxa"/>
            <w:vAlign w:val="bottom"/>
          </w:tcPr>
          <w:p>
            <w:pPr>
              <w:ind w:left="180"/>
              <w:spacing w:after="0"/>
              <w:rPr>
                <w:sz w:val="20"/>
                <w:szCs w:val="20"/>
                <w:color w:val="auto"/>
              </w:rPr>
            </w:pPr>
            <w:r>
              <w:rPr>
                <w:rFonts w:ascii="Arial" w:cs="Arial" w:eastAsia="Arial" w:hAnsi="Arial"/>
                <w:sz w:val="14"/>
                <w:szCs w:val="14"/>
                <w:color w:val="auto"/>
              </w:rPr>
              <w:t>Technologies Inc.</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80" w:type="dxa"/>
            <w:vAlign w:val="bottom"/>
            <w:tcBorders>
              <w:top w:val="single" w:sz="8" w:color="CCEEFF"/>
            </w:tcBorders>
            <w:shd w:val="clear" w:color="auto" w:fill="CCEEFF"/>
          </w:tcPr>
          <w:p>
            <w:pPr>
              <w:ind w:left="40"/>
              <w:spacing w:after="0" w:line="105" w:lineRule="exact"/>
              <w:rPr>
                <w:sz w:val="20"/>
                <w:szCs w:val="20"/>
                <w:color w:val="auto"/>
              </w:rPr>
            </w:pPr>
            <w:r>
              <w:rPr>
                <w:rFonts w:ascii="Arial" w:cs="Arial" w:eastAsia="Arial" w:hAnsi="Arial"/>
                <w:sz w:val="12"/>
                <w:szCs w:val="12"/>
                <w:color w:val="auto"/>
              </w:rPr>
              <w:t>Net income (loss) per Class A and Class C</w:t>
            </w:r>
          </w:p>
        </w:tc>
        <w:tc>
          <w:tcPr>
            <w:tcW w:w="4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shares–basic and diluted</w:t>
            </w:r>
            <w:r>
              <w:rPr>
                <w:rFonts w:ascii="Arial" w:cs="Arial" w:eastAsia="Arial" w:hAnsi="Arial"/>
                <w:sz w:val="8"/>
                <w:szCs w:val="8"/>
                <w:color w:val="auto"/>
              </w:rPr>
              <w:t>(g)(h)</w:t>
            </w:r>
          </w:p>
        </w:tc>
        <w:tc>
          <w:tcPr>
            <w:tcW w:w="4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52"/>
        </w:trPr>
        <w:tc>
          <w:tcPr>
            <w:tcW w:w="2480" w:type="dxa"/>
            <w:vAlign w:val="bottom"/>
          </w:tcPr>
          <w:p>
            <w:pPr>
              <w:ind w:left="40"/>
              <w:spacing w:after="0" w:line="152" w:lineRule="exact"/>
              <w:rPr>
                <w:sz w:val="20"/>
                <w:szCs w:val="20"/>
                <w:color w:val="auto"/>
              </w:rPr>
            </w:pPr>
            <w:r>
              <w:rPr>
                <w:rFonts w:ascii="Arial" w:cs="Arial" w:eastAsia="Arial" w:hAnsi="Arial"/>
                <w:sz w:val="14"/>
                <w:szCs w:val="14"/>
                <w:color w:val="auto"/>
                <w:w w:val="91"/>
              </w:rPr>
              <w:t>Shares used in basic and diluted per share</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80" w:type="dxa"/>
            <w:vAlign w:val="bottom"/>
          </w:tcPr>
          <w:p>
            <w:pPr>
              <w:ind w:left="180"/>
              <w:spacing w:after="0"/>
              <w:rPr>
                <w:sz w:val="20"/>
                <w:szCs w:val="20"/>
                <w:color w:val="auto"/>
              </w:rPr>
            </w:pPr>
            <w:r>
              <w:rPr>
                <w:rFonts w:ascii="Arial" w:cs="Arial" w:eastAsia="Arial" w:hAnsi="Arial"/>
                <w:sz w:val="14"/>
                <w:szCs w:val="14"/>
                <w:color w:val="auto"/>
              </w:rPr>
              <w:t>calculations</w:t>
            </w:r>
            <w:r>
              <w:rPr>
                <w:rFonts w:ascii="Arial" w:cs="Arial" w:eastAsia="Arial" w:hAnsi="Arial"/>
                <w:sz w:val="8"/>
                <w:szCs w:val="8"/>
                <w:color w:val="auto"/>
              </w:rPr>
              <w:t>(g)(h)</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143,485,371</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40"/>
          </w:cols>
          <w:pgMar w:left="320" w:top="435"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UNAUDITED PRO FORMA CONSOLIDATED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March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millions, except per share data)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Pro Forma Adjustments</w:t>
            </w:r>
          </w:p>
        </w:tc>
        <w:tc>
          <w:tcPr>
            <w:tcW w:w="6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w w:val="96"/>
              </w:rPr>
              <w:t>ZoomInfo OpCo</w:t>
            </w:r>
            <w:r>
              <w:rPr>
                <w:rFonts w:ascii="Arial" w:cs="Arial" w:eastAsia="Arial" w:hAnsi="Arial"/>
                <w:sz w:val="8"/>
                <w:szCs w:val="8"/>
                <w:b w:val="1"/>
                <w:bCs w:val="1"/>
                <w:color w:val="auto"/>
                <w:w w:val="96"/>
              </w:rPr>
              <w:t>(a)</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210"/>
              <w:spacing w:after="0" w:line="146" w:lineRule="exact"/>
              <w:rPr>
                <w:sz w:val="20"/>
                <w:szCs w:val="20"/>
                <w:color w:val="auto"/>
              </w:rPr>
            </w:pPr>
            <w:r>
              <w:rPr>
                <w:rFonts w:ascii="Arial" w:cs="Arial" w:eastAsia="Arial" w:hAnsi="Arial"/>
                <w:sz w:val="14"/>
                <w:szCs w:val="14"/>
                <w:b w:val="1"/>
                <w:bCs w:val="1"/>
                <w:color w:val="auto"/>
                <w:w w:val="98"/>
              </w:rPr>
              <w:t>Reorganization</w:t>
            </w:r>
          </w:p>
        </w:tc>
        <w:tc>
          <w:tcPr>
            <w:tcW w:w="340" w:type="dxa"/>
            <w:vAlign w:val="bottom"/>
          </w:tcPr>
          <w:p>
            <w:pPr>
              <w:spacing w:after="0"/>
              <w:rPr>
                <w:sz w:val="12"/>
                <w:szCs w:val="12"/>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Offering Transactions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8"/>
        </w:trPr>
        <w:tc>
          <w:tcPr>
            <w:tcW w:w="4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Transactions</w:t>
            </w:r>
          </w:p>
        </w:tc>
        <w:tc>
          <w:tcPr>
            <w:tcW w:w="3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314"/>
        </w:trPr>
        <w:tc>
          <w:tcPr>
            <w:tcW w:w="4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Arial" w:cs="Arial" w:eastAsia="Arial" w:hAnsi="Arial"/>
                <w:sz w:val="14"/>
                <w:szCs w:val="14"/>
                <w:color w:val="auto"/>
              </w:rPr>
              <w:t>Cost of service</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gridSpan w:val="2"/>
          </w:tcPr>
          <w:p>
            <w:pPr>
              <w:jc w:val="right"/>
              <w:ind w:right="63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2.5</w:t>
            </w:r>
          </w:p>
        </w:tc>
        <w:tc>
          <w:tcPr>
            <w:tcW w:w="560" w:type="dxa"/>
            <w:vAlign w:val="bottom"/>
            <w:gridSpan w:val="2"/>
          </w:tcPr>
          <w:p>
            <w:pPr>
              <w:ind w:left="20"/>
              <w:spacing w:after="0"/>
              <w:rPr>
                <w:sz w:val="20"/>
                <w:szCs w:val="20"/>
                <w:color w:val="auto"/>
              </w:rPr>
            </w:pPr>
            <w:r>
              <w:rPr>
                <w:rFonts w:ascii="Arial" w:cs="Arial" w:eastAsia="Arial" w:hAnsi="Arial"/>
                <w:sz w:val="10"/>
                <w:szCs w:val="10"/>
                <w:color w:val="auto"/>
              </w:rPr>
              <w:t>(m)</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acquired technology</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42"/>
        </w:trPr>
        <w:tc>
          <w:tcPr>
            <w:tcW w:w="462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81.8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320"/>
        </w:trPr>
        <w:tc>
          <w:tcPr>
            <w:tcW w:w="4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w:t>
            </w:r>
          </w:p>
        </w:tc>
        <w:tc>
          <w:tcPr>
            <w:tcW w:w="560" w:type="dxa"/>
            <w:vAlign w:val="bottom"/>
            <w:gridSpan w:val="2"/>
          </w:tcPr>
          <w:p>
            <w:pPr>
              <w:ind w:left="20"/>
              <w:spacing w:after="0"/>
              <w:rPr>
                <w:sz w:val="20"/>
                <w:szCs w:val="20"/>
                <w:color w:val="auto"/>
              </w:rPr>
            </w:pPr>
            <w:r>
              <w:rPr>
                <w:rFonts w:ascii="Arial" w:cs="Arial" w:eastAsia="Arial" w:hAnsi="Arial"/>
                <w:sz w:val="10"/>
                <w:szCs w:val="10"/>
                <w:color w:val="auto"/>
              </w:rPr>
              <w:t>(m)</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67"/>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Arial" w:cs="Arial" w:eastAsia="Arial" w:hAnsi="Arial"/>
                <w:sz w:val="14"/>
                <w:szCs w:val="14"/>
                <w:color w:val="auto"/>
              </w:rPr>
              <w:t>Amortization of other acquired intangibles</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Restructuring and transaction-related expenses</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42"/>
        </w:trPr>
        <w:tc>
          <w:tcPr>
            <w:tcW w:w="4620" w:type="dxa"/>
            <w:vAlign w:val="bottom"/>
          </w:tcPr>
          <w:p>
            <w:pPr>
              <w:ind w:left="40"/>
              <w:spacing w:after="0"/>
              <w:rPr>
                <w:sz w:val="20"/>
                <w:szCs w:val="20"/>
                <w:color w:val="auto"/>
              </w:rPr>
            </w:pPr>
            <w:r>
              <w:rPr>
                <w:rFonts w:ascii="Arial" w:cs="Arial" w:eastAsia="Arial" w:hAnsi="Arial"/>
                <w:sz w:val="14"/>
                <w:szCs w:val="14"/>
                <w:color w:val="auto"/>
              </w:rPr>
              <w:t>Income (loss) from operations</w:t>
            </w:r>
          </w:p>
        </w:tc>
        <w:tc>
          <w:tcPr>
            <w:tcW w:w="1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67"/>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 net</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(f)</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Arial" w:cs="Arial" w:eastAsia="Arial" w:hAnsi="Arial"/>
                <w:sz w:val="14"/>
                <w:szCs w:val="14"/>
                <w:color w:val="auto"/>
              </w:rPr>
              <w:t>Loss on debt extinguishment</w:t>
            </w:r>
          </w:p>
        </w:tc>
        <w:tc>
          <w:tcPr>
            <w:tcW w:w="140" w:type="dxa"/>
            <w:vAlign w:val="bottom"/>
          </w:tcPr>
          <w:p>
            <w:pPr>
              <w:spacing w:after="0"/>
              <w:rPr>
                <w:sz w:val="22"/>
                <w:szCs w:val="22"/>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income, net</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2"/>
        </w:trPr>
        <w:tc>
          <w:tcPr>
            <w:tcW w:w="462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Provision for (Benefit from) income taxes</w:t>
            </w:r>
            <w:r>
              <w:rPr>
                <w:rFonts w:ascii="Arial" w:cs="Arial" w:eastAsia="Arial" w:hAnsi="Arial"/>
                <w:sz w:val="8"/>
                <w:szCs w:val="8"/>
                <w:color w:val="auto"/>
              </w:rPr>
              <w:t>(d)</w:t>
            </w: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8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0.6</w:t>
            </w:r>
          </w:p>
        </w:tc>
        <w:tc>
          <w:tcPr>
            <w:tcW w:w="3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Net income (loss) attributable to the non-controlling interest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8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320" w:type="dxa"/>
            <w:vAlign w:val="bottom"/>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4"/>
        </w:trPr>
        <w:tc>
          <w:tcPr>
            <w:tcW w:w="4620" w:type="dxa"/>
            <w:vAlign w:val="bottom"/>
          </w:tcPr>
          <w:p>
            <w:pPr>
              <w:ind w:left="40"/>
              <w:spacing w:after="0"/>
              <w:rPr>
                <w:sz w:val="20"/>
                <w:szCs w:val="20"/>
                <w:color w:val="auto"/>
              </w:rPr>
            </w:pPr>
            <w:r>
              <w:rPr>
                <w:rFonts w:ascii="Arial" w:cs="Arial" w:eastAsia="Arial" w:hAnsi="Arial"/>
                <w:sz w:val="14"/>
                <w:szCs w:val="14"/>
                <w:color w:val="auto"/>
              </w:rPr>
              <w:t>Net income attributable to ZoomInfo Technologies Inc.</w:t>
            </w: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4.2</w:t>
            </w:r>
          </w:p>
        </w:tc>
        <w:tc>
          <w:tcPr>
            <w:tcW w:w="1140" w:type="dxa"/>
            <w:vAlign w:val="bottom"/>
            <w:gridSpan w:val="2"/>
          </w:tcPr>
          <w:p>
            <w:pPr>
              <w:jc w:val="right"/>
              <w:ind w:right="63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94"/>
        </w:trPr>
        <w:tc>
          <w:tcPr>
            <w:tcW w:w="46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3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Arial" w:cs="Arial" w:eastAsia="Arial" w:hAnsi="Arial"/>
                <w:sz w:val="14"/>
                <w:szCs w:val="14"/>
                <w:color w:val="auto"/>
              </w:rPr>
              <w:t>Net income (loss) per Class A and Class C shares–basic and diluted</w:t>
            </w:r>
            <w:r>
              <w:rPr>
                <w:rFonts w:ascii="Arial" w:cs="Arial" w:eastAsia="Arial" w:hAnsi="Arial"/>
                <w:sz w:val="8"/>
                <w:szCs w:val="8"/>
                <w:color w:val="auto"/>
              </w:rPr>
              <w:t>(g)(h)</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67"/>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used in basic per share calculations</w:t>
            </w:r>
            <w:r>
              <w:rPr>
                <w:rFonts w:ascii="Arial" w:cs="Arial" w:eastAsia="Arial" w:hAnsi="Arial"/>
                <w:sz w:val="8"/>
                <w:szCs w:val="8"/>
                <w:color w:val="auto"/>
              </w:rPr>
              <w:t>(g)(h)</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143,485,371</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40"/>
          </w:cols>
          <w:pgMar w:left="320" w:top="435"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UNAUDITED PRO FORMA CONSOLIDATED BALANCE SHEET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March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millions, except share amounts)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4"/>
                <w:szCs w:val="14"/>
                <w:b w:val="1"/>
                <w:bCs w:val="1"/>
                <w:color w:val="auto"/>
              </w:rPr>
              <w:t>Pro Forma Adjustments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4"/>
              </w:rPr>
              <w:t>ZoomInfo</w:t>
            </w:r>
          </w:p>
        </w:tc>
        <w:tc>
          <w:tcPr>
            <w:tcW w:w="180" w:type="dxa"/>
            <w:vAlign w:val="bottom"/>
          </w:tcPr>
          <w:p>
            <w:pPr>
              <w:spacing w:after="0"/>
              <w:rPr>
                <w:sz w:val="12"/>
                <w:szCs w:val="12"/>
                <w:color w:val="auto"/>
              </w:rPr>
            </w:pPr>
          </w:p>
        </w:tc>
        <w:tc>
          <w:tcPr>
            <w:tcW w:w="1300" w:type="dxa"/>
            <w:vAlign w:val="bottom"/>
          </w:tcPr>
          <w:p>
            <w:pPr>
              <w:jc w:val="right"/>
              <w:ind w:right="198"/>
              <w:spacing w:after="0" w:line="148" w:lineRule="exact"/>
              <w:rPr>
                <w:sz w:val="20"/>
                <w:szCs w:val="20"/>
                <w:color w:val="auto"/>
              </w:rPr>
            </w:pPr>
            <w:r>
              <w:rPr>
                <w:rFonts w:ascii="Arial" w:cs="Arial" w:eastAsia="Arial" w:hAnsi="Arial"/>
                <w:sz w:val="14"/>
                <w:szCs w:val="14"/>
                <w:b w:val="1"/>
                <w:bCs w:val="1"/>
                <w:color w:val="auto"/>
                <w:w w:val="98"/>
              </w:rPr>
              <w:t>Reorganization</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Offering</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10"/>
              <w:spacing w:after="0" w:line="148" w:lineRule="exact"/>
              <w:rPr>
                <w:sz w:val="20"/>
                <w:szCs w:val="20"/>
                <w:color w:val="auto"/>
              </w:rPr>
            </w:pPr>
            <w:r>
              <w:rPr>
                <w:rFonts w:ascii="Arial" w:cs="Arial" w:eastAsia="Arial" w:hAnsi="Arial"/>
                <w:sz w:val="14"/>
                <w:szCs w:val="14"/>
                <w:b w:val="1"/>
                <w:bCs w:val="1"/>
                <w:color w:val="auto"/>
              </w:rPr>
              <w:t>Pro Forma</w:t>
            </w:r>
          </w:p>
        </w:tc>
      </w:tr>
      <w:tr>
        <w:trPr>
          <w:trHeight w:val="188"/>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OpCo</w:t>
            </w:r>
            <w:r>
              <w:rPr>
                <w:rFonts w:ascii="Arial" w:cs="Arial" w:eastAsia="Arial" w:hAnsi="Arial"/>
                <w:sz w:val="8"/>
                <w:szCs w:val="8"/>
                <w:b w:val="1"/>
                <w:bCs w:val="1"/>
                <w:color w:val="auto"/>
                <w:w w:val="95"/>
              </w:rPr>
              <w:t>(a)</w:t>
            </w:r>
          </w:p>
        </w:tc>
        <w:tc>
          <w:tcPr>
            <w:tcW w:w="180" w:type="dxa"/>
            <w:vAlign w:val="bottom"/>
          </w:tcPr>
          <w:p>
            <w:pPr>
              <w:spacing w:after="0"/>
              <w:rPr>
                <w:sz w:val="16"/>
                <w:szCs w:val="16"/>
                <w:color w:val="auto"/>
              </w:rPr>
            </w:pPr>
          </w:p>
        </w:tc>
        <w:tc>
          <w:tcPr>
            <w:tcW w:w="1300" w:type="dxa"/>
            <w:vAlign w:val="bottom"/>
          </w:tcPr>
          <w:p>
            <w:pPr>
              <w:jc w:val="right"/>
              <w:ind w:right="278"/>
              <w:spacing w:after="0"/>
              <w:rPr>
                <w:sz w:val="20"/>
                <w:szCs w:val="20"/>
                <w:color w:val="auto"/>
              </w:rPr>
            </w:pPr>
            <w:r>
              <w:rPr>
                <w:rFonts w:ascii="Arial" w:cs="Arial" w:eastAsia="Arial" w:hAnsi="Arial"/>
                <w:sz w:val="14"/>
                <w:szCs w:val="14"/>
                <w:b w:val="1"/>
                <w:bCs w:val="1"/>
                <w:color w:val="auto"/>
              </w:rPr>
              <w:t>Transactions</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b w:val="1"/>
                <w:bCs w:val="1"/>
                <w:color w:val="auto"/>
                <w:w w:val="94"/>
              </w:rPr>
              <w:t>Transactions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b w:val="1"/>
                <w:bCs w:val="1"/>
                <w:color w:val="auto"/>
                <w:w w:val="92"/>
              </w:rPr>
              <w:t>Consolidated</w:t>
            </w:r>
          </w:p>
        </w:tc>
      </w:tr>
      <w:tr>
        <w:trPr>
          <w:trHeight w:val="260"/>
        </w:trPr>
        <w:tc>
          <w:tcPr>
            <w:tcW w:w="4840" w:type="dxa"/>
            <w:vAlign w:val="bottom"/>
            <w:tcBorders>
              <w:top w:val="single" w:sz="8" w:color="CCEEFF"/>
            </w:tcBorders>
            <w:shd w:val="clear" w:color="auto" w:fill="CCEEFF"/>
          </w:tcPr>
          <w:p>
            <w:pPr>
              <w:ind w:left="224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139.2</w:t>
            </w:r>
          </w:p>
        </w:tc>
        <w:tc>
          <w:tcPr>
            <w:tcW w:w="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(k)</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202.2</w:t>
            </w: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1.1</w:t>
            </w: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83.1</w:t>
            </w: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w:t>
            </w:r>
          </w:p>
        </w:tc>
        <w:tc>
          <w:tcPr>
            <w:tcW w:w="780" w:type="dxa"/>
            <w:vAlign w:val="bottom"/>
          </w:tcPr>
          <w:p>
            <w:pPr>
              <w:ind w:left="20"/>
              <w:spacing w:after="0"/>
              <w:rPr>
                <w:sz w:val="20"/>
                <w:szCs w:val="20"/>
                <w:color w:val="auto"/>
              </w:rPr>
            </w:pPr>
            <w:r>
              <w:rPr>
                <w:rFonts w:ascii="Arial" w:cs="Arial" w:eastAsia="Arial" w:hAnsi="Arial"/>
                <w:sz w:val="12"/>
                <w:szCs w:val="12"/>
                <w:color w:val="auto"/>
              </w:rPr>
              <w:t>(l)</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6.9</w:t>
            </w: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costs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8.0</w:t>
            </w: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Income tax receivable</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4.1</w:t>
            </w:r>
          </w:p>
        </w:tc>
      </w:tr>
      <w:tr>
        <w:trPr>
          <w:trHeight w:val="262"/>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Related party receivable</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5"/>
        </w:trPr>
        <w:tc>
          <w:tcPr>
            <w:tcW w:w="48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132.6</w:t>
            </w:r>
          </w:p>
        </w:tc>
        <w:tc>
          <w:tcPr>
            <w:tcW w:w="7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305.4</w:t>
            </w:r>
          </w:p>
        </w:tc>
      </w:tr>
      <w:tr>
        <w:trPr>
          <w:trHeight w:val="286"/>
        </w:trPr>
        <w:tc>
          <w:tcPr>
            <w:tcW w:w="4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25.1</w:t>
            </w: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right-of-use assets, net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36.0</w:t>
            </w: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360.4</w:t>
            </w: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966.8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966.8</w:t>
            </w: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Deferred tax assets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194.3</w:t>
            </w:r>
          </w:p>
        </w:tc>
        <w:tc>
          <w:tcPr>
            <w:tcW w:w="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194.3</w:t>
            </w:r>
          </w:p>
        </w:tc>
      </w:tr>
      <w:tr>
        <w:trPr>
          <w:trHeight w:val="257"/>
        </w:trPr>
        <w:tc>
          <w:tcPr>
            <w:tcW w:w="48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Deferred costs, net of current portion</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16.8</w:t>
            </w:r>
          </w:p>
        </w:tc>
      </w:tr>
      <w:tr>
        <w:trPr>
          <w:trHeight w:val="260"/>
        </w:trPr>
        <w:tc>
          <w:tcPr>
            <w:tcW w:w="4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1,577.9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326.9</w:t>
            </w: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1,904.8</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7"/>
        </w:trPr>
        <w:tc>
          <w:tcPr>
            <w:tcW w:w="4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48"/>
        </w:trPr>
        <w:tc>
          <w:tcPr>
            <w:tcW w:w="4840" w:type="dxa"/>
            <w:vAlign w:val="bottom"/>
            <w:shd w:val="clear" w:color="auto" w:fill="CCEEFF"/>
          </w:tcPr>
          <w:p>
            <w:pPr>
              <w:ind w:left="40"/>
              <w:spacing w:after="0" w:line="148" w:lineRule="exact"/>
              <w:rPr>
                <w:sz w:val="20"/>
                <w:szCs w:val="20"/>
                <w:color w:val="auto"/>
              </w:rPr>
            </w:pPr>
            <w:r>
              <w:rPr>
                <w:rFonts w:ascii="Arial" w:cs="Arial" w:eastAsia="Arial" w:hAnsi="Arial"/>
                <w:sz w:val="14"/>
                <w:szCs w:val="14"/>
                <w:b w:val="1"/>
                <w:bCs w:val="1"/>
                <w:color w:val="auto"/>
              </w:rPr>
              <w:t>Liabilities, Series A Preferred Units,</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93"/>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and Equity</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(k)</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w:t>
            </w:r>
          </w:p>
        </w:tc>
        <w:tc>
          <w:tcPr>
            <w:tcW w:w="780" w:type="dxa"/>
            <w:vAlign w:val="bottom"/>
          </w:tcPr>
          <w:p>
            <w:pPr>
              <w:ind w:left="20"/>
              <w:spacing w:after="0"/>
              <w:rPr>
                <w:sz w:val="20"/>
                <w:szCs w:val="20"/>
                <w:color w:val="auto"/>
              </w:rPr>
            </w:pPr>
            <w:r>
              <w:rPr>
                <w:rFonts w:ascii="Arial" w:cs="Arial" w:eastAsia="Arial" w:hAnsi="Arial"/>
                <w:sz w:val="12"/>
                <w:szCs w:val="12"/>
                <w:color w:val="auto"/>
              </w:rPr>
              <w:t>(k)</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32.8</w:t>
            </w: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Unearned revenue, current portion</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172.2</w:t>
            </w: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Income taxes payable</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0.3</w:t>
            </w:r>
          </w:p>
        </w:tc>
      </w:tr>
      <w:tr>
        <w:trPr>
          <w:trHeight w:val="267"/>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Related party payable</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4840" w:type="dxa"/>
            <w:vAlign w:val="bottom"/>
          </w:tcPr>
          <w:p>
            <w:pPr>
              <w:ind w:left="260"/>
              <w:spacing w:after="0"/>
              <w:rPr>
                <w:sz w:val="20"/>
                <w:szCs w:val="20"/>
                <w:color w:val="auto"/>
              </w:rPr>
            </w:pPr>
            <w:r>
              <w:rPr>
                <w:rFonts w:ascii="Arial" w:cs="Arial" w:eastAsia="Arial" w:hAnsi="Arial"/>
                <w:sz w:val="14"/>
                <w:szCs w:val="14"/>
                <w:color w:val="auto"/>
              </w:rPr>
              <w:t>Current portion of lease liabilities</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4.2</w:t>
            </w:r>
          </w:p>
        </w:tc>
      </w:tr>
      <w:tr>
        <w:trPr>
          <w:trHeight w:val="262"/>
        </w:trPr>
        <w:tc>
          <w:tcPr>
            <w:tcW w:w="48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r>
      <w:tr>
        <w:trPr>
          <w:trHeight w:val="255"/>
        </w:trPr>
        <w:tc>
          <w:tcPr>
            <w:tcW w:w="48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7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226.9</w:t>
            </w:r>
          </w:p>
        </w:tc>
      </w:tr>
      <w:tr>
        <w:trPr>
          <w:trHeight w:val="221"/>
        </w:trPr>
        <w:tc>
          <w:tcPr>
            <w:tcW w:w="4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Unearned revenue, net of current portion</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1.0</w:t>
            </w: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39.5</w:t>
            </w: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Long-term debt, net of current portion</w:t>
            </w:r>
          </w:p>
        </w:tc>
        <w:tc>
          <w:tcPr>
            <w:tcW w:w="18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1,230.1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(397.3)</w:t>
            </w:r>
          </w:p>
        </w:tc>
        <w:tc>
          <w:tcPr>
            <w:tcW w:w="780" w:type="dxa"/>
            <w:vAlign w:val="bottom"/>
          </w:tcPr>
          <w:p>
            <w:pPr>
              <w:ind w:left="20"/>
              <w:spacing w:after="0"/>
              <w:rPr>
                <w:sz w:val="20"/>
                <w:szCs w:val="20"/>
                <w:color w:val="auto"/>
              </w:rPr>
            </w:pPr>
            <w:r>
              <w:rPr>
                <w:rFonts w:ascii="Arial" w:cs="Arial" w:eastAsia="Arial" w:hAnsi="Arial"/>
                <w:sz w:val="12"/>
                <w:szCs w:val="12"/>
                <w:color w:val="auto"/>
              </w:rPr>
              <w:t>(k)</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832.8</w:t>
            </w: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liabilities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Liabilities under the tax receivable agreements</w:t>
            </w:r>
          </w:p>
        </w:tc>
        <w:tc>
          <w:tcPr>
            <w:tcW w:w="18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00" w:type="dxa"/>
            <w:vAlign w:val="bottom"/>
          </w:tcPr>
          <w:p>
            <w:pPr>
              <w:jc w:val="right"/>
              <w:ind w:right="38"/>
              <w:spacing w:after="0"/>
              <w:rPr>
                <w:sz w:val="20"/>
                <w:szCs w:val="20"/>
                <w:color w:val="auto"/>
              </w:rPr>
            </w:pPr>
            <w:r>
              <w:rPr>
                <w:rFonts w:ascii="Arial" w:cs="Arial" w:eastAsia="Arial" w:hAnsi="Arial"/>
                <w:sz w:val="14"/>
                <w:szCs w:val="14"/>
                <w:color w:val="auto"/>
              </w:rPr>
              <w:t>59.3</w:t>
            </w:r>
          </w:p>
        </w:tc>
        <w:tc>
          <w:tcPr>
            <w:tcW w:w="440" w:type="dxa"/>
            <w:vAlign w:val="bottom"/>
          </w:tcPr>
          <w:p>
            <w:pPr>
              <w:ind w:left="20"/>
              <w:spacing w:after="0"/>
              <w:rPr>
                <w:sz w:val="20"/>
                <w:szCs w:val="20"/>
                <w:color w:val="auto"/>
              </w:rPr>
            </w:pPr>
            <w:r>
              <w:rPr>
                <w:rFonts w:ascii="Arial" w:cs="Arial" w:eastAsia="Arial" w:hAnsi="Arial"/>
                <w:sz w:val="12"/>
                <w:szCs w:val="12"/>
                <w:color w:val="auto"/>
              </w:rPr>
              <w:t>(i)</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35.4</w:t>
            </w:r>
          </w:p>
        </w:tc>
        <w:tc>
          <w:tcPr>
            <w:tcW w:w="780" w:type="dxa"/>
            <w:vAlign w:val="bottom"/>
          </w:tcPr>
          <w:p>
            <w:pPr>
              <w:ind w:left="20"/>
              <w:spacing w:after="0"/>
              <w:rPr>
                <w:sz w:val="20"/>
                <w:szCs w:val="20"/>
                <w:color w:val="auto"/>
              </w:rPr>
            </w:pPr>
            <w:r>
              <w:rPr>
                <w:rFonts w:ascii="Arial" w:cs="Arial" w:eastAsia="Arial" w:hAnsi="Arial"/>
                <w:sz w:val="12"/>
                <w:szCs w:val="12"/>
                <w:color w:val="auto"/>
              </w:rPr>
              <w:t>(i)</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94.7</w:t>
            </w:r>
          </w:p>
        </w:tc>
      </w:tr>
      <w:tr>
        <w:trPr>
          <w:trHeight w:val="262"/>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6.0</w:t>
            </w:r>
          </w:p>
        </w:tc>
      </w:tr>
      <w:tr>
        <w:trPr>
          <w:trHeight w:val="242"/>
        </w:trPr>
        <w:tc>
          <w:tcPr>
            <w:tcW w:w="48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1,597.8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4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(386.5)</w:t>
            </w:r>
          </w:p>
        </w:tc>
        <w:tc>
          <w:tcPr>
            <w:tcW w:w="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1,200.9</w:t>
            </w:r>
          </w:p>
        </w:tc>
      </w:tr>
      <w:tr>
        <w:trPr>
          <w:trHeight w:val="286"/>
        </w:trPr>
        <w:tc>
          <w:tcPr>
            <w:tcW w:w="48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240"/>
          </w:cols>
          <w:pgMar w:left="320" w:top="33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4"/>
                <w:szCs w:val="14"/>
                <w:b w:val="1"/>
                <w:bCs w:val="1"/>
                <w:color w:val="auto"/>
              </w:rPr>
              <w:t>Pro Forma Adjustments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ZoomInfo</w:t>
            </w:r>
          </w:p>
        </w:tc>
        <w:tc>
          <w:tcPr>
            <w:tcW w:w="180" w:type="dxa"/>
            <w:vAlign w:val="bottom"/>
          </w:tcPr>
          <w:p>
            <w:pPr>
              <w:spacing w:after="0"/>
              <w:rPr>
                <w:sz w:val="12"/>
                <w:szCs w:val="12"/>
                <w:color w:val="auto"/>
              </w:rPr>
            </w:pPr>
          </w:p>
        </w:tc>
        <w:tc>
          <w:tcPr>
            <w:tcW w:w="1300" w:type="dxa"/>
            <w:vAlign w:val="bottom"/>
          </w:tcPr>
          <w:p>
            <w:pPr>
              <w:jc w:val="right"/>
              <w:ind w:right="210"/>
              <w:spacing w:after="0" w:line="148" w:lineRule="exact"/>
              <w:rPr>
                <w:sz w:val="20"/>
                <w:szCs w:val="20"/>
                <w:color w:val="auto"/>
              </w:rPr>
            </w:pPr>
            <w:r>
              <w:rPr>
                <w:rFonts w:ascii="Arial" w:cs="Arial" w:eastAsia="Arial" w:hAnsi="Arial"/>
                <w:sz w:val="14"/>
                <w:szCs w:val="14"/>
                <w:b w:val="1"/>
                <w:bCs w:val="1"/>
                <w:color w:val="auto"/>
                <w:w w:val="98"/>
              </w:rPr>
              <w:t>Reorganization</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Offering</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210"/>
              <w:spacing w:after="0" w:line="148" w:lineRule="exact"/>
              <w:rPr>
                <w:sz w:val="20"/>
                <w:szCs w:val="20"/>
                <w:color w:val="auto"/>
              </w:rPr>
            </w:pPr>
            <w:r>
              <w:rPr>
                <w:rFonts w:ascii="Arial" w:cs="Arial" w:eastAsia="Arial" w:hAnsi="Arial"/>
                <w:sz w:val="14"/>
                <w:szCs w:val="14"/>
                <w:b w:val="1"/>
                <w:bCs w:val="1"/>
                <w:color w:val="auto"/>
              </w:rPr>
              <w:t>Pro Forma</w:t>
            </w:r>
          </w:p>
        </w:tc>
      </w:tr>
      <w:tr>
        <w:trPr>
          <w:trHeight w:val="188"/>
        </w:trPr>
        <w:tc>
          <w:tcPr>
            <w:tcW w:w="4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OpCo</w:t>
            </w:r>
            <w:r>
              <w:rPr>
                <w:rFonts w:ascii="Arial" w:cs="Arial" w:eastAsia="Arial" w:hAnsi="Arial"/>
                <w:sz w:val="8"/>
                <w:szCs w:val="8"/>
                <w:b w:val="1"/>
                <w:bCs w:val="1"/>
                <w:color w:val="auto"/>
              </w:rPr>
              <w:t>(a)</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Transactions</w:t>
            </w:r>
          </w:p>
        </w:tc>
        <w:tc>
          <w:tcPr>
            <w:tcW w:w="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4"/>
              </w:rPr>
              <w:t>Transactions</w:t>
            </w:r>
          </w:p>
        </w:tc>
        <w:tc>
          <w:tcPr>
            <w:tcW w:w="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2"/>
              </w:rPr>
              <w:t>Consolidated</w:t>
            </w:r>
          </w:p>
        </w:tc>
      </w:tr>
      <w:tr>
        <w:trPr>
          <w:trHeight w:val="242"/>
        </w:trPr>
        <w:tc>
          <w:tcPr>
            <w:tcW w:w="4840" w:type="dxa"/>
            <w:vAlign w:val="bottom"/>
          </w:tcPr>
          <w:p>
            <w:pPr>
              <w:ind w:left="40"/>
              <w:spacing w:after="0"/>
              <w:rPr>
                <w:sz w:val="20"/>
                <w:szCs w:val="20"/>
                <w:color w:val="auto"/>
              </w:rPr>
            </w:pPr>
            <w:r>
              <w:rPr>
                <w:rFonts w:ascii="Arial" w:cs="Arial" w:eastAsia="Arial" w:hAnsi="Arial"/>
                <w:sz w:val="14"/>
                <w:szCs w:val="14"/>
                <w:color w:val="auto"/>
              </w:rPr>
              <w:t>Series A Preferred Units</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200.2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(200.2)</w:t>
            </w:r>
          </w:p>
        </w:tc>
        <w:tc>
          <w:tcPr>
            <w:tcW w:w="780" w:type="dxa"/>
            <w:vAlign w:val="bottom"/>
          </w:tcPr>
          <w:p>
            <w:pPr>
              <w:ind w:left="20"/>
              <w:spacing w:after="0"/>
              <w:rPr>
                <w:sz w:val="20"/>
                <w:szCs w:val="20"/>
                <w:color w:val="auto"/>
              </w:rPr>
            </w:pPr>
            <w:r>
              <w:rPr>
                <w:rFonts w:ascii="Arial" w:cs="Arial" w:eastAsia="Arial" w:hAnsi="Arial"/>
                <w:sz w:val="12"/>
                <w:szCs w:val="12"/>
                <w:color w:val="auto"/>
              </w:rPr>
              <w:t>(k)(n)</w:t>
            </w: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73"/>
        </w:trPr>
        <w:tc>
          <w:tcPr>
            <w:tcW w:w="48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4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Members’ equity (deficit)</w:t>
            </w:r>
          </w:p>
        </w:tc>
        <w:tc>
          <w:tcPr>
            <w:tcW w:w="1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(207.4)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207.4</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(j)</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Class A common stock, par value $0.01 per share</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0.5</w:t>
            </w:r>
          </w:p>
        </w:tc>
        <w:tc>
          <w:tcPr>
            <w:tcW w:w="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0.5</w:t>
            </w: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Class B common stock, par value $0.01 per share</w:t>
            </w:r>
          </w:p>
        </w:tc>
        <w:tc>
          <w:tcPr>
            <w:tcW w:w="18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2.4</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(j)</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2.4</w:t>
            </w: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Class C common stock, par value $0.01 per share</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w:t>
            </w:r>
          </w:p>
        </w:tc>
        <w:tc>
          <w:tcPr>
            <w:tcW w:w="10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w:t>
            </w: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(52.9)</w:t>
            </w: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(i)(j)</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995.8</w:t>
            </w:r>
          </w:p>
        </w:tc>
        <w:tc>
          <w:tcPr>
            <w:tcW w:w="780" w:type="dxa"/>
            <w:vAlign w:val="bottom"/>
          </w:tcPr>
          <w:p>
            <w:pPr>
              <w:ind w:left="20"/>
              <w:spacing w:after="0"/>
              <w:rPr>
                <w:sz w:val="20"/>
                <w:szCs w:val="20"/>
                <w:color w:val="auto"/>
              </w:rPr>
            </w:pPr>
            <w:r>
              <w:rPr>
                <w:rFonts w:ascii="Arial" w:cs="Arial" w:eastAsia="Arial" w:hAnsi="Arial"/>
                <w:sz w:val="12"/>
                <w:szCs w:val="12"/>
                <w:color w:val="auto"/>
              </w:rPr>
              <w:t>(i)(l)(n)</w:t>
            </w: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942.9</w:t>
            </w:r>
          </w:p>
        </w:tc>
      </w:tr>
      <w:tr>
        <w:trPr>
          <w:trHeight w:val="267"/>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Retained earnings (accumulated deficit)</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(k)(m)(o)</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62"/>
        </w:trPr>
        <w:tc>
          <w:tcPr>
            <w:tcW w:w="4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(147.5)</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(e)(k)</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r>
      <w:tr>
        <w:trPr>
          <w:trHeight w:val="242"/>
        </w:trPr>
        <w:tc>
          <w:tcPr>
            <w:tcW w:w="4840" w:type="dxa"/>
            <w:vAlign w:val="bottom"/>
          </w:tcPr>
          <w:p>
            <w:pPr>
              <w:ind w:left="480"/>
              <w:spacing w:after="0"/>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(220.1)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10.4</w:t>
            </w:r>
          </w:p>
        </w:tc>
        <w:tc>
          <w:tcPr>
            <w:tcW w:w="4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913.6</w:t>
            </w:r>
          </w:p>
        </w:tc>
        <w:tc>
          <w:tcPr>
            <w:tcW w:w="7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703.9</w:t>
            </w:r>
          </w:p>
        </w:tc>
      </w:tr>
      <w:tr>
        <w:trPr>
          <w:trHeight w:val="280"/>
        </w:trPr>
        <w:tc>
          <w:tcPr>
            <w:tcW w:w="48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29"/>
        </w:trPr>
        <w:tc>
          <w:tcPr>
            <w:tcW w:w="4840" w:type="dxa"/>
            <w:vAlign w:val="bottom"/>
          </w:tcPr>
          <w:p>
            <w:pPr>
              <w:ind w:left="480"/>
              <w:spacing w:after="0"/>
              <w:rPr>
                <w:sz w:val="20"/>
                <w:szCs w:val="20"/>
                <w:color w:val="auto"/>
              </w:rPr>
            </w:pPr>
            <w:r>
              <w:rPr>
                <w:rFonts w:ascii="Arial" w:cs="Arial" w:eastAsia="Arial" w:hAnsi="Arial"/>
                <w:sz w:val="14"/>
                <w:szCs w:val="14"/>
                <w:color w:val="auto"/>
              </w:rPr>
              <w:t>Total liabilities, Series A Preferred Units, and Members' Deficit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1,577.9</w:t>
            </w:r>
          </w:p>
        </w:tc>
        <w:tc>
          <w:tcPr>
            <w:tcW w:w="120" w:type="dxa"/>
            <w:vAlign w:val="bottom"/>
          </w:tcPr>
          <w:p>
            <w:pPr>
              <w:spacing w:after="0"/>
              <w:rPr>
                <w:sz w:val="19"/>
                <w:szCs w:val="19"/>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326.9</w:t>
            </w:r>
          </w:p>
        </w:tc>
        <w:tc>
          <w:tcPr>
            <w:tcW w:w="7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1,904.8</w:t>
            </w:r>
          </w:p>
        </w:tc>
      </w:tr>
      <w:tr>
        <w:trPr>
          <w:trHeight w:val="20"/>
        </w:trPr>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pro forma combined and consolidated financial information.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54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t>Notes to Unaudited Pro Forma Combined and Consolidated Financial Information</w:t>
      </w:r>
    </w:p>
    <w:p>
      <w:pPr>
        <w:spacing w:after="0" w:line="177" w:lineRule="exact"/>
        <w:rPr>
          <w:sz w:val="20"/>
          <w:szCs w:val="20"/>
          <w:color w:val="auto"/>
        </w:rPr>
      </w:pPr>
    </w:p>
    <w:p>
      <w:pPr>
        <w:jc w:val="both"/>
        <w:ind w:left="320" w:hanging="315"/>
        <w:spacing w:after="0" w:line="273"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ZoomInfo Technologies Inc. was formed on November 14, 2019, and will have no results of operations until the completion of this offering. Therefore, its historical results of operations are not shown in a separate column in the unaudited pro forma combined and consolidated statements of operations or balance sheet.</w:t>
      </w:r>
    </w:p>
    <w:p>
      <w:pPr>
        <w:spacing w:after="0" w:line="118" w:lineRule="exact"/>
        <w:rPr>
          <w:rFonts w:ascii="Arial" w:cs="Arial" w:eastAsia="Arial" w:hAnsi="Arial"/>
          <w:sz w:val="17"/>
          <w:szCs w:val="17"/>
          <w:color w:val="auto"/>
        </w:rPr>
      </w:pPr>
    </w:p>
    <w:p>
      <w:pPr>
        <w:jc w:val="both"/>
        <w:ind w:left="320" w:hanging="315"/>
        <w:spacing w:after="0" w:line="265" w:lineRule="auto"/>
        <w:tabs>
          <w:tab w:leader="none" w:pos="3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Pre-Acquisition ZI’s financial statements presented in the unaudited pro forma combined and consolidated statement of operations for the year ended December 31, 2019 reflect the historical results of operations for the period from January 1, 2019 through January 31, 2019. The operating results of Pre-Acquisition ZI from the February 1, 2019 date of the Zoom Information Acquisition have been included in our historical results of operations for the year ended December 31, 2019. Certain reclassifications have been made to align the financial statements of Pre-Acquisition ZI to those of ZoomInfo OpCo as follows:</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Pre-Acquisition ZI</w:t>
            </w:r>
          </w:p>
        </w:tc>
        <w:tc>
          <w:tcPr>
            <w:tcW w:w="300" w:type="dxa"/>
            <w:vAlign w:val="bottom"/>
          </w:tcPr>
          <w:p>
            <w:pPr>
              <w:spacing w:after="0"/>
              <w:rPr>
                <w:sz w:val="14"/>
                <w:szCs w:val="14"/>
                <w:color w:val="auto"/>
              </w:rPr>
            </w:pPr>
          </w:p>
        </w:tc>
        <w:tc>
          <w:tcPr>
            <w:tcW w:w="1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Reclassifications</w:t>
            </w:r>
          </w:p>
        </w:tc>
        <w:tc>
          <w:tcPr>
            <w:tcW w:w="200" w:type="dxa"/>
            <w:vAlign w:val="bottom"/>
          </w:tcPr>
          <w:p>
            <w:pPr>
              <w:spacing w:after="0"/>
              <w:rPr>
                <w:sz w:val="14"/>
                <w:szCs w:val="14"/>
                <w:color w:val="auto"/>
              </w:rPr>
            </w:pPr>
          </w:p>
        </w:tc>
        <w:tc>
          <w:tcPr>
            <w:tcW w:w="160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Pre-Acquisition ZI as</w:t>
            </w:r>
          </w:p>
        </w:tc>
        <w:tc>
          <w:tcPr>
            <w:tcW w:w="0" w:type="dxa"/>
            <w:vAlign w:val="bottom"/>
          </w:tcPr>
          <w:p>
            <w:pPr>
              <w:spacing w:after="0"/>
              <w:rPr>
                <w:sz w:val="1"/>
                <w:szCs w:val="1"/>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537"/>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40"/>
        </w:trPr>
        <w:tc>
          <w:tcPr>
            <w:tcW w:w="4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Cost of service / revenue</w:t>
            </w: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35"/>
        </w:trPr>
        <w:tc>
          <w:tcPr>
            <w:tcW w:w="4820" w:type="dxa"/>
            <w:vAlign w:val="bottom"/>
          </w:tcPr>
          <w:p>
            <w:pPr>
              <w:ind w:left="160"/>
              <w:spacing w:after="0"/>
              <w:rPr>
                <w:sz w:val="20"/>
                <w:szCs w:val="20"/>
                <w:color w:val="auto"/>
              </w:rPr>
            </w:pPr>
            <w:r>
              <w:rPr>
                <w:rFonts w:ascii="Arial" w:cs="Arial" w:eastAsia="Arial" w:hAnsi="Arial"/>
                <w:sz w:val="17"/>
                <w:szCs w:val="17"/>
                <w:color w:val="auto"/>
              </w:rPr>
              <w:t>Amortization of acquired technology</w:t>
            </w:r>
          </w:p>
        </w:tc>
        <w:tc>
          <w:tcPr>
            <w:tcW w:w="22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1600" w:type="dxa"/>
            <w:vAlign w:val="bottom"/>
          </w:tcPr>
          <w:p>
            <w:pPr>
              <w:jc w:val="right"/>
              <w:ind w:right="135"/>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5"/>
        </w:trPr>
        <w:tc>
          <w:tcPr>
            <w:tcW w:w="482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5"/>
        </w:trPr>
        <w:tc>
          <w:tcPr>
            <w:tcW w:w="482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75"/>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other acquired intangibles</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hanging="315"/>
        <w:spacing w:after="0"/>
        <w:tabs>
          <w:tab w:leader="none" w:pos="3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accordance with the rules of Article 11 of Regulation S-X, the following pro forma adjustments were made relating to the Zoom Information Acquisition:</w:t>
      </w:r>
    </w:p>
    <w:p>
      <w:pPr>
        <w:spacing w:after="0" w:line="182" w:lineRule="exact"/>
        <w:rPr>
          <w:rFonts w:ascii="Arial" w:cs="Arial" w:eastAsia="Arial" w:hAnsi="Arial"/>
          <w:sz w:val="16"/>
          <w:szCs w:val="16"/>
          <w:color w:val="auto"/>
        </w:rPr>
      </w:pPr>
    </w:p>
    <w:p>
      <w:pPr>
        <w:ind w:left="640" w:hanging="321"/>
        <w:spacing w:after="0" w:line="289" w:lineRule="auto"/>
        <w:tabs>
          <w:tab w:leader="none" w:pos="6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adjustment to revenue represents the removal of the fair value adjustments to historical Pre-Acquisition ZI’s unearned revenue. The adjustment is removed because it will not have a continuing impact on the financial results of the combined company.</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adjustment to amortization of acquired technology and amortization of intangible assets represents the incremental amortization expense resulting from the allocation of purchase consideration to definitive-lived intangible assets subject to amortization.</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Operating expenses were adjusted to recognize an increase in depreciation expense resulting from the fair value adjustments to acquired property and equipment.</w:t>
      </w:r>
    </w:p>
    <w:p>
      <w:pPr>
        <w:spacing w:after="0" w:line="105" w:lineRule="exact"/>
        <w:rPr>
          <w:rFonts w:ascii="Arial" w:cs="Arial" w:eastAsia="Arial" w:hAnsi="Arial"/>
          <w:sz w:val="17"/>
          <w:szCs w:val="17"/>
          <w:color w:val="auto"/>
        </w:rPr>
      </w:pPr>
    </w:p>
    <w:p>
      <w:pPr>
        <w:jc w:val="both"/>
        <w:ind w:left="640" w:hanging="321"/>
        <w:spacing w:after="0" w:line="261" w:lineRule="auto"/>
        <w:tabs>
          <w:tab w:leader="none" w:pos="6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adjustment to interest expense reflects (x) the elimination of interest expense incurred by Pre-Acquisition ZI related to the long-term debt included in Pre-Acquisition ZI’s historical financial statements, which was paid in full at the time of the Zoom Information Acquisition, and (y) the addition of interest expense as a result of borrowing $865.0 million under our first lien term loan facility and $370.0 million under our second lien term loan facility associated with the acquisition of Pre-Acquisition ZI and a refinancing of the term loans included in ZoomInfo OpCo’s historical financial statements, in each case as if the borrowings had occurred on January 1, 2019. Borrowings under our first lien term loan facility bear interest at LIBOR plus the applicable rate of 4.5% and borrowings under our second lien term loan facility bear interest at LIBOR plus the applicable rate of 8.5%. If the interest rates differed from the rates used in the pro forma interest expense by 0.125%, the pro forma interest expense adjustment would have increased or decreased by approximately $130,000.</w:t>
      </w:r>
    </w:p>
    <w:p>
      <w:pPr>
        <w:spacing w:after="0" w:line="133"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Direct, incremental transaction costs related to the Zoom Information Acquisition, which are reflected in our consolidated results of operations for the year ended December 31, 2019, are removed from restructuring and transaction related expenses as they will not have a continuing impact on the financial results of the combined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331" w:right="339" w:bottom="1440" w:gutter="0" w:footer="0" w:header="0"/>
        </w:sectPr>
      </w:pPr>
    </w:p>
    <w:bookmarkStart w:id="110" w:name="page111"/>
    <w:bookmarkEnd w:id="110"/>
    <w:p>
      <w:pPr>
        <w:jc w:val="both"/>
        <w:ind w:left="315" w:hanging="315"/>
        <w:spacing w:after="0" w:line="262" w:lineRule="auto"/>
        <w:tabs>
          <w:tab w:leader="none" w:pos="3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ZoomInfo OpCo is a limited liability company and is treated as a partnership for U.S. federal and most applicable state and local income tax purposes. As a result, it is not liable for U.S. federal or state and local income taxes in most jurisdictions in which we operate, and the income, expenses, gains and losses are reported on the returns of its members. It is subject to local income tax in certain jurisdictions in which it is not treated like a partnership, where it pays income taxes. Following the Reorganization Transactions, ZoomInfo Technologies Inc. will be subject to U.S. federal income taxes, in addition to state and local taxes with respect to its allocable share of any taxable income from ZoomInfo OpCo. As a result, the unaudited pro forma consolidated statements of operations reflect adjustments to our income tax expense of $1.2 million for the year ended December 31, 2019 and $1.3 million for the three months ended March 31, 2020.</w:t>
      </w:r>
    </w:p>
    <w:p>
      <w:pPr>
        <w:spacing w:after="0" w:line="130" w:lineRule="exact"/>
        <w:rPr>
          <w:rFonts w:ascii="Arial" w:cs="Arial" w:eastAsia="Arial" w:hAnsi="Arial"/>
          <w:sz w:val="17"/>
          <w:szCs w:val="17"/>
          <w:color w:val="auto"/>
        </w:rPr>
      </w:pPr>
    </w:p>
    <w:p>
      <w:pPr>
        <w:jc w:val="both"/>
        <w:ind w:left="315" w:hanging="315"/>
        <w:spacing w:after="0" w:line="263" w:lineRule="auto"/>
        <w:tabs>
          <w:tab w:leader="none" w:pos="315" w:val="left"/>
        </w:tabs>
        <w:numPr>
          <w:ilvl w:val="0"/>
          <w:numId w:val="79"/>
        </w:numPr>
        <w:rPr>
          <w:rFonts w:ascii="Arial" w:cs="Arial" w:eastAsia="Arial" w:hAnsi="Arial"/>
          <w:sz w:val="17"/>
          <w:szCs w:val="17"/>
          <w:color w:val="auto"/>
        </w:rPr>
      </w:pPr>
      <w:r>
        <w:rPr>
          <w:rFonts w:ascii="Arial" w:cs="Arial" w:eastAsia="Arial" w:hAnsi="Arial"/>
          <w:sz w:val="17"/>
          <w:szCs w:val="17"/>
          <w:color w:val="auto"/>
        </w:rPr>
        <w:t>Upon completion of the Reorganization Transactions, ZoomInfo Technologies Inc. will have control over ZoomInfo HoldCo, which will become the sole managing member of ZoomInfo OpCo. As a result, ZoomInfo Technologies Inc. will initially own approximately 94.6% of the economic interest in ZoomInfo HoldCo, but will have 100% of control the management of ZoomInfo HoldCo, and ZoomInfo HoldCo will initially own approximately 30.5% of the economic interest in ZoomInfo OpCo, but will have 100% of the voting power and control the management of ZoomInfo OpCo. Immediately following the Reorganization Transactions, the ownership percentage held by the non-controlling interest and the net loss attributable to the non-controlling interest will represent approximately 71.1% of net loss before the provision for income taxes.</w:t>
      </w:r>
    </w:p>
    <w:p>
      <w:pPr>
        <w:spacing w:after="0" w:line="129" w:lineRule="exact"/>
        <w:rPr>
          <w:rFonts w:ascii="Arial" w:cs="Arial" w:eastAsia="Arial" w:hAnsi="Arial"/>
          <w:sz w:val="17"/>
          <w:szCs w:val="17"/>
          <w:color w:val="auto"/>
        </w:rPr>
      </w:pPr>
    </w:p>
    <w:p>
      <w:pPr>
        <w:jc w:val="both"/>
        <w:ind w:left="315"/>
        <w:spacing w:after="0" w:line="281" w:lineRule="auto"/>
        <w:rPr>
          <w:rFonts w:ascii="Arial" w:cs="Arial" w:eastAsia="Arial" w:hAnsi="Arial"/>
          <w:sz w:val="17"/>
          <w:szCs w:val="17"/>
          <w:color w:val="auto"/>
        </w:rPr>
      </w:pPr>
      <w:r>
        <w:rPr>
          <w:rFonts w:ascii="Arial" w:cs="Arial" w:eastAsia="Arial" w:hAnsi="Arial"/>
          <w:sz w:val="16"/>
          <w:szCs w:val="16"/>
          <w:color w:val="auto"/>
        </w:rPr>
        <w:t>Upon completion of the Reorganization and Offering Transactions, ZoomInfo Technologies Inc. will own approximately 97.1% of the economic interest in ZoomInfo HoldCo, and will retain 100% of control the management of ZoomInfo HoldCo, and ZoomInfo HoldCo will own approximately 38.6% of the economic interest in ZoomInfo OpCo, and will retain 100% of the voting power and control the management of ZoomInfo OpCo. Immediately following the Offering Transactions, the ownership percentage held by the non-controlling interest and the net loss attributable to the non-controlling interest will represent approximately 62.5% of net loss before the provision for income taxes. These amounts have been determined based on an assumption that the underwriters’ option to purchase additional shares of Class A common stock is not exercised. If the underwriters’ option to purchase additional shares of Class A common stock is exercised, the ownership percentage held by the non-controlling interest would decrease to 61.4%.</w:t>
      </w:r>
    </w:p>
    <w:p>
      <w:pPr>
        <w:spacing w:after="0" w:line="116" w:lineRule="exact"/>
        <w:rPr>
          <w:rFonts w:ascii="Arial" w:cs="Arial" w:eastAsia="Arial" w:hAnsi="Arial"/>
          <w:sz w:val="17"/>
          <w:szCs w:val="17"/>
          <w:color w:val="auto"/>
        </w:rPr>
      </w:pPr>
    </w:p>
    <w:p>
      <w:pPr>
        <w:ind w:left="315"/>
        <w:spacing w:after="0"/>
        <w:rPr>
          <w:rFonts w:ascii="Arial" w:cs="Arial" w:eastAsia="Arial" w:hAnsi="Arial"/>
          <w:sz w:val="17"/>
          <w:szCs w:val="17"/>
          <w:color w:val="auto"/>
        </w:rPr>
      </w:pPr>
      <w:r>
        <w:rPr>
          <w:rFonts w:ascii="Arial" w:cs="Arial" w:eastAsia="Arial" w:hAnsi="Arial"/>
          <w:sz w:val="17"/>
          <w:szCs w:val="17"/>
          <w:color w:val="auto"/>
        </w:rPr>
        <w:t>Pro forma net income (loss) attributable to non-controlling interests as a result of the Reorganization Transaction is calculated as follows:</w:t>
      </w:r>
    </w:p>
    <w:p>
      <w:pPr>
        <w:spacing w:after="0" w:line="301" w:lineRule="exact"/>
        <w:rPr>
          <w:sz w:val="20"/>
          <w:szCs w:val="20"/>
          <w:color w:val="auto"/>
        </w:rPr>
      </w:pPr>
    </w:p>
    <w:tbl>
      <w:tblPr>
        <w:tblLayout w:type="fixed"/>
        <w:tblInd w:w="315"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2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88"/>
        </w:trPr>
        <w:tc>
          <w:tcPr>
            <w:tcW w:w="7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24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Historical net income (loss) from ZoomInfo OpCo</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5"/>
        </w:trPr>
        <w:tc>
          <w:tcPr>
            <w:tcW w:w="7300" w:type="dxa"/>
            <w:vAlign w:val="bottom"/>
          </w:tcPr>
          <w:p>
            <w:pPr>
              <w:ind w:left="20"/>
              <w:spacing w:after="0"/>
              <w:rPr>
                <w:sz w:val="20"/>
                <w:szCs w:val="20"/>
                <w:color w:val="auto"/>
              </w:rPr>
            </w:pPr>
            <w:r>
              <w:rPr>
                <w:rFonts w:ascii="Arial" w:cs="Arial" w:eastAsia="Arial" w:hAnsi="Arial"/>
                <w:sz w:val="17"/>
                <w:szCs w:val="17"/>
                <w:color w:val="auto"/>
              </w:rPr>
              <w:t>Historical net income from Pre-Acquisition ZI</w:t>
            </w:r>
          </w:p>
        </w:tc>
        <w:tc>
          <w:tcPr>
            <w:tcW w:w="360" w:type="dxa"/>
            <w:vAlign w:val="bottom"/>
          </w:tcPr>
          <w:p>
            <w:pPr>
              <w:spacing w:after="0"/>
              <w:rPr>
                <w:sz w:val="20"/>
                <w:szCs w:val="20"/>
                <w:color w:val="auto"/>
              </w:rPr>
            </w:pP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net income from Zoom Information Acquisition</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300" w:type="dxa"/>
            <w:vAlign w:val="bottom"/>
          </w:tcPr>
          <w:p>
            <w:pPr>
              <w:ind w:left="260"/>
              <w:spacing w:after="0"/>
              <w:rPr>
                <w:sz w:val="20"/>
                <w:szCs w:val="20"/>
                <w:color w:val="auto"/>
              </w:rPr>
            </w:pPr>
            <w:r>
              <w:rPr>
                <w:rFonts w:ascii="Arial" w:cs="Arial" w:eastAsia="Arial" w:hAnsi="Arial"/>
                <w:sz w:val="17"/>
                <w:szCs w:val="17"/>
                <w:color w:val="auto"/>
              </w:rPr>
              <w:t>Pro forma net income (loss) prior to the Reorganization Transactions</w:t>
            </w:r>
          </w:p>
        </w:tc>
        <w:tc>
          <w:tcPr>
            <w:tcW w:w="3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ind w:right="59"/>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Non-controlling interest ownership immediately following the Reorganization Transactions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203"/>
        </w:trPr>
        <w:tc>
          <w:tcPr>
            <w:tcW w:w="7300" w:type="dxa"/>
            <w:vAlign w:val="bottom"/>
          </w:tcPr>
          <w:p>
            <w:pPr>
              <w:ind w:left="260"/>
              <w:spacing w:after="0"/>
              <w:rPr>
                <w:sz w:val="20"/>
                <w:szCs w:val="20"/>
                <w:color w:val="auto"/>
              </w:rPr>
            </w:pPr>
            <w:r>
              <w:rPr>
                <w:rFonts w:ascii="Arial" w:cs="Arial" w:eastAsia="Arial" w:hAnsi="Arial"/>
                <w:sz w:val="17"/>
                <w:szCs w:val="17"/>
                <w:color w:val="auto"/>
              </w:rPr>
              <w:t>Net income (loss) attributable to non-controlling interests immediately following the</w:t>
            </w:r>
          </w:p>
        </w:tc>
        <w:tc>
          <w:tcPr>
            <w:tcW w:w="36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33"/>
        </w:trPr>
        <w:tc>
          <w:tcPr>
            <w:tcW w:w="7300" w:type="dxa"/>
            <w:vAlign w:val="bottom"/>
          </w:tcPr>
          <w:p>
            <w:pPr>
              <w:ind w:left="420"/>
              <w:spacing w:after="0"/>
              <w:rPr>
                <w:sz w:val="20"/>
                <w:szCs w:val="20"/>
                <w:color w:val="auto"/>
              </w:rPr>
            </w:pPr>
            <w:r>
              <w:rPr>
                <w:rFonts w:ascii="Arial" w:cs="Arial" w:eastAsia="Arial" w:hAnsi="Arial"/>
                <w:sz w:val="17"/>
                <w:szCs w:val="17"/>
                <w:color w:val="auto"/>
              </w:rPr>
              <w:t>Reorganization Transactions</w:t>
            </w:r>
          </w:p>
        </w:tc>
        <w:tc>
          <w:tcPr>
            <w:tcW w:w="3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5180"/>
              <w:spacing w:after="0"/>
              <w:rPr>
                <w:sz w:val="20"/>
                <w:szCs w:val="20"/>
                <w:color w:val="auto"/>
              </w:rPr>
            </w:pPr>
            <w:r>
              <w:rPr>
                <w:rFonts w:ascii="Arial" w:cs="Arial" w:eastAsia="Arial" w:hAnsi="Arial"/>
                <w:sz w:val="17"/>
                <w:szCs w:val="17"/>
                <w:color w:val="auto"/>
              </w:rPr>
              <w:t>103</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7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35"/>
          </w:cols>
          <w:pgMar w:left="325" w:top="337" w:right="339" w:bottom="1440" w:gutter="0" w:footer="0" w:header="0"/>
        </w:sectPr>
      </w:pPr>
    </w:p>
    <w:bookmarkStart w:id="111" w:name="page112"/>
    <w:bookmarkEnd w:id="111"/>
    <w:p>
      <w:pPr>
        <w:ind w:left="315"/>
        <w:spacing w:after="0"/>
        <w:rPr>
          <w:sz w:val="20"/>
          <w:szCs w:val="20"/>
          <w:color w:val="auto"/>
        </w:rPr>
      </w:pPr>
      <w:r>
        <w:rPr>
          <w:rFonts w:ascii="Arial" w:cs="Arial" w:eastAsia="Arial" w:hAnsi="Arial"/>
          <w:sz w:val="17"/>
          <w:szCs w:val="17"/>
          <w:color w:val="auto"/>
        </w:rPr>
        <w:t>Pro forma net income (loss) attributable to non-controlling interests as a result of the Offering Transaction is calculated as follows:</w:t>
      </w:r>
    </w:p>
    <w:p>
      <w:pPr>
        <w:spacing w:after="0" w:line="301" w:lineRule="exact"/>
        <w:rPr>
          <w:sz w:val="20"/>
          <w:szCs w:val="20"/>
          <w:color w:val="auto"/>
        </w:rPr>
      </w:pPr>
    </w:p>
    <w:tbl>
      <w:tblPr>
        <w:tblLayout w:type="fixed"/>
        <w:tblInd w:w="315"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w:t>
            </w:r>
          </w:p>
        </w:tc>
        <w:tc>
          <w:tcPr>
            <w:tcW w:w="140" w:type="dxa"/>
            <w:vAlign w:val="bottom"/>
          </w:tcPr>
          <w:p>
            <w:pPr>
              <w:spacing w:after="0"/>
              <w:rPr>
                <w:sz w:val="14"/>
                <w:szCs w:val="14"/>
                <w:color w:val="auto"/>
              </w:rPr>
            </w:pPr>
          </w:p>
        </w:tc>
        <w:tc>
          <w:tcPr>
            <w:tcW w:w="14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88"/>
        </w:trPr>
        <w:tc>
          <w:tcPr>
            <w:tcW w:w="7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net income (loss) prior to the Reorganization 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(56.1)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5"/>
        </w:trPr>
        <w:tc>
          <w:tcPr>
            <w:tcW w:w="7200" w:type="dxa"/>
            <w:vAlign w:val="bottom"/>
          </w:tcPr>
          <w:p>
            <w:pPr>
              <w:ind w:left="20"/>
              <w:spacing w:after="0"/>
              <w:rPr>
                <w:sz w:val="20"/>
                <w:szCs w:val="20"/>
                <w:color w:val="auto"/>
              </w:rPr>
            </w:pPr>
            <w:r>
              <w:rPr>
                <w:rFonts w:ascii="Arial" w:cs="Arial" w:eastAsia="Arial" w:hAnsi="Arial"/>
                <w:sz w:val="17"/>
                <w:szCs w:val="17"/>
                <w:color w:val="auto"/>
              </w:rPr>
              <w:t>Reduction in non-controlling interest ownership due to the Offering Transactions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Reduction in net income (loss) attributable to non-controlling interest due to the Offering</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307"/>
        </w:trPr>
        <w:tc>
          <w:tcPr>
            <w:tcW w:w="7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adjustments to net income (loss) from the Offering 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35"/>
        </w:trPr>
        <w:tc>
          <w:tcPr>
            <w:tcW w:w="7200" w:type="dxa"/>
            <w:vAlign w:val="bottom"/>
          </w:tcPr>
          <w:p>
            <w:pPr>
              <w:ind w:left="20"/>
              <w:spacing w:after="0"/>
              <w:rPr>
                <w:sz w:val="20"/>
                <w:szCs w:val="20"/>
                <w:color w:val="auto"/>
              </w:rPr>
            </w:pPr>
            <w:r>
              <w:rPr>
                <w:rFonts w:ascii="Arial" w:cs="Arial" w:eastAsia="Arial" w:hAnsi="Arial"/>
                <w:sz w:val="17"/>
                <w:szCs w:val="17"/>
                <w:color w:val="auto"/>
              </w:rPr>
              <w:t>Non-controlling interest ownership immediately following the Offering Transactions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62.5 %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62.5 %</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Non-controlling interest in the pro forma adjustments to net income (loss) from the Offering</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Transactions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307"/>
        </w:trPr>
        <w:tc>
          <w:tcPr>
            <w:tcW w:w="7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6"/>
              </w:rPr>
              <w:t>Total net income (loss) attributable to non-controlling interest immediately following the Offering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vMerge w:val="restart"/>
            <w:shd w:val="clear" w:color="auto" w:fill="CCEEFF"/>
          </w:tcPr>
          <w:p>
            <w:pPr>
              <w:jc w:val="right"/>
              <w:ind w:right="138"/>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vMerge w:val="restart"/>
            <w:shd w:val="clear" w:color="auto" w:fill="CCEEFF"/>
          </w:tcPr>
          <w:p>
            <w:pPr>
              <w:jc w:val="right"/>
              <w:ind w:right="158"/>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Transactions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15"/>
        <w:spacing w:after="0"/>
        <w:rPr>
          <w:sz w:val="20"/>
          <w:szCs w:val="20"/>
          <w:color w:val="auto"/>
        </w:rPr>
      </w:pPr>
      <w:r>
        <w:rPr>
          <w:rFonts w:ascii="Arial" w:cs="Arial" w:eastAsia="Arial" w:hAnsi="Arial"/>
          <w:sz w:val="17"/>
          <w:szCs w:val="17"/>
          <w:color w:val="auto"/>
        </w:rPr>
        <w:t>The pro forma change in non-controlling interest as a result of the Reorganization and Offering Transactions can be calculated as follows:</w:t>
      </w:r>
    </w:p>
    <w:p>
      <w:pPr>
        <w:spacing w:after="0" w:line="301" w:lineRule="exact"/>
        <w:rPr>
          <w:sz w:val="20"/>
          <w:szCs w:val="20"/>
          <w:color w:val="auto"/>
        </w:rPr>
      </w:pPr>
    </w:p>
    <w:tbl>
      <w:tblPr>
        <w:tblLayout w:type="fixed"/>
        <w:tblInd w:w="315"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Three Months Ended</w:t>
            </w:r>
          </w:p>
        </w:tc>
      </w:tr>
      <w:tr>
        <w:trPr>
          <w:trHeight w:val="188"/>
        </w:trPr>
        <w:tc>
          <w:tcPr>
            <w:tcW w:w="8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March 31,</w:t>
            </w:r>
          </w:p>
        </w:tc>
      </w:tr>
      <w:tr>
        <w:trPr>
          <w:trHeight w:val="190"/>
        </w:trPr>
        <w:tc>
          <w:tcPr>
            <w:tcW w:w="8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2020</w:t>
            </w:r>
          </w:p>
        </w:tc>
      </w:tr>
      <w:tr>
        <w:trPr>
          <w:trHeight w:val="240"/>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Historical Member’s equity (deficit)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(207.4)</w:t>
            </w:r>
          </w:p>
        </w:tc>
      </w:tr>
      <w:tr>
        <w:trPr>
          <w:trHeight w:val="235"/>
        </w:trPr>
        <w:tc>
          <w:tcPr>
            <w:tcW w:w="8880" w:type="dxa"/>
            <w:vAlign w:val="bottom"/>
          </w:tcPr>
          <w:p>
            <w:pPr>
              <w:ind w:left="20"/>
              <w:spacing w:after="0"/>
              <w:rPr>
                <w:sz w:val="20"/>
                <w:szCs w:val="20"/>
                <w:color w:val="auto"/>
              </w:rPr>
            </w:pPr>
            <w:r>
              <w:rPr>
                <w:rFonts w:ascii="Arial" w:cs="Arial" w:eastAsia="Arial" w:hAnsi="Arial"/>
                <w:sz w:val="17"/>
                <w:szCs w:val="17"/>
                <w:color w:val="auto"/>
              </w:rPr>
              <w:t>Non-controlling interest ownership immediately following the Reorganization Transactions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71.1 %</w:t>
            </w:r>
          </w:p>
        </w:tc>
      </w:tr>
      <w:tr>
        <w:trPr>
          <w:trHeight w:val="27"/>
        </w:trPr>
        <w:tc>
          <w:tcPr>
            <w:tcW w:w="8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8"/>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member’s equity (deficit) allocable to non-controlling interest as a result of the Reorganization Transactions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(147.5)</w:t>
            </w:r>
          </w:p>
        </w:tc>
      </w:tr>
      <w:tr>
        <w:trPr>
          <w:trHeight w:val="20"/>
        </w:trPr>
        <w:tc>
          <w:tcPr>
            <w:tcW w:w="8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4"/>
        </w:trPr>
        <w:tc>
          <w:tcPr>
            <w:tcW w:w="8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Historical Member’s equity (deficit)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(207.4)</w:t>
            </w:r>
          </w:p>
        </w:tc>
      </w:tr>
      <w:tr>
        <w:trPr>
          <w:trHeight w:val="235"/>
        </w:trPr>
        <w:tc>
          <w:tcPr>
            <w:tcW w:w="8880" w:type="dxa"/>
            <w:vAlign w:val="bottom"/>
          </w:tcPr>
          <w:p>
            <w:pPr>
              <w:ind w:left="20"/>
              <w:spacing w:after="0"/>
              <w:rPr>
                <w:sz w:val="20"/>
                <w:szCs w:val="20"/>
                <w:color w:val="auto"/>
              </w:rPr>
            </w:pPr>
            <w:r>
              <w:rPr>
                <w:rFonts w:ascii="Arial" w:cs="Arial" w:eastAsia="Arial" w:hAnsi="Arial"/>
                <w:sz w:val="17"/>
                <w:szCs w:val="17"/>
                <w:color w:val="auto"/>
              </w:rPr>
              <w:t>Reduction in non-controlling interest from the Offering Transactions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7"/>
        </w:trPr>
        <w:tc>
          <w:tcPr>
            <w:tcW w:w="8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historical member’s equity (deficit) allocable to non-controlling interest from the Offering Transactions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17.9</w:t>
            </w:r>
          </w:p>
        </w:tc>
      </w:tr>
      <w:tr>
        <w:trPr>
          <w:trHeight w:val="281"/>
        </w:trPr>
        <w:tc>
          <w:tcPr>
            <w:tcW w:w="88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42"/>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 forma retained earnings adjustment from the Offering Transactions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(61.9)</w:t>
            </w:r>
          </w:p>
        </w:tc>
      </w:tr>
      <w:tr>
        <w:trPr>
          <w:trHeight w:val="235"/>
        </w:trPr>
        <w:tc>
          <w:tcPr>
            <w:tcW w:w="8880" w:type="dxa"/>
            <w:vAlign w:val="bottom"/>
          </w:tcPr>
          <w:p>
            <w:pPr>
              <w:ind w:left="20"/>
              <w:spacing w:after="0"/>
              <w:rPr>
                <w:sz w:val="20"/>
                <w:szCs w:val="20"/>
                <w:color w:val="auto"/>
              </w:rPr>
            </w:pPr>
            <w:r>
              <w:rPr>
                <w:rFonts w:ascii="Arial" w:cs="Arial" w:eastAsia="Arial" w:hAnsi="Arial"/>
                <w:sz w:val="17"/>
                <w:szCs w:val="17"/>
                <w:color w:val="auto"/>
              </w:rPr>
              <w:t>Non-controlling interest ownership immediately following the Offering Transactions</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62.5 %</w:t>
            </w:r>
          </w:p>
        </w:tc>
      </w:tr>
      <w:tr>
        <w:trPr>
          <w:trHeight w:val="27"/>
        </w:trPr>
        <w:tc>
          <w:tcPr>
            <w:tcW w:w="8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5"/>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w w:val="99"/>
              </w:rPr>
              <w:t>Pro forma retained earnings adjustment allocable to non-controlling interest as a result of the Offering Transactions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(38.7)</w:t>
            </w:r>
          </w:p>
        </w:tc>
      </w:tr>
      <w:tr>
        <w:trPr>
          <w:trHeight w:val="281"/>
        </w:trPr>
        <w:tc>
          <w:tcPr>
            <w:tcW w:w="88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r>
      <w:tr>
        <w:trPr>
          <w:trHeight w:val="248"/>
        </w:trPr>
        <w:tc>
          <w:tcPr>
            <w:tcW w:w="8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member’s equity (deficit) allocable to non-controlling interest as a result of the Offering Transactions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(20.8)</w:t>
            </w:r>
          </w:p>
        </w:tc>
      </w:tr>
      <w:tr>
        <w:trPr>
          <w:trHeight w:val="20"/>
        </w:trPr>
        <w:tc>
          <w:tcPr>
            <w:tcW w:w="8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left="315" w:hanging="315"/>
        <w:spacing w:after="0" w:line="273" w:lineRule="auto"/>
        <w:tabs>
          <w:tab w:leader="none" w:pos="315"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Reflects a reduction in interest expense of $39.3 million and $10.1 million for the year ended December 31, 2019 and three months ended March 31, 2020, respectively, including the related accretion of original issue discount and amortization of deferred financing costs, as a result of the repayment of the second lien term loans, as described in “Use of Proceeds,” as if such repayment occurred on January 1, 2019.</w:t>
      </w:r>
    </w:p>
    <w:p>
      <w:pPr>
        <w:spacing w:after="0" w:line="200" w:lineRule="exact"/>
        <w:rPr>
          <w:sz w:val="20"/>
          <w:szCs w:val="20"/>
          <w:color w:val="auto"/>
        </w:rPr>
      </w:pPr>
    </w:p>
    <w:p>
      <w:pPr>
        <w:spacing w:after="0" w:line="338" w:lineRule="exact"/>
        <w:rPr>
          <w:sz w:val="20"/>
          <w:szCs w:val="20"/>
          <w:color w:val="auto"/>
        </w:rPr>
      </w:pPr>
    </w:p>
    <w:p>
      <w:pPr>
        <w:jc w:val="center"/>
        <w:ind w:right="-14"/>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235"/>
          </w:cols>
          <w:pgMar w:left="325" w:top="337" w:right="339" w:bottom="1440" w:gutter="0" w:footer="0" w:header="0"/>
        </w:sectPr>
      </w:pPr>
    </w:p>
    <w:bookmarkStart w:id="112" w:name="page113"/>
    <w:bookmarkEnd w:id="112"/>
    <w:p>
      <w:pPr>
        <w:jc w:val="both"/>
        <w:ind w:left="320" w:hanging="315"/>
        <w:spacing w:after="0" w:line="273" w:lineRule="auto"/>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basic and diluted pro forma net income (loss) per share of Class A and Class C common stock represents net income (loss) attributable to ZoomInfo Technologies Inc. divided by the combination of 98.1 million shares of Class C common stock owned by the Pre-IPO Blocker Holders after giving effect to the Reorganization Transactions and approximately 44.5 million shares of Class A common stock sold in this offering.</w:t>
      </w:r>
    </w:p>
    <w:p>
      <w:pPr>
        <w:spacing w:after="0" w:line="118" w:lineRule="exact"/>
        <w:rPr>
          <w:rFonts w:ascii="Arial" w:cs="Arial" w:eastAsia="Arial" w:hAnsi="Arial"/>
          <w:sz w:val="17"/>
          <w:szCs w:val="17"/>
          <w:color w:val="auto"/>
        </w:rPr>
      </w:pPr>
    </w:p>
    <w:p>
      <w:pPr>
        <w:ind w:left="320" w:hanging="315"/>
        <w:spacing w:after="0" w:line="289" w:lineRule="auto"/>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shares of Class B common stock do not share in our earnings and are therefore not included in the weighted-average shares outstanding or net loss per share.</w:t>
      </w:r>
    </w:p>
    <w:p>
      <w:pPr>
        <w:spacing w:after="0" w:line="105" w:lineRule="exact"/>
        <w:rPr>
          <w:rFonts w:ascii="Arial" w:cs="Arial" w:eastAsia="Arial" w:hAnsi="Arial"/>
          <w:sz w:val="17"/>
          <w:szCs w:val="17"/>
          <w:color w:val="auto"/>
        </w:rPr>
      </w:pPr>
    </w:p>
    <w:p>
      <w:pPr>
        <w:jc w:val="both"/>
        <w:ind w:left="320" w:hanging="315"/>
        <w:spacing w:after="0" w:line="297" w:lineRule="auto"/>
        <w:tabs>
          <w:tab w:leader="none" w:pos="3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Following the Reorganization Transactions, we will be subject to U.S. federal income taxes, in addition to state and local taxes, with respect to our allocable share of any net taxable income of ZoomInfo OpCo, which will result in higher income taxes. As a result, the pro forma balance sheet reflects an adjustment to our taxes assuming the federal rates currently in effect and the highest statutory rates apportioned to each state and local jurisdiction.</w:t>
      </w:r>
    </w:p>
    <w:p>
      <w:pPr>
        <w:spacing w:after="0" w:line="10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7"/>
          <w:szCs w:val="17"/>
          <w:color w:val="auto"/>
        </w:rPr>
        <w:t>The adjustments in deferred tax liabilities and deferred tax assets are as follows:</w:t>
      </w:r>
    </w:p>
    <w:p>
      <w:pPr>
        <w:spacing w:after="0" w:line="384"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4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As of March 31,</w:t>
            </w:r>
          </w:p>
        </w:tc>
      </w:tr>
      <w:tr>
        <w:trPr>
          <w:trHeight w:val="19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r>
      <w:tr>
        <w:trPr>
          <w:trHeight w:val="240"/>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Historical deferred tax liability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(82.7)</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w w:val="94"/>
              </w:rPr>
              <w:t>Future deductions attributable to the tax receivable agreement resulting from the Reorganization Transactions described below</w:t>
            </w:r>
          </w:p>
        </w:tc>
        <w:tc>
          <w:tcPr>
            <w:tcW w:w="1480" w:type="dxa"/>
            <w:vAlign w:val="bottom"/>
          </w:tcPr>
          <w:p>
            <w:pPr>
              <w:jc w:val="right"/>
              <w:spacing w:after="0"/>
              <w:rPr>
                <w:sz w:val="20"/>
                <w:szCs w:val="20"/>
                <w:color w:val="auto"/>
              </w:rPr>
            </w:pPr>
            <w:r>
              <w:rPr>
                <w:rFonts w:ascii="Arial" w:cs="Arial" w:eastAsia="Arial" w:hAnsi="Arial"/>
                <w:sz w:val="17"/>
                <w:szCs w:val="17"/>
                <w:color w:val="auto"/>
              </w:rPr>
              <w:t>69.7</w:t>
            </w:r>
          </w:p>
        </w:tc>
      </w:tr>
      <w:tr>
        <w:trPr>
          <w:trHeight w:val="27"/>
        </w:trPr>
        <w:tc>
          <w:tcPr>
            <w:tcW w:w="9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6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Future deductions attributable to the tax receivable agreement resulting from the Offering Transactions described below</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28"/>
        </w:trPr>
        <w:tc>
          <w:tcPr>
            <w:tcW w:w="9020" w:type="dxa"/>
            <w:vAlign w:val="bottom"/>
          </w:tcPr>
          <w:p>
            <w:pPr>
              <w:ind w:left="20"/>
              <w:spacing w:after="0"/>
              <w:rPr>
                <w:sz w:val="20"/>
                <w:szCs w:val="20"/>
                <w:color w:val="auto"/>
              </w:rPr>
            </w:pPr>
            <w:r>
              <w:rPr>
                <w:rFonts w:ascii="Arial" w:cs="Arial" w:eastAsia="Arial" w:hAnsi="Arial"/>
                <w:sz w:val="17"/>
                <w:szCs w:val="17"/>
                <w:color w:val="auto"/>
              </w:rPr>
              <w:t>Pro forma deferred tax liability</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0.0</w:t>
            </w:r>
          </w:p>
        </w:tc>
      </w:tr>
      <w:tr>
        <w:trPr>
          <w:trHeight w:val="27"/>
        </w:trPr>
        <w:tc>
          <w:tcPr>
            <w:tcW w:w="9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14"/>
        </w:trPr>
        <w:tc>
          <w:tcPr>
            <w:tcW w:w="90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Historical deferred tax asset</w:t>
            </w:r>
          </w:p>
        </w:tc>
        <w:tc>
          <w:tcPr>
            <w:tcW w:w="1480" w:type="dxa"/>
            <w:vAlign w:val="bottom"/>
          </w:tcPr>
          <w:p>
            <w:pPr>
              <w:jc w:val="right"/>
              <w:spacing w:after="0"/>
              <w:rPr>
                <w:sz w:val="20"/>
                <w:szCs w:val="20"/>
                <w:color w:val="auto"/>
              </w:rPr>
            </w:pPr>
            <w:r>
              <w:rPr>
                <w:rFonts w:ascii="Arial" w:cs="Arial" w:eastAsia="Arial" w:hAnsi="Arial"/>
                <w:sz w:val="17"/>
                <w:szCs w:val="17"/>
                <w:color w:val="auto"/>
              </w:rPr>
              <w:t>0.0</w:t>
            </w:r>
          </w:p>
        </w:tc>
      </w:tr>
      <w:tr>
        <w:trPr>
          <w:trHeight w:val="27"/>
        </w:trPr>
        <w:tc>
          <w:tcPr>
            <w:tcW w:w="9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Future deductions attributable to the tax receivable agreement resulting from the Offering Transactions described below</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ZoomInfo’s initial investment in ZoomInfo OpCo from the Offering Transactions</w:t>
            </w:r>
          </w:p>
        </w:tc>
        <w:tc>
          <w:tcPr>
            <w:tcW w:w="1480" w:type="dxa"/>
            <w:vAlign w:val="bottom"/>
          </w:tcPr>
          <w:p>
            <w:pPr>
              <w:jc w:val="right"/>
              <w:spacing w:after="0"/>
              <w:rPr>
                <w:sz w:val="20"/>
                <w:szCs w:val="20"/>
                <w:color w:val="auto"/>
              </w:rPr>
            </w:pPr>
            <w:r>
              <w:rPr>
                <w:rFonts w:ascii="Arial" w:cs="Arial" w:eastAsia="Arial" w:hAnsi="Arial"/>
                <w:sz w:val="17"/>
                <w:szCs w:val="17"/>
                <w:color w:val="auto"/>
              </w:rPr>
              <w:t>165.7</w:t>
            </w:r>
          </w:p>
        </w:tc>
      </w:tr>
      <w:tr>
        <w:trPr>
          <w:trHeight w:val="27"/>
        </w:trPr>
        <w:tc>
          <w:tcPr>
            <w:tcW w:w="9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5"/>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deferred tax asset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194.3</w:t>
            </w:r>
          </w:p>
        </w:tc>
      </w:tr>
      <w:tr>
        <w:trPr>
          <w:trHeight w:val="27"/>
        </w:trPr>
        <w:tc>
          <w:tcPr>
            <w:tcW w:w="9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left="320"/>
        <w:spacing w:after="0" w:line="276" w:lineRule="auto"/>
        <w:rPr>
          <w:sz w:val="20"/>
          <w:szCs w:val="20"/>
          <w:color w:val="auto"/>
        </w:rPr>
      </w:pPr>
      <w:r>
        <w:rPr>
          <w:rFonts w:ascii="Arial" w:cs="Arial" w:eastAsia="Arial" w:hAnsi="Arial"/>
          <w:sz w:val="16"/>
          <w:szCs w:val="16"/>
          <w:color w:val="auto"/>
        </w:rPr>
        <w:t>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See “Certain Relationships and Related Person Transactions—Tax Receivable Agreements.” The tax receivable agreements will be accounted for as contingent liabilities, with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240"/>
          </w:cols>
          <w:pgMar w:left="320" w:top="337" w:right="339" w:bottom="1440" w:gutter="0" w:footer="0" w:header="0"/>
        </w:sectPr>
      </w:pPr>
    </w:p>
    <w:bookmarkStart w:id="113" w:name="page114"/>
    <w:bookmarkEnd w:id="113"/>
    <w:p>
      <w:pPr>
        <w:ind w:left="320"/>
        <w:spacing w:after="0" w:line="289" w:lineRule="auto"/>
        <w:rPr>
          <w:sz w:val="20"/>
          <w:szCs w:val="20"/>
          <w:color w:val="auto"/>
        </w:rPr>
      </w:pPr>
      <w:r>
        <w:rPr>
          <w:rFonts w:ascii="Arial" w:cs="Arial" w:eastAsia="Arial" w:hAnsi="Arial"/>
          <w:sz w:val="17"/>
          <w:szCs w:val="17"/>
          <w:color w:val="auto"/>
        </w:rPr>
        <w:t>amounts accrued when considered probable and reasonably estimable. We recorded adjustments relating to the items described in clauses (i) and (ii) above, as follows:</w:t>
      </w:r>
    </w:p>
    <w:p>
      <w:pPr>
        <w:spacing w:after="0" w:line="106" w:lineRule="exact"/>
        <w:rPr>
          <w:sz w:val="20"/>
          <w:szCs w:val="20"/>
          <w:color w:val="auto"/>
        </w:rPr>
      </w:pPr>
    </w:p>
    <w:p>
      <w:pPr>
        <w:jc w:val="both"/>
        <w:ind w:left="640" w:hanging="321"/>
        <w:spacing w:after="0" w:line="267"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We have recorded a decrease of $82.7 million in deferred tax liabilities and an increase of $28.6 million in deferred tax assets (or $82.7 million and $29.0 million if the underwriters exercise in full their option to purchase additional shares of Class A common stock) related to tax benefits from future deductions attributable to payments under the tax receivable agreements. The net change as a result of the Reorganization and Offering Transactions is $69.7 million and $41.6 million, respectively.</w:t>
      </w:r>
    </w:p>
    <w:p>
      <w:pPr>
        <w:spacing w:after="0" w:line="125"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We have recorded $94.7 million in liabilities under the tax receivable agreements (or 95.0 million if the underwriters exercise in full their option to purchase additional shares of Class A common stock) based on our estimate of the aggregate amount that we will pay to the pre-IPO owners under the tax receivable agreements. The increase as a result of the Reorganization Transactions and Offering Transactions is $59.3 million and $35.4 million, respectively.</w:t>
      </w:r>
    </w:p>
    <w:p>
      <w:pPr>
        <w:spacing w:after="0" w:line="12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We have recorded an increase to additional paid-in capital of $16.6 million, which is equal to the difference between the increase in deferred tax assets and the increase in liabilities under the tax receivable agreements. The increase as a result of the Reorganization Transactions and Offering Transactions is $10.4 million and $6.2 million, respectively.</w:t>
      </w:r>
    </w:p>
    <w:p>
      <w:pPr>
        <w:spacing w:after="0" w:line="119" w:lineRule="exact"/>
        <w:rPr>
          <w:sz w:val="20"/>
          <w:szCs w:val="20"/>
          <w:color w:val="auto"/>
        </w:rPr>
      </w:pPr>
    </w:p>
    <w:p>
      <w:pPr>
        <w:jc w:val="both"/>
        <w:ind w:left="320"/>
        <w:spacing w:after="0" w:line="276" w:lineRule="auto"/>
        <w:rPr>
          <w:sz w:val="20"/>
          <w:szCs w:val="20"/>
          <w:color w:val="auto"/>
        </w:rPr>
      </w:pPr>
      <w:r>
        <w:rPr>
          <w:rFonts w:ascii="Arial" w:cs="Arial" w:eastAsia="Arial" w:hAnsi="Arial"/>
          <w:sz w:val="16"/>
          <w:szCs w:val="16"/>
          <w:color w:val="auto"/>
        </w:rPr>
        <w:t>Due to the uncertainty as to the amount and timing of future exchanges of the OpCo Units by the Pre-IPO OpCo Unitholders or the HoldCo Units by the Pre-IPO HoldCo Unitholders, as applicable, and as to the price per share of our Class A common stock at the time of any such exchanges, the unaudited pro forma combined and consolidated financial information does not assume that exchanges of OpCo Units or HoldCo Units have occurred. Therefore, no increases in tax basis in ZoomInfo Technologies Inc.’s assets or other tax benefits that may be realized as a result of any such future exchanges have been reflected in the unaudited pro forma combined and consolidated financial information. However, if all of the Pre-IPO OpCo Unitholders and the Pre-IPO HoldCo Unitholders were to exchange their OpCo Units and HoldCo Units (in each case, together with a corresponding number of shares of Class B common stock), respectively, immediately following the completion of this offering, we would recognize an incremental deferred tax asset of approximately $1,469.2 million and a non-current liability of approximately $1,248.8 million based on our estimate of the aggregate amount that we will pay under the tax receivable agreements as a result of such future exchanges, assuming: (i) a constant corporate tax rate of 26.7%; (ii) that we will have sufficient taxable income to fully utilize the tax benefits; and (iii) no material changes in tax law. Assuming no change in the other assumptions, if all of the Pre-IPO OpCo Unitholders and the Pre-IPO HoldCo Unitholders were each to exchange only 50% (rather than all) of their OpCo Units and HoldCo Units, respectively, immediately following the completion of this offering we would recognize only 50% of the incremental deferred tax asset and non-current liability that we would recognize if all of the Pre-IPO OpCo Unitholders and the Pre-IPO HoldCo Unitholders were each to exchange all of their OpCo Units and HoldCo Units, respectively. These amounts are estimates and have been prepared for informational purposes only. The actual amount of deferred tax assets and related liabilities that we will recognize as a result of any such future exchanges will differ based on, among other things: (i) the amount and timing of future exchanges of OpCo Units or HoldCo Units by Pre-IPO OpCo Unitholders or Pre-IPO HoldCo Unitholders, as applicable,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121" w:lineRule="exact"/>
        <w:rPr>
          <w:sz w:val="20"/>
          <w:szCs w:val="20"/>
          <w:color w:val="auto"/>
        </w:rPr>
      </w:pPr>
    </w:p>
    <w:p>
      <w:pPr>
        <w:ind w:left="320" w:hanging="315"/>
        <w:spacing w:after="0" w:line="289" w:lineRule="auto"/>
        <w:tabs>
          <w:tab w:leader="none" w:pos="3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Reflects the reclassification of ZoomInfo OpCo’s historic members’ equity to the par value for Class B and Class C common stock, and a reclassification of members’ equity to additional paid-in capital as a result of the Reorganization Transactions.</w:t>
      </w:r>
    </w:p>
    <w:p>
      <w:pPr>
        <w:spacing w:after="0" w:line="105" w:lineRule="exact"/>
        <w:rPr>
          <w:rFonts w:ascii="Arial" w:cs="Arial" w:eastAsia="Arial" w:hAnsi="Arial"/>
          <w:sz w:val="17"/>
          <w:szCs w:val="17"/>
          <w:color w:val="auto"/>
        </w:rPr>
      </w:pPr>
    </w:p>
    <w:p>
      <w:pPr>
        <w:jc w:val="both"/>
        <w:ind w:left="320"/>
        <w:spacing w:after="0" w:line="265" w:lineRule="auto"/>
        <w:rPr>
          <w:rFonts w:ascii="Arial" w:cs="Arial" w:eastAsia="Arial" w:hAnsi="Arial"/>
          <w:sz w:val="17"/>
          <w:szCs w:val="17"/>
          <w:color w:val="auto"/>
        </w:rPr>
      </w:pPr>
      <w:r>
        <w:rPr>
          <w:rFonts w:ascii="Arial" w:cs="Arial" w:eastAsia="Arial" w:hAnsi="Arial"/>
          <w:sz w:val="17"/>
          <w:szCs w:val="17"/>
          <w:color w:val="auto"/>
        </w:rPr>
        <w:t>The Pre-IPO OpCo Unitholders and the Pre-IPO HoldCo Unitholders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OpCo Unitholders and the Pre-IPO HoldCo Unitholders will have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240"/>
          </w:cols>
          <w:pgMar w:left="320" w:top="337" w:right="339" w:bottom="1440" w:gutter="0" w:footer="0" w:header="0"/>
        </w:sectPr>
      </w:pPr>
    </w:p>
    <w:bookmarkStart w:id="114" w:name="page115"/>
    <w:bookmarkEnd w:id="114"/>
    <w:p>
      <w:pPr>
        <w:jc w:val="both"/>
        <w:ind w:left="320"/>
        <w:spacing w:after="0" w:line="273" w:lineRule="auto"/>
        <w:rPr>
          <w:sz w:val="20"/>
          <w:szCs w:val="20"/>
          <w:color w:val="auto"/>
        </w:rPr>
      </w:pPr>
      <w:r>
        <w:rPr>
          <w:rFonts w:ascii="Arial" w:cs="Arial" w:eastAsia="Arial" w:hAnsi="Arial"/>
          <w:sz w:val="17"/>
          <w:szCs w:val="17"/>
          <w:color w:val="auto"/>
        </w:rPr>
        <w:t>the right (subject to the terms of the relevant limited liability company agreement) to exchange their OpCo Units and HoldCo Units (together with a corresponding number of shares of Class B common stock), respectively, for shares of our Class A common stock on a one-for-one basis, subject to customary conversion rate adjustments for stock splits, stock dividends, and reclassifications.</w:t>
      </w:r>
    </w:p>
    <w:p>
      <w:pPr>
        <w:spacing w:after="0" w:line="119" w:lineRule="exact"/>
        <w:rPr>
          <w:sz w:val="20"/>
          <w:szCs w:val="20"/>
          <w:color w:val="auto"/>
        </w:rPr>
      </w:pPr>
    </w:p>
    <w:p>
      <w:pPr>
        <w:jc w:val="both"/>
        <w:ind w:left="320"/>
        <w:spacing w:after="0" w:line="263" w:lineRule="auto"/>
        <w:rPr>
          <w:sz w:val="20"/>
          <w:szCs w:val="20"/>
          <w:color w:val="auto"/>
        </w:rPr>
      </w:pPr>
      <w:r>
        <w:rPr>
          <w:rFonts w:ascii="Arial" w:cs="Arial" w:eastAsia="Arial" w:hAnsi="Arial"/>
          <w:sz w:val="17"/>
          <w:szCs w:val="17"/>
          <w:color w:val="auto"/>
        </w:rPr>
        <w:t>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The outstanding shares of Class C common stock will be convertible into shares of Class A common stock on a one-for-one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“Certain Relationships and Related Person Transactions” and “Description of Capital Stock.”</w:t>
      </w:r>
    </w:p>
    <w:p>
      <w:pPr>
        <w:spacing w:after="0" w:line="171" w:lineRule="exact"/>
        <w:rPr>
          <w:sz w:val="20"/>
          <w:szCs w:val="20"/>
          <w:color w:val="auto"/>
        </w:rPr>
      </w:pPr>
    </w:p>
    <w:p>
      <w:pPr>
        <w:ind w:left="320" w:hanging="315"/>
        <w:spacing w:after="0" w:line="289" w:lineRule="auto"/>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proceeds to ZoomInfo Technologies Inc. from this offering will be approximately $886.6 million (or $1,019.6 million if the underwriters exercise in full their option to purchase additional shares of Class A common stock), after deducting the underwriting discount.</w:t>
      </w:r>
    </w:p>
    <w:p>
      <w:pPr>
        <w:spacing w:after="0" w:line="105" w:lineRule="exact"/>
        <w:rPr>
          <w:rFonts w:ascii="Arial" w:cs="Arial" w:eastAsia="Arial" w:hAnsi="Arial"/>
          <w:sz w:val="17"/>
          <w:szCs w:val="17"/>
          <w:color w:val="auto"/>
        </w:rPr>
      </w:pPr>
    </w:p>
    <w:p>
      <w:pPr>
        <w:ind w:left="320"/>
        <w:spacing w:after="0" w:line="289" w:lineRule="auto"/>
        <w:rPr>
          <w:rFonts w:ascii="Arial" w:cs="Arial" w:eastAsia="Arial" w:hAnsi="Arial"/>
          <w:sz w:val="17"/>
          <w:szCs w:val="17"/>
          <w:color w:val="auto"/>
        </w:rPr>
      </w:pPr>
      <w:r>
        <w:rPr>
          <w:rFonts w:ascii="Arial" w:cs="Arial" w:eastAsia="Arial" w:hAnsi="Arial"/>
          <w:sz w:val="17"/>
          <w:szCs w:val="17"/>
          <w:color w:val="auto"/>
        </w:rPr>
        <w:t>The decrease to long-term debt of $397.3 million is comprised of the face value of our second lien term loan of $370.0 million less unamortized discounts and debt issuance costs of $(7.7) million plus outstanding borrowings on our first lien revolving credit facility of $35.0 million.</w:t>
      </w:r>
    </w:p>
    <w:p>
      <w:pPr>
        <w:spacing w:after="0" w:line="105"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A reconciliation of the gross proceeds from this offering to the net cash proceeds to ZoomInfo OpCo is set forth below:</w:t>
      </w:r>
    </w:p>
    <w:p>
      <w:pPr>
        <w:spacing w:after="0" w:line="384"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As of March 31,</w:t>
            </w:r>
          </w:p>
        </w:tc>
      </w:tr>
      <w:tr>
        <w:trPr>
          <w:trHeight w:val="190"/>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40"/>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Initial public offering price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21.00</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Shares of Class A common stock issued in this offering (in millions)</w:t>
            </w:r>
          </w:p>
        </w:tc>
        <w:tc>
          <w:tcPr>
            <w:tcW w:w="180" w:type="dxa"/>
            <w:vAlign w:val="bottom"/>
          </w:tcPr>
          <w:p>
            <w:pPr>
              <w:spacing w:after="0"/>
              <w:rPr>
                <w:sz w:val="20"/>
                <w:szCs w:val="20"/>
                <w:color w:val="auto"/>
              </w:rPr>
            </w:pPr>
          </w:p>
        </w:tc>
        <w:tc>
          <w:tcPr>
            <w:tcW w:w="1300" w:type="dxa"/>
            <w:vAlign w:val="bottom"/>
          </w:tcPr>
          <w:p>
            <w:pPr>
              <w:jc w:val="right"/>
              <w:ind w:right="35"/>
              <w:spacing w:after="0"/>
              <w:rPr>
                <w:sz w:val="20"/>
                <w:szCs w:val="20"/>
                <w:color w:val="auto"/>
              </w:rPr>
            </w:pPr>
            <w:r>
              <w:rPr>
                <w:rFonts w:ascii="Arial" w:cs="Arial" w:eastAsia="Arial" w:hAnsi="Arial"/>
                <w:sz w:val="17"/>
                <w:szCs w:val="17"/>
                <w:color w:val="auto"/>
              </w:rPr>
              <w:t>44.5</w:t>
            </w: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5"/>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proceeds from offering of Class A common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934.5</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Payment of underwriting discounts and commissions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(47.9)</w:t>
            </w: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5"/>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proceeds received by ZoomInfo Technologies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886.6</w:t>
            </w:r>
          </w:p>
        </w:tc>
      </w:tr>
      <w:tr>
        <w:trPr>
          <w:trHeight w:val="314"/>
        </w:trPr>
        <w:tc>
          <w:tcPr>
            <w:tcW w:w="9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Merger cash consideration payable to certain Pre-IPO Blocker Holders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Net proceeds used to purchase OpCo Units from certain Pre-IPO OpCo Unitholders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(47.2)</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Estimated offering costs, exclusive of $6.8 million previously capitalized and deferred in our historical financial statements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Unpaid portion of $6.8 million previously capitalized offering costs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Redeem Series A Preferred units, including $74.0 million in accumulated but unpaid distributions and related prepayment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8"/>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premiums</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(274.2)</w:t>
            </w:r>
          </w:p>
        </w:tc>
      </w:tr>
      <w:tr>
        <w:trPr>
          <w:trHeight w:val="235"/>
        </w:trPr>
        <w:tc>
          <w:tcPr>
            <w:tcW w:w="9020" w:type="dxa"/>
            <w:vAlign w:val="bottom"/>
          </w:tcPr>
          <w:p>
            <w:pPr>
              <w:ind w:left="20"/>
              <w:spacing w:after="0"/>
              <w:rPr>
                <w:sz w:val="20"/>
                <w:szCs w:val="20"/>
                <w:color w:val="auto"/>
              </w:rPr>
            </w:pPr>
            <w:r>
              <w:rPr>
                <w:rFonts w:ascii="Arial" w:cs="Arial" w:eastAsia="Arial" w:hAnsi="Arial"/>
                <w:sz w:val="17"/>
                <w:szCs w:val="17"/>
                <w:color w:val="auto"/>
              </w:rPr>
              <w:t>Repay second lien term loan of $370.0 million, prepayment premium of $3.7 million and accrued interest of $6.9 million</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(380.6)</w:t>
            </w: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Repay outstanding revolver balance</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w:t>
            </w:r>
          </w:p>
        </w:tc>
      </w:tr>
      <w:tr>
        <w:trPr>
          <w:trHeight w:val="248"/>
        </w:trPr>
        <w:tc>
          <w:tcPr>
            <w:tcW w:w="9020" w:type="dxa"/>
            <w:vAlign w:val="bottom"/>
          </w:tcPr>
          <w:p>
            <w:pPr>
              <w:ind w:left="20"/>
              <w:spacing w:after="0"/>
              <w:rPr>
                <w:sz w:val="20"/>
                <w:szCs w:val="20"/>
                <w:color w:val="auto"/>
              </w:rPr>
            </w:pPr>
            <w:r>
              <w:rPr>
                <w:rFonts w:ascii="Arial" w:cs="Arial" w:eastAsia="Arial" w:hAnsi="Arial"/>
                <w:sz w:val="17"/>
                <w:szCs w:val="17"/>
                <w:color w:val="auto"/>
              </w:rPr>
              <w:t>Net cash proceeds to ZoomInfo OpCo</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139.2</w:t>
            </w:r>
          </w:p>
        </w:tc>
      </w:tr>
      <w:tr>
        <w:trPr>
          <w:trHeight w:val="20"/>
        </w:trPr>
        <w:tc>
          <w:tcPr>
            <w:tcW w:w="9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left="320"/>
        <w:spacing w:after="0" w:line="267" w:lineRule="auto"/>
        <w:rPr>
          <w:sz w:val="20"/>
          <w:szCs w:val="20"/>
          <w:color w:val="auto"/>
        </w:rPr>
      </w:pPr>
      <w:r>
        <w:rPr>
          <w:rFonts w:ascii="Arial" w:cs="Arial" w:eastAsia="Arial" w:hAnsi="Arial"/>
          <w:sz w:val="17"/>
          <w:szCs w:val="17"/>
          <w:color w:val="auto"/>
        </w:rPr>
        <w:t>We will only retain net proceeds that are used to purchase newly issued HoldCo Units from ZoomInfo HoldCo which will, in turn, be used to purchase newly issued OpCo Units from ZoomInfo OpCo. We will not retain any of the net proceeds used to purchase OpCo Units from Pre-IPO OpCo Unitholders or to fund merger consideration for the Blocker Mergers. See “Use of Proceeds” and “Certain Relationships and Related Person Transactions—Purchase of OpCo Units and Payment of Blocker Merger Consideration.”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337" w:right="339" w:bottom="1440" w:gutter="0" w:footer="0" w:header="0"/>
        </w:sectPr>
      </w:pPr>
    </w:p>
    <w:bookmarkStart w:id="115" w:name="page116"/>
    <w:bookmarkEnd w:id="115"/>
    <w:p>
      <w:pPr>
        <w:jc w:val="both"/>
        <w:ind w:left="320" w:hanging="315"/>
        <w:spacing w:after="0" w:line="273" w:lineRule="auto"/>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We are deferring the direct costs associated with this offering. These costs primarily represent legal, accounting, and other direct costs and are recorded in prepaid expenses and other current assets in our consolidated balance sheet. Upon completion of this offering, deferred costs will be charged against the proceeds from this offering as a reduction of additional paid-in capital.</w:t>
      </w:r>
    </w:p>
    <w:p>
      <w:pPr>
        <w:spacing w:after="0" w:line="118" w:lineRule="exact"/>
        <w:rPr>
          <w:rFonts w:ascii="Arial" w:cs="Arial" w:eastAsia="Arial" w:hAnsi="Arial"/>
          <w:sz w:val="17"/>
          <w:szCs w:val="17"/>
          <w:color w:val="auto"/>
        </w:rPr>
      </w:pPr>
    </w:p>
    <w:p>
      <w:pPr>
        <w:jc w:val="both"/>
        <w:ind w:left="320" w:hanging="315"/>
        <w:spacing w:after="0" w:line="260" w:lineRule="auto"/>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Reflects the increased equity-based compensation expense after giving effect to the completion of this offering. The adjustments to the unaudited pro forma consolidated statements of operations reflect the additional expense that we expect to record that will have a continuing impact on the Company’s operations and excludes the expense that will be incurred as an immediate result of this offering. An additional $50.5 million adjustment to retained earnings is reflected in the unaudited pro forma consolidated statement of financial condition, representing the expense we expect to record concurrently with the completion of this offering and will not have a continuing impact on the Company’s operations. See “Management’s Discussion and Analysis of Financial Condition and Results of Operations—Critical Accounting Policies and Estimates—Equity-Based Compensation” for additional information. As discussed in the notes to the unaudited pro forma consolidated statements of operations, additional expense for the HSKB Incentive Units and HSKB Phantom awards will be recorded in periods following this offering in accordance with the time vesting provisions of the applicable underlying awards once the units can be exchanged for common stock in the Company after an initial public offering. Alternatively, the awards only vest upon a sale of 90% of the sale of ZoomInfo OpCo.</w:t>
      </w:r>
    </w:p>
    <w:p>
      <w:pPr>
        <w:spacing w:after="0" w:line="135" w:lineRule="exact"/>
        <w:rPr>
          <w:rFonts w:ascii="Arial" w:cs="Arial" w:eastAsia="Arial" w:hAnsi="Arial"/>
          <w:sz w:val="17"/>
          <w:szCs w:val="17"/>
          <w:color w:val="auto"/>
        </w:rPr>
      </w:pPr>
    </w:p>
    <w:p>
      <w:pPr>
        <w:ind w:left="320" w:hanging="315"/>
        <w:spacing w:after="0" w:line="289" w:lineRule="auto"/>
        <w:tabs>
          <w:tab w:leader="none" w:pos="3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Represents an increase of $995.8 million to additional paid-in capital as a result of the amounts allocable to ZoomInfo Technologies Inc. from net proceeds of this offering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20" w:type="dxa"/>
            <w:vAlign w:val="bottom"/>
          </w:tcPr>
          <w:p>
            <w:pPr>
              <w:spacing w:after="0"/>
              <w:rPr>
                <w:sz w:val="20"/>
                <w:szCs w:val="20"/>
                <w:color w:val="auto"/>
              </w:rPr>
            </w:pP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proceeds from the offering of Class A common stock</w:t>
            </w: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886.6</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760" w:type="dxa"/>
            <w:vAlign w:val="bottom"/>
            <w:gridSpan w:val="2"/>
          </w:tcPr>
          <w:p>
            <w:pPr>
              <w:ind w:left="20"/>
              <w:spacing w:after="0"/>
              <w:rPr>
                <w:sz w:val="20"/>
                <w:szCs w:val="20"/>
                <w:color w:val="auto"/>
              </w:rPr>
            </w:pPr>
            <w:r>
              <w:rPr>
                <w:rFonts w:ascii="Arial" w:cs="Arial" w:eastAsia="Arial" w:hAnsi="Arial"/>
                <w:sz w:val="17"/>
                <w:szCs w:val="17"/>
                <w:color w:val="auto"/>
                <w:w w:val="95"/>
              </w:rPr>
              <w:t>Payment of estimated offering costs, exclusive of $1.8 million previously capitalized and deferred in our historical financial</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8560" w:type="dxa"/>
            <w:vAlign w:val="bottom"/>
          </w:tcPr>
          <w:p>
            <w:pPr>
              <w:ind w:left="180"/>
              <w:spacing w:after="0"/>
              <w:rPr>
                <w:sz w:val="20"/>
                <w:szCs w:val="20"/>
                <w:color w:val="auto"/>
              </w:rPr>
            </w:pPr>
            <w:r>
              <w:rPr>
                <w:rFonts w:ascii="Arial" w:cs="Arial" w:eastAsia="Arial" w:hAnsi="Arial"/>
                <w:sz w:val="17"/>
                <w:szCs w:val="17"/>
                <w:color w:val="auto"/>
              </w:rPr>
              <w:t>statements (see note (k))</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8"/>
              </w:rPr>
              <w:t>Transaction costs incurred prior to this offering deferred as prepaid expenses and other current assets (see note (l))</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5"/>
        </w:trPr>
        <w:tc>
          <w:tcPr>
            <w:tcW w:w="32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Arial" w:cs="Arial" w:eastAsia="Arial" w:hAnsi="Arial"/>
                <w:sz w:val="17"/>
                <w:szCs w:val="17"/>
                <w:color w:val="auto"/>
              </w:rPr>
              <w:t>Par value of Class A common stock issued in this offering</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Redemption of Series A Preferred units net of book value</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(74.0)</w:t>
            </w:r>
          </w:p>
        </w:tc>
        <w:tc>
          <w:tcPr>
            <w:tcW w:w="0" w:type="dxa"/>
            <w:vAlign w:val="bottom"/>
          </w:tcPr>
          <w:p>
            <w:pPr>
              <w:spacing w:after="0"/>
              <w:rPr>
                <w:sz w:val="1"/>
                <w:szCs w:val="1"/>
                <w:color w:val="auto"/>
              </w:rPr>
            </w:pPr>
          </w:p>
        </w:tc>
      </w:tr>
      <w:tr>
        <w:trPr>
          <w:trHeight w:val="235"/>
        </w:trPr>
        <w:tc>
          <w:tcPr>
            <w:tcW w:w="32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Arial" w:cs="Arial" w:eastAsia="Arial" w:hAnsi="Arial"/>
                <w:sz w:val="17"/>
                <w:szCs w:val="17"/>
                <w:color w:val="auto"/>
              </w:rPr>
              <w:t>Merger cash consideration payable to certain Pre-IPO Blocker Holders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proceeds used to purchase OpCo Units from certain Pre-IPO OpCo Unitholders</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7"/>
                <w:szCs w:val="17"/>
                <w:color w:val="auto"/>
                <w:w w:val="97"/>
              </w:rPr>
              <w:t>ZoomInfo’s initial investment in ZoomInfo OpCo net of the increase in deferred tax assets and liabilities under the tax</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8560" w:type="dxa"/>
            <w:vAlign w:val="bottom"/>
          </w:tcPr>
          <w:p>
            <w:pPr>
              <w:ind w:left="180"/>
              <w:spacing w:after="0"/>
              <w:rPr>
                <w:sz w:val="20"/>
                <w:szCs w:val="20"/>
                <w:color w:val="auto"/>
              </w:rPr>
            </w:pPr>
            <w:r>
              <w:rPr>
                <w:rFonts w:ascii="Arial" w:cs="Arial" w:eastAsia="Arial" w:hAnsi="Arial"/>
                <w:sz w:val="17"/>
                <w:szCs w:val="17"/>
                <w:color w:val="auto"/>
              </w:rPr>
              <w:t>receivable agreement as a result of the transactions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171.9</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3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Vesting of certain tranches of employee incentive awards (see note (m))</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35"/>
        </w:trPr>
        <w:tc>
          <w:tcPr>
            <w:tcW w:w="320" w:type="dxa"/>
            <w:vAlign w:val="bottom"/>
          </w:tcPr>
          <w:p>
            <w:pPr>
              <w:spacing w:after="0"/>
              <w:rPr>
                <w:sz w:val="20"/>
                <w:szCs w:val="20"/>
                <w:color w:val="auto"/>
              </w:rPr>
            </w:pPr>
          </w:p>
        </w:tc>
        <w:tc>
          <w:tcPr>
            <w:tcW w:w="8560" w:type="dxa"/>
            <w:vAlign w:val="bottom"/>
          </w:tcPr>
          <w:p>
            <w:pPr>
              <w:ind w:left="20"/>
              <w:spacing w:after="0"/>
              <w:rPr>
                <w:sz w:val="20"/>
                <w:szCs w:val="20"/>
                <w:color w:val="auto"/>
              </w:rPr>
            </w:pPr>
            <w:r>
              <w:rPr>
                <w:rFonts w:ascii="Arial" w:cs="Arial" w:eastAsia="Arial" w:hAnsi="Arial"/>
                <w:sz w:val="17"/>
                <w:szCs w:val="17"/>
                <w:color w:val="auto"/>
              </w:rPr>
              <w:t>Additional paid-in capital allocable to non-controlling interests from offering (see note (e))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3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increase to 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995.8</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jc w:val="right"/>
              <w:ind w:right="315"/>
              <w:spacing w:after="0"/>
              <w:rPr>
                <w:sz w:val="20"/>
                <w:szCs w:val="20"/>
                <w:color w:val="auto"/>
              </w:rPr>
            </w:pPr>
            <w:r>
              <w:rPr>
                <w:rFonts w:ascii="Arial" w:cs="Arial" w:eastAsia="Arial" w:hAnsi="Arial"/>
                <w:sz w:val="17"/>
                <w:szCs w:val="17"/>
                <w:color w:val="auto"/>
                <w:w w:val="94"/>
              </w:rPr>
              <w:t>(o) The decrease of $61.9 million to accumulated deficit as a result of the Offering Transaction is determined as follows:</w:t>
            </w: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3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8"/>
              </w:rPr>
              <w:t>As of March 31,</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Vesting of certain tranches of employee incentive awards (see note (m))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50.5</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7"/>
                <w:szCs w:val="17"/>
                <w:color w:val="auto"/>
              </w:rPr>
              <w:t>A prepayment premium due upon payment of our second lien term loan</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3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Write-off of unamortized discounts and debt issuance costs</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7.7</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20" w:type="dxa"/>
            <w:vAlign w:val="bottom"/>
          </w:tcPr>
          <w:p>
            <w:pPr>
              <w:spacing w:after="0"/>
              <w:rPr>
                <w:sz w:val="21"/>
                <w:szCs w:val="21"/>
                <w:color w:val="auto"/>
              </w:rPr>
            </w:pPr>
          </w:p>
        </w:tc>
        <w:tc>
          <w:tcPr>
            <w:tcW w:w="8560" w:type="dxa"/>
            <w:vAlign w:val="bottom"/>
          </w:tcPr>
          <w:p>
            <w:pPr>
              <w:ind w:left="20"/>
              <w:spacing w:after="0"/>
              <w:rPr>
                <w:sz w:val="20"/>
                <w:szCs w:val="20"/>
                <w:color w:val="auto"/>
              </w:rPr>
            </w:pPr>
            <w:r>
              <w:rPr>
                <w:rFonts w:ascii="Arial" w:cs="Arial" w:eastAsia="Arial" w:hAnsi="Arial"/>
                <w:sz w:val="17"/>
                <w:szCs w:val="17"/>
                <w:color w:val="auto"/>
              </w:rPr>
              <w:t>Total decrease to accumulated deficit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61.9</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jc w:val="right"/>
              <w:ind w:right="3035"/>
              <w:spacing w:after="0"/>
              <w:rPr>
                <w:sz w:val="20"/>
                <w:szCs w:val="20"/>
                <w:color w:val="auto"/>
              </w:rPr>
            </w:pPr>
            <w:r>
              <w:rPr>
                <w:rFonts w:ascii="Arial" w:cs="Arial" w:eastAsia="Arial" w:hAnsi="Arial"/>
                <w:sz w:val="17"/>
                <w:szCs w:val="17"/>
                <w:color w:val="auto"/>
              </w:rPr>
              <w:t>108</w:t>
            </w: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88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b w:val="1"/>
          <w:bCs w:val="1"/>
          <w:color w:val="auto"/>
        </w:rPr>
        <w:t>SELECTED HISTORICAL CONSOLIDATED FINANCIAL DATA</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following tables present the selected historical consolidated financial data for ZoomInfo OpCo and its subsidiaries for the periods and the dates indicated. Immediately following this offering, ZoomInfo Technologies Inc. will be a holding company, and its sole material asset will be a controlling equity interest in ZoomInfo HoldCo, which will be a holding company whose sole material asset will be a controlling equity interest in ZoomInfo OpCo. ZoomInfo Technologies Inc. will operate and control all of the business and affairs of ZoomInfo OpCo through ZoomInfo HoldCo and, through ZoomInfo OpCo and its subsidiaries, conduct our business. 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financial statements of ZoomInfo OpCo. ZoomInfo Technologies Inc. will consolidate ZoomInfo OpCo through ZoomInfo HoldCo in its consolidated financial statements and record a non-controlling interest related to the OpCo Units and HoldCo Units held by our pre-IPO owners on its consolidated balance sheet and statement of operations.</w:t>
      </w:r>
    </w:p>
    <w:p>
      <w:pPr>
        <w:spacing w:after="0" w:line="118"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selected consolidated statements of operations data and selected consolidated statements of cash flows data presented below for the years ended December 31, 2018 and December 31, 2019 and the selected consolidated balance sheet data presented below as of December 31, 2018 and December 31, 2019 have been derived from the consolidated financial statements of ZoomInfo OpCo included elsewhere in this prospectus. The selected historical consolidated financial information of ZoomInfo OpCo as of March 31, 2020 and for the three months ended March 31, 2019 and 2020 was derived from the unaudited consolidated financial statements of ZoomInfo OpCo included elsewhere in this prospectus. The unaudited consolidated financial statements of ZoomInfo OpCo have been prepared on the same basis as the audited consolidated financial statements and, in our opinion, have included all adjustments, which include normal recurring adjustments, necessary to present fairly in all material respects our financial position and results of operations. The results for any interim period are not necessarily indicative of the results that may be expected for the full year. Share and per share data in the table below has been retroactively adjusted to give effect to the four-for-one stock split, which occurred on May 20, 2020.</w:t>
      </w:r>
    </w:p>
    <w:p>
      <w:pPr>
        <w:spacing w:after="0" w:line="118" w:lineRule="exact"/>
        <w:rPr>
          <w:sz w:val="20"/>
          <w:szCs w:val="20"/>
          <w:color w:val="auto"/>
        </w:rPr>
      </w:pPr>
    </w:p>
    <w:p>
      <w:pPr>
        <w:jc w:val="both"/>
        <w:ind w:firstLine="314"/>
        <w:spacing w:after="0" w:line="359" w:lineRule="auto"/>
        <w:rPr>
          <w:sz w:val="20"/>
          <w:szCs w:val="20"/>
          <w:color w:val="auto"/>
        </w:rPr>
      </w:pPr>
      <w:r>
        <w:rPr>
          <w:rFonts w:ascii="Arial" w:cs="Arial" w:eastAsia="Arial" w:hAnsi="Arial"/>
          <w:sz w:val="15"/>
          <w:szCs w:val="15"/>
          <w:color w:val="auto"/>
        </w:rPr>
        <w:t>The selected historical consolidated financial and other data of ZoomInfo Technologies Inc. has not been presented because ZoomInfo Technologies Inc. is a newly incorporated entity, has had no business transactions or activities to date, and had no assets or liabilities during the periods presented in this section.</w:t>
      </w:r>
    </w:p>
    <w:p>
      <w:pPr>
        <w:spacing w:after="0" w:line="60"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Historical results are not necessarily indicative of the results expected for any future period. You should read the selected historical consolidated financial data below, together with our audited consolidated financial statements and related notes thereto, the audited consolidated financial statements of Pre-Acquisition ZI and related notes thereto, the audited consolidated financial statements of ZoomInfo Technologies Inc. and related notes thereto, and our unaudited consolidated financial statements and related notes thereto, each included elsewhere in this prospectus, as well as “Summary—Summary Historical and Pro Forma Financial and Other Data,” “Organizational Structure,” “Unaudited Pro Forma Combined and Consolidated Financial Information,” “Management’s Discussion and Analysis of Financial Condition and Results of Operations,” “Description of Certain Indebtedness,” and the other financial information appearing elsewhere in this prospectus.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4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Statements of Operations Data:</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Revenue</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144.3</w:t>
            </w:r>
          </w:p>
        </w:tc>
        <w:tc>
          <w:tcPr>
            <w:tcW w:w="120" w:type="dxa"/>
            <w:vAlign w:val="bottom"/>
          </w:tcPr>
          <w:p>
            <w:pPr>
              <w:spacing w:after="0"/>
              <w:rPr>
                <w:sz w:val="20"/>
                <w:szCs w:val="20"/>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293.3</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54.6</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102.2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Cost of service</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30.1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14.8</w:t>
            </w: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5.6</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106.5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81.8</w:t>
            </w:r>
          </w:p>
        </w:tc>
      </w:tr>
      <w:tr>
        <w:trPr>
          <w:trHeight w:val="268"/>
        </w:trPr>
        <w:tc>
          <w:tcPr>
            <w:tcW w:w="46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330"/>
        </w:trPr>
        <w:tc>
          <w:tcPr>
            <w:tcW w:w="4620" w:type="dxa"/>
            <w:vAlign w:val="bottom"/>
          </w:tcPr>
          <w:p>
            <w:pPr>
              <w:ind w:left="260"/>
              <w:spacing w:after="0"/>
              <w:rPr>
                <w:sz w:val="20"/>
                <w:szCs w:val="20"/>
                <w:color w:val="auto"/>
              </w:rPr>
            </w:pPr>
            <w:r>
              <w:rPr>
                <w:rFonts w:ascii="Arial" w:cs="Arial" w:eastAsia="Arial" w:hAnsi="Arial"/>
                <w:sz w:val="17"/>
                <w:szCs w:val="17"/>
                <w:color w:val="auto"/>
              </w:rPr>
              <w:t>Sales and marketing</w:t>
            </w:r>
            <w:r>
              <w:rPr>
                <w:rFonts w:ascii="Arial" w:cs="Arial" w:eastAsia="Arial" w:hAnsi="Arial"/>
                <w:sz w:val="24"/>
                <w:szCs w:val="24"/>
                <w:color w:val="auto"/>
                <w:vertAlign w:val="superscript"/>
              </w:rPr>
              <w:t>(1)</w:t>
            </w:r>
          </w:p>
        </w:tc>
        <w:tc>
          <w:tcPr>
            <w:tcW w:w="380" w:type="dxa"/>
            <w:vAlign w:val="bottom"/>
          </w:tcPr>
          <w:p>
            <w:pPr>
              <w:spacing w:after="0"/>
              <w:rPr>
                <w:sz w:val="24"/>
                <w:szCs w:val="24"/>
                <w:color w:val="auto"/>
              </w:rPr>
            </w:pPr>
          </w:p>
        </w:tc>
        <w:tc>
          <w:tcPr>
            <w:tcW w:w="1220" w:type="dxa"/>
            <w:vAlign w:val="bottom"/>
          </w:tcPr>
          <w:p>
            <w:pPr>
              <w:jc w:val="right"/>
              <w:ind w:right="37"/>
              <w:spacing w:after="0"/>
              <w:rPr>
                <w:sz w:val="20"/>
                <w:szCs w:val="20"/>
                <w:color w:val="auto"/>
              </w:rPr>
            </w:pPr>
            <w:r>
              <w:rPr>
                <w:rFonts w:ascii="Arial" w:cs="Arial" w:eastAsia="Arial" w:hAnsi="Arial"/>
                <w:sz w:val="17"/>
                <w:szCs w:val="17"/>
                <w:color w:val="auto"/>
              </w:rPr>
              <w:t>42.4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Arial" w:cs="Arial" w:eastAsia="Arial" w:hAnsi="Arial"/>
                <w:sz w:val="17"/>
                <w:szCs w:val="17"/>
                <w:color w:val="auto"/>
              </w:rPr>
              <w:t>90.2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34.1</w:t>
            </w:r>
          </w:p>
        </w:tc>
      </w:tr>
      <w:tr>
        <w:trPr>
          <w:trHeight w:val="560"/>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77"/>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0"/>
        </w:trPr>
        <w:tc>
          <w:tcPr>
            <w:tcW w:w="4620" w:type="dxa"/>
            <w:vAlign w:val="bottom"/>
            <w:shd w:val="clear" w:color="auto" w:fill="CCEEFF"/>
          </w:tcPr>
          <w:p>
            <w:pPr>
              <w:ind w:left="260"/>
              <w:spacing w:after="0" w:line="260"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9.9</w:t>
            </w:r>
          </w:p>
        </w:tc>
      </w:tr>
      <w:tr>
        <w:trPr>
          <w:trHeight w:val="262"/>
        </w:trPr>
        <w:tc>
          <w:tcPr>
            <w:tcW w:w="4620" w:type="dxa"/>
            <w:vAlign w:val="bottom"/>
          </w:tcPr>
          <w:p>
            <w:pPr>
              <w:ind w:left="260"/>
              <w:spacing w:after="0" w:line="26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4"/>
                <w:szCs w:val="24"/>
                <w:color w:val="auto"/>
                <w:vertAlign w:val="superscript"/>
              </w:rPr>
              <w:t>(1)</w:t>
            </w:r>
          </w:p>
        </w:tc>
        <w:tc>
          <w:tcPr>
            <w:tcW w:w="3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10.0</w:t>
            </w: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4.6</w:t>
            </w: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Restructuring and transaction-related expenses</w:t>
            </w:r>
          </w:p>
        </w:tc>
        <w:tc>
          <w:tcPr>
            <w:tcW w:w="3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2.9</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4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188.6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61.5</w:t>
            </w:r>
          </w:p>
        </w:tc>
      </w:tr>
      <w:tr>
        <w:trPr>
          <w:trHeight w:val="228"/>
        </w:trPr>
        <w:tc>
          <w:tcPr>
            <w:tcW w:w="4620" w:type="dxa"/>
            <w:vAlign w:val="bottom"/>
          </w:tcPr>
          <w:p>
            <w:pPr>
              <w:ind w:left="4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20.3</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46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58.2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24.5</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on debt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r>
      <w:tr>
        <w:trPr>
          <w:trHeight w:val="262"/>
        </w:trPr>
        <w:tc>
          <w:tcPr>
            <w:tcW w:w="4620" w:type="dxa"/>
            <w:vAlign w:val="bottom"/>
          </w:tcPr>
          <w:p>
            <w:pPr>
              <w:ind w:left="260"/>
              <w:spacing w:after="0" w:line="262" w:lineRule="exact"/>
              <w:rPr>
                <w:sz w:val="20"/>
                <w:szCs w:val="20"/>
                <w:color w:val="auto"/>
              </w:rPr>
            </w:pPr>
            <w:r>
              <w:rPr>
                <w:rFonts w:ascii="Arial" w:cs="Arial" w:eastAsia="Arial" w:hAnsi="Arial"/>
                <w:sz w:val="17"/>
                <w:szCs w:val="17"/>
                <w:color w:val="auto"/>
              </w:rPr>
              <w:t xml:space="preserve">Other (income) expenses, net </w:t>
            </w:r>
            <w:r>
              <w:rPr>
                <w:rFonts w:ascii="Arial" w:cs="Arial" w:eastAsia="Arial" w:hAnsi="Arial"/>
                <w:sz w:val="24"/>
                <w:szCs w:val="24"/>
                <w:color w:val="auto"/>
                <w:vertAlign w:val="superscript"/>
              </w:rPr>
              <w:t>(2)</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55"/>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(loss) before income taxes</w:t>
            </w: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68"/>
        </w:trPr>
        <w:tc>
          <w:tcPr>
            <w:tcW w:w="46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26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Benefit from income taxes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0.4</w:t>
            </w:r>
          </w:p>
        </w:tc>
      </w:tr>
      <w:tr>
        <w:trPr>
          <w:trHeight w:val="288"/>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Net income (loss)</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300"/>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Pro forma: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 and per share information (unaudited)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Provision for income taxes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w w:val="95"/>
              </w:rPr>
              <w:t>Net income (loss) attributable to ZoomInfo Technologies Inc.</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Basic and diluted net income (loss)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Shares used in basic and diluted per share calculations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143,485,371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143,485,371</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5"/>
        </w:trPr>
        <w:tc>
          <w:tcPr>
            <w:tcW w:w="46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b w:val="1"/>
                <w:bCs w:val="1"/>
                <w:color w:val="auto"/>
              </w:rPr>
              <w:t>Balance Sheet Data (at period end):</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63.0</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Total assets</w:t>
            </w:r>
          </w:p>
        </w:tc>
        <w:tc>
          <w:tcPr>
            <w:tcW w:w="3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591.0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1,561.9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1,542.2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1,577.9</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(including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633.7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1,203.3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1,238.8</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Unearned revenue (including current portion)</w:t>
            </w:r>
          </w:p>
        </w:tc>
        <w:tc>
          <w:tcPr>
            <w:tcW w:w="3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52.5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159.1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105.3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173.2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1,575.5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1,597.8</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Temporary equity</w:t>
            </w:r>
          </w:p>
        </w:tc>
        <w:tc>
          <w:tcPr>
            <w:tcW w:w="3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200.2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Permanent equity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(220.1)</w:t>
            </w:r>
          </w:p>
        </w:tc>
      </w:tr>
      <w:tr>
        <w:trPr>
          <w:trHeight w:val="275"/>
        </w:trPr>
        <w:tc>
          <w:tcPr>
            <w:tcW w:w="4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Statements of Cash Flows Data:</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43.8</w:t>
            </w:r>
          </w:p>
        </w:tc>
        <w:tc>
          <w:tcPr>
            <w:tcW w:w="120" w:type="dxa"/>
            <w:vAlign w:val="bottom"/>
          </w:tcPr>
          <w:p>
            <w:pPr>
              <w:spacing w:after="0"/>
              <w:rPr>
                <w:sz w:val="20"/>
                <w:szCs w:val="20"/>
                <w:color w:val="auto"/>
              </w:rPr>
            </w:pP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44.4</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28.3</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725.8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755.0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655"/>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74"/>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equity-based compensation expense, as follows: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7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r>
      <w:tr>
        <w:trPr>
          <w:trHeight w:val="257"/>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6.4</w:t>
            </w:r>
          </w:p>
        </w:tc>
      </w:tr>
      <w:tr>
        <w:trPr>
          <w:trHeight w:val="26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r>
      <w:tr>
        <w:trPr>
          <w:trHeight w:val="25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r>
      <w:tr>
        <w:trPr>
          <w:trHeight w:val="234"/>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20" w:hanging="315"/>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spacing w:after="0" w:line="200" w:lineRule="exact"/>
        <w:rPr>
          <w:sz w:val="20"/>
          <w:szCs w:val="20"/>
          <w:color w:val="auto"/>
        </w:rPr>
      </w:pPr>
    </w:p>
    <w:p>
      <w:pPr>
        <w:spacing w:after="0" w:line="37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820"/>
          </w:cols>
          <w:pgMar w:left="320" w:top="330" w:right="75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prospectus, as well as the information presented under “Selected Historical Consolidated Financial Data” and “Unaudited Pro Forma Combined and Consolidated Financial Information.”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“Forward-Looking Statements” included elsewhere in this prospectus.</w:t>
      </w:r>
    </w:p>
    <w:p>
      <w:pPr>
        <w:spacing w:after="0" w:line="12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1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Zoom Information, Inc.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90170</wp:posOffset>
            </wp:positionV>
            <wp:extent cx="5189855" cy="2910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89855" cy="291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offer access to our platform on a subscription basis and we generate substantially all of our revenue from sales of subscriptions, which accounted for 99% of revenue for the year ended December 31, 2019. Our subscription fees include the use of our platform and access to customer support. Subscriptions generally range from one to three years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240"/>
          </w:cols>
          <w:pgMar w:left="320" w:top="331" w:right="339" w:bottom="1440" w:gutter="0" w:footer="0" w:header="0"/>
        </w:sectPr>
      </w:pPr>
    </w:p>
    <w:bookmarkStart w:id="120" w:name="page121"/>
    <w:bookmarkEnd w:id="120"/>
    <w:p>
      <w:pPr>
        <w:jc w:val="both"/>
        <w:spacing w:after="0" w:line="289" w:lineRule="auto"/>
        <w:rPr>
          <w:sz w:val="20"/>
          <w:szCs w:val="20"/>
          <w:color w:val="auto"/>
        </w:rPr>
      </w:pPr>
      <w:r>
        <w:rPr>
          <w:rFonts w:ascii="Arial" w:cs="Arial" w:eastAsia="Arial" w:hAnsi="Arial"/>
          <w:sz w:val="17"/>
          <w:szCs w:val="17"/>
          <w:color w:val="auto"/>
        </w:rPr>
        <w:t>with over 25% of our ACV being under multi-year agreements. We typically bill our customers at the beginning of each annual or quarterly period and recognize revenue ratably over the term of the subscription period.</w:t>
      </w:r>
    </w:p>
    <w:p>
      <w:pPr>
        <w:spacing w:after="0" w:line="10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103"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Many of our customers are software and business services companies. In 2019, approximately 39% and 29% of our customers, as measured by ACV, operated in the software and business services industries, respectively. In 2019, less than 4% of our customers, as measured by ACV, operated in the retail, restaurant, hotel, hospitality, consumer discretionary, airline, or oil and gas industries. Our net annual retention rate was 102% and 109% in 2018 and 2019, respectively. We realized improved net annual retention across all customer types, with a net annual retention rate for enterprise customers, defined as having 1,000 or more employees, of 127% in 2019, an increase from 125% in 2018. While the trend in retention improved during the three months ended March 31, 2020, we expect our net annual retention rate to face headwinds in 2020 due to the impact of COVID-19 and associated challenges with increasing sales to existing customers as sales cycles lengthen for larger deals.</w:t>
      </w:r>
    </w:p>
    <w:p>
      <w:pPr>
        <w:spacing w:after="0" w:line="135"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For the year ended December 31, 2019, no single customer contributed more than 1% of revenue. We generate less than 10% of revenue from customers outside the United States. As of December 31, 2018, over 380 customers of ZoomInfo and Pre-Acquisition ZI spent more than $100,000 in ACV on a combined basis. As of December 31, 2019, over 580 of our customers spent more than $100,000 in ACV. As of March 31, 2019 and March 31, 2020, over 410 and 630 of our customers, respectively, spent more than $100,000 in ACV. As of March 31, 2019 and March 31, 2020, customers that spent more than $100,000 in ACV represented 30% and 34% of our total ACV,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87630</wp:posOffset>
            </wp:positionV>
            <wp:extent cx="3368675" cy="30359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867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To address our market opportunity, we have built and continue to tune our efficient go-to-market engine. We have integrated our insights and data into an automated engine with defined processes and specialized roles in order to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t>and sell our services. We are constantly improving the effectiveness of our engine in order to identify and close more business.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have experienced rapid organic growth, supplemented by additional growth from acquisitions. We generated revenue of $293.3 million for the year ended December 31, 2019 and Pre-Acquisition ZI generated $9.7 million in revenue for the one-month period ended January 31, 2019 before the Zoom Information Acquisition, as compared to revenue for the year ended December 31, 2018 of $144.3 million and $72.5 million generated by us and Pre-Acquisition ZI, respectively. We generated revenue of $102.2 million for the three months ended March 31, 2020 as compared to revenue of $54.6 million generated by us for the three months ended March 31, 2019 and revenue of $9.7 million generated by Pre-Acquisition ZI for the one-month period ended January 31, 2019.</w:t>
      </w:r>
    </w:p>
    <w:p>
      <w:pPr>
        <w:spacing w:after="0" w:line="129"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In addition to our consolidated GAAP financial measures, we review various non-GAAP financial measures, including Allocated Combined Receipts, Adjusted Operating Income, and Adjusted Operating Income Margin. See “—Non-GAAP Financial Measures.” We generated Allocated Combined Receipts of $336.0 million for the year ended December 31, 2019, as compared to $241.2 million in 2018, and $103.6 million for the three months ended March 31, 2020, as compared to $73.1 million for the three months ended March 31, 2019. Our Adjusted Operating Income was $167.1 million for the year ended December 31, 2019, as compared to $83.6 million in 2018, and was $49.1 million for the three months ended March 31, 2020, as compared to $31.7 million in the three months ended March 31, 2019. Our Adjusted Operating Income Margin was 51% for the year ended December 31, 2019, as compared to 57% in 2018, and was 47% for the three months ended March 31, 2020, as compared to 50% for the three months ended March 31, 2019. Allocated Combined Receipts includes activity from Pre-Acquisition ZI and other acquisitions during the periods prior to our ownership of them in 2018, 2019, and the three months ended March 31, 2019. Adjusted Operating Income and Adjusted Operating Margin do not include results of operations from acquired entities before their acquisitions.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Transactions</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ZoomInfo Technologies Inc. was incorporated in November 2019 and, pursuant to a reorganization, will become a holding corporation, the principal asset of which will be a controlling interest in ZoomInfo HoldCo, which holds a controlling interest in ZoomInfo OpCo. ZoomInfo Technologies Inc. will operate and control all of the business and affairs of ZoomInfo OpCo through ZoomInfo HoldCo and, through ZoomInfo OpCo and its subsidiaries, conduct our business. ZoomInfo Technologies Inc. will consolidate ZoomInfo OpCo through ZoomInfo HoldCo in its consolidated financial statements and will report a non-controlling interest related to the OpCo Units or HoldCo Units held by our pre-IPO owners in our consolidated financial statements.</w:t>
      </w:r>
    </w:p>
    <w:p>
      <w:pPr>
        <w:spacing w:after="0" w:line="113"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Prior to the consummation of this offering, we will execute several reorganization transactions described under “Organizational Structure,” as a result of which the limited liability company agreement of ZoomInfo OpCo will be amended and restated to, among other things, reclassify its outstanding preferred and common units into a new class of units that we refer to as “OpCo Units.” A portion of the Class P Units that are held by the Continuing Class P Unitholders will remain as Class P Units. Pursuant to the amended and restated limited liability company agreements of ZoomInfo HoldCo and ZoomInfo OpCo, as applicable, the management of ZoomInfo HoldCo will be vested in its manager and ZoomInfo HoldCo will be the sole managing member of ZoomInfo OpCo.</w:t>
      </w:r>
    </w:p>
    <w:p>
      <w:pPr>
        <w:spacing w:after="0" w:line="113"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Pursuant to the amended and restated limited liability company of ZoomInfo OpCo, the Pre-IPO OpCo Unitholders (or certain permitted transferees) will have the right (subject to the terms of such limited liability company agreement) to exchange their OpCo Units (together with a corresponding number of shares of Class B common stock) for shares of our Class A common stock on a one-for-one basis, subject to customary conversion rate adjustments for stock splits, stock dividends, and reclassifications. Pursuant to the amended and restated limited liability company of ZoomInfo HoldCo, the Pre-IPO HoldCo Unitholders (or certain permitted transferees) will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See “Organizational Structure” and “Certain Relationships and Related Person Transactions.”</w:t>
      </w:r>
    </w:p>
    <w:p>
      <w:pPr>
        <w:spacing w:after="0" w:line="13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336" w:right="339" w:bottom="1440" w:gutter="0" w:footer="0" w:header="0"/>
        </w:sectPr>
      </w:pPr>
    </w:p>
    <w:bookmarkStart w:id="122" w:name="page123"/>
    <w:bookmarkEnd w:id="122"/>
    <w:p>
      <w:pPr>
        <w:jc w:val="both"/>
        <w:spacing w:after="0" w:line="265" w:lineRule="auto"/>
        <w:rPr>
          <w:sz w:val="20"/>
          <w:szCs w:val="20"/>
          <w:color w:val="auto"/>
        </w:rPr>
      </w:pPr>
      <w:r>
        <w:rPr>
          <w:rFonts w:ascii="Arial" w:cs="Arial" w:eastAsia="Arial" w:hAnsi="Arial"/>
          <w:sz w:val="17"/>
          <w:szCs w:val="17"/>
          <w:color w:val="auto"/>
        </w:rPr>
        <w:t>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 See “Description of Capital Stock—Common Stock—Class C Common Stock.”</w:t>
      </w:r>
    </w:p>
    <w:p>
      <w:pPr>
        <w:spacing w:after="0" w:line="126"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Following this offering, the Pre-IPO OpCo Unitholders and the Pre-IPO HoldCo Unitholders that held voting units before the Offering Transactions and that continue to hold OpCo Units or HoldCo Units, as applicable,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 Holders of outstanding shares of our Class A common stock, Class B common stock, and Class C common stock will vote as a single class on all matters on which stockholders are entitled to vote generally, except as otherwise required by law. See “Description of Capital Stock—Common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Continuing to Acquire New Customers</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We are focused on continuing to grow the number of customers that use our platform. Our operating results and growth prospects will depend in part on our ability to attract new customers. Additionally, acquiring new customers strengthens the power of our contributory network. We will need to continue to invest in our efficient go-to-market effort to acquire new customers. As of December 31, 2018, we had over 11,000 customers on a combined basis, including non-overlapping customers of Pre-Acquisition ZI. As of December 31, 2019, we had over 14,000 customers. As of March 31, 2019 and March 31, 2020, we had over 12,000 and 15,000 customers, respectively. We define a customer as a company that maintains one or more active paid subscriptions to our platform.</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Deliver Additional High-Value Solutions to Our Existing Customers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Many of our customers increase spending with us by adding users as they increase their use of our platform. Several of our largest customers have expanded the deployment of our platform across their organizations following their initial deployment. We believe there is a significant opportunity to add additional users within our existing customers.</w:t>
      </w:r>
    </w:p>
    <w:p>
      <w:pPr>
        <w:spacing w:after="0" w:line="11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Our ability to expand relationships with existing customers is demonstrated by our net annual retention rate. Our net annual retention rate for the years ended December 31, 2018 and 2019 was 102% and 109%, respectively. We realized improved net annual retention across all customer types, with a net annual retention rate for enterprise customers, defined as having 1,000 or more employees, of 127% in 2019, an increase from 125% in 2018. The net annual retention rate for mid-market customers, defined as having 100 to 999 employees, was 112% in 2019, as compared to 105% in 2018, and the net annual retention rate for small business customers, defined as having fewer than 100 employees, was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40"/>
          </w:cols>
          <w:pgMar w:left="320" w:top="337" w:right="339" w:bottom="1440" w:gutter="0" w:footer="0" w:header="0"/>
        </w:sectPr>
      </w:pPr>
    </w:p>
    <w:bookmarkStart w:id="123" w:name="page124"/>
    <w:bookmarkEnd w:id="123"/>
    <w:p>
      <w:pPr>
        <w:jc w:val="both"/>
        <w:spacing w:after="0" w:line="297" w:lineRule="auto"/>
        <w:rPr>
          <w:sz w:val="20"/>
          <w:szCs w:val="20"/>
          <w:color w:val="auto"/>
        </w:rPr>
      </w:pPr>
      <w:r>
        <w:rPr>
          <w:rFonts w:ascii="Arial" w:cs="Arial" w:eastAsia="Arial" w:hAnsi="Arial"/>
          <w:sz w:val="16"/>
          <w:szCs w:val="16"/>
          <w:color w:val="auto"/>
        </w:rPr>
        <w:t>87% in 2019, as compared to 78% in 2018. We define annual net revenue retention as the total ACV generated by our customers and customers of Pre-Acquisition ZI at the end of the year divided by the ACV generated by the same group of customers at the end of the prior year. We believe that our ability to retain and grow the subscription revenue generated from our existing customers is an indicator of the long-term value of our customer relationships.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These measures include, but are not limited to, Allocated Combined Receipts, Adjusted Operating Income, Adjusted Operating Income Margin, and Adjusted EBITDA, which are used by management in making operating decisions, allocating financial resources, and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2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Allocated Combined Receipts</w:t>
      </w:r>
    </w:p>
    <w:p>
      <w:pPr>
        <w:spacing w:after="0" w:line="171"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color w:val="auto"/>
        </w:rPr>
        <w:t>We define Allocated Combined Receipts as the combined receipts of our Company and companies that we have acquired allocated to the period of service delivery. We calculate Allocated Combined Receipts as the sum of (i) revenue, (ii) revenue recorded by acquired companies prior to our acquisitions of them, and (iii) the impact of fair value adjustments to acquired unearned revenue related to services billed by an acquired company prior to its acquisition. Management uses this measure to evaluate organic growth of the business period over period, as if the Company had operated as a single entity and excluding the impact of acquisitions or adjustments due to purchase accounting. Organic growth in current and future periods is driven by sales to new customers and the addition of additional subscriptions and functionality to existing customers, offset by customer cancellations or reduced subscriptions upon renewal. We believe that it is important to evaluate growth on this organic basis, as it is an indication of the success of our services from the customer’s perspective that is not impacted by corporate events such as acquisitions or the fair value estimates of acquired unearned revenue. We believe this measure is useful to investors because it illustrates the trends in our organic revenue growth and allows investors to analyze the drivers of revenue on the same basis as management.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240"/>
          </w:cols>
          <w:pgMar w:left="320" w:top="337" w:right="339" w:bottom="1440" w:gutter="0" w:footer="0" w:header="0"/>
        </w:sectPr>
      </w:pPr>
    </w:p>
    <w:bookmarkStart w:id="124" w:name="page125"/>
    <w:bookmarkEnd w:id="124"/>
    <w:p>
      <w:pPr>
        <w:ind w:left="320"/>
        <w:spacing w:after="0"/>
        <w:rPr>
          <w:sz w:val="20"/>
          <w:szCs w:val="20"/>
          <w:color w:val="auto"/>
        </w:rPr>
      </w:pPr>
      <w:r>
        <w:rPr>
          <w:rFonts w:ascii="Arial" w:cs="Arial" w:eastAsia="Arial" w:hAnsi="Arial"/>
          <w:sz w:val="17"/>
          <w:szCs w:val="17"/>
          <w:color w:val="auto"/>
        </w:rPr>
        <w:t>The following table presents a reconciliation of Allocated Combined Receipts for the periods presented: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55"/>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r>
      <w:tr>
        <w:trPr>
          <w:trHeight w:val="24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100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98"/>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98"/>
              </w:rPr>
              <w:t>102.2</w:t>
            </w:r>
          </w:p>
        </w:tc>
      </w:tr>
      <w:tr>
        <w:trPr>
          <w:trHeight w:val="222"/>
        </w:trPr>
        <w:tc>
          <w:tcPr>
            <w:tcW w:w="4540" w:type="dxa"/>
            <w:vAlign w:val="bottom"/>
          </w:tcPr>
          <w:p>
            <w:pPr>
              <w:ind w:left="260"/>
              <w:spacing w:after="0"/>
              <w:rPr>
                <w:sz w:val="20"/>
                <w:szCs w:val="20"/>
                <w:color w:val="auto"/>
              </w:rPr>
            </w:pPr>
            <w:r>
              <w:rPr>
                <w:rFonts w:ascii="Arial" w:cs="Arial" w:eastAsia="Arial" w:hAnsi="Arial"/>
                <w:sz w:val="17"/>
                <w:szCs w:val="17"/>
                <w:color w:val="auto"/>
              </w:rPr>
              <w:t>Impact of fair value adjustments to acquired unearned</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0"/>
        </w:trPr>
        <w:tc>
          <w:tcPr>
            <w:tcW w:w="4540" w:type="dxa"/>
            <w:vAlign w:val="bottom"/>
          </w:tcPr>
          <w:p>
            <w:pPr>
              <w:ind w:left="420"/>
              <w:spacing w:after="0" w:line="250" w:lineRule="exact"/>
              <w:rPr>
                <w:sz w:val="20"/>
                <w:szCs w:val="20"/>
                <w:color w:val="auto"/>
              </w:rPr>
            </w:pPr>
            <w:r>
              <w:rPr>
                <w:rFonts w:ascii="Arial" w:cs="Arial" w:eastAsia="Arial" w:hAnsi="Arial"/>
                <w:sz w:val="17"/>
                <w:szCs w:val="17"/>
                <w:color w:val="auto"/>
              </w:rPr>
              <w:t>revenue</w:t>
            </w:r>
            <w:r>
              <w:rPr>
                <w:rFonts w:ascii="Arial" w:cs="Arial" w:eastAsia="Arial" w:hAnsi="Arial"/>
                <w:sz w:val="24"/>
                <w:szCs w:val="24"/>
                <w:color w:val="auto"/>
                <w:vertAlign w:val="superscript"/>
              </w:rPr>
              <w:t>(a)</w:t>
            </w:r>
          </w:p>
        </w:tc>
        <w:tc>
          <w:tcPr>
            <w:tcW w:w="100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1.4</w:t>
            </w:r>
          </w:p>
        </w:tc>
      </w:tr>
      <w:tr>
        <w:trPr>
          <w:trHeight w:val="262"/>
        </w:trPr>
        <w:tc>
          <w:tcPr>
            <w:tcW w:w="454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Pre-Acquisition ZI revenue</w:t>
            </w:r>
            <w:r>
              <w:rPr>
                <w:rFonts w:ascii="Arial" w:cs="Arial" w:eastAsia="Arial" w:hAnsi="Arial"/>
                <w:sz w:val="24"/>
                <w:szCs w:val="24"/>
                <w:color w:val="auto"/>
                <w:vertAlign w:val="superscript"/>
              </w:rPr>
              <w:t>(b)</w:t>
            </w: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72.5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r>
      <w:tr>
        <w:trPr>
          <w:trHeight w:val="222"/>
        </w:trPr>
        <w:tc>
          <w:tcPr>
            <w:tcW w:w="4540" w:type="dxa"/>
            <w:vAlign w:val="bottom"/>
          </w:tcPr>
          <w:p>
            <w:pPr>
              <w:ind w:left="260"/>
              <w:spacing w:after="0"/>
              <w:rPr>
                <w:sz w:val="20"/>
                <w:szCs w:val="20"/>
                <w:color w:val="auto"/>
              </w:rPr>
            </w:pPr>
            <w:r>
              <w:rPr>
                <w:rFonts w:ascii="Arial" w:cs="Arial" w:eastAsia="Arial" w:hAnsi="Arial"/>
                <w:sz w:val="17"/>
                <w:szCs w:val="17"/>
                <w:color w:val="auto"/>
              </w:rPr>
              <w:t>Impact of fair value adjustments to acquired unearned</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0"/>
        </w:trPr>
        <w:tc>
          <w:tcPr>
            <w:tcW w:w="4540" w:type="dxa"/>
            <w:vAlign w:val="bottom"/>
          </w:tcPr>
          <w:p>
            <w:pPr>
              <w:ind w:left="420"/>
              <w:spacing w:after="0" w:line="250" w:lineRule="exact"/>
              <w:rPr>
                <w:sz w:val="20"/>
                <w:szCs w:val="20"/>
                <w:color w:val="auto"/>
              </w:rPr>
            </w:pPr>
            <w:r>
              <w:rPr>
                <w:rFonts w:ascii="Arial" w:cs="Arial" w:eastAsia="Arial" w:hAnsi="Arial"/>
                <w:sz w:val="17"/>
                <w:szCs w:val="17"/>
                <w:color w:val="auto"/>
              </w:rPr>
              <w:t>revenue recorded by Pre-Acquisition ZI</w:t>
            </w:r>
            <w:r>
              <w:rPr>
                <w:rFonts w:ascii="Arial" w:cs="Arial" w:eastAsia="Arial" w:hAnsi="Arial"/>
                <w:sz w:val="24"/>
                <w:szCs w:val="24"/>
                <w:color w:val="auto"/>
                <w:vertAlign w:val="superscript"/>
              </w:rPr>
              <w:t>(c)</w:t>
            </w:r>
          </w:p>
        </w:tc>
        <w:tc>
          <w:tcPr>
            <w:tcW w:w="100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w:t>
            </w:r>
          </w:p>
        </w:tc>
      </w:tr>
      <w:tr>
        <w:trPr>
          <w:trHeight w:val="262"/>
        </w:trPr>
        <w:tc>
          <w:tcPr>
            <w:tcW w:w="454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Pre-acquisition revenue of other acquired companies</w:t>
            </w:r>
            <w:r>
              <w:rPr>
                <w:rFonts w:ascii="Arial" w:cs="Arial" w:eastAsia="Arial" w:hAnsi="Arial"/>
                <w:sz w:val="24"/>
                <w:szCs w:val="24"/>
                <w:color w:val="auto"/>
                <w:vertAlign w:val="superscript"/>
              </w:rPr>
              <w:t>(d)</w:t>
            </w: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r>
      <w:tr>
        <w:trPr>
          <w:trHeight w:val="288"/>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Allocated Combined Receipts</w:t>
            </w:r>
          </w:p>
        </w:tc>
        <w:tc>
          <w:tcPr>
            <w:tcW w:w="1000" w:type="dxa"/>
            <w:vAlign w:val="bottom"/>
            <w:tcBorders>
              <w:bottom w:val="single" w:sz="8" w:color="auto"/>
            </w:tcBorders>
          </w:tcPr>
          <w:p>
            <w:pPr>
              <w:jc w:val="right"/>
              <w:ind w:right="801"/>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241.2</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98"/>
              </w:rPr>
              <w:t>336.0</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right"/>
              <w:ind w:right="841"/>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73.1</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98"/>
              </w:rPr>
              <w:t>103.6</w:t>
            </w:r>
          </w:p>
        </w:tc>
      </w:tr>
      <w:tr>
        <w:trPr>
          <w:trHeight w:val="228"/>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Growth</w:t>
            </w:r>
          </w:p>
        </w:tc>
        <w:tc>
          <w:tcPr>
            <w:tcW w:w="10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42%</w:t>
            </w:r>
          </w:p>
        </w:tc>
      </w:tr>
      <w:tr>
        <w:trPr>
          <w:trHeight w:val="151"/>
        </w:trPr>
        <w:tc>
          <w:tcPr>
            <w:tcW w:w="454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jc w:val="both"/>
        <w:ind w:left="320" w:hanging="315"/>
        <w:spacing w:after="0" w:line="234" w:lineRule="auto"/>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5"/>
        <w:spacing w:after="0" w:line="234" w:lineRule="auto"/>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320" w:hanging="315"/>
        <w:spacing w:after="0" w:line="234" w:lineRule="auto"/>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320" w:hanging="315"/>
        <w:spacing w:after="0" w:line="242" w:lineRule="auto"/>
        <w:tabs>
          <w:tab w:leader="none" w:pos="3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and Komiko in October 2019. Figures include revenue recognized by these entities for the periods presented prior to their respective acquisitions.</w:t>
      </w:r>
    </w:p>
    <w:p>
      <w:pPr>
        <w:spacing w:after="0" w:line="14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Allocated Combined Receipts for the year ended December 31, 2019 was $336.0 million, which represented growth of $94.8 million, or 39%, relative to the year ended December 31, 2018. Allocated Combined Receipts for the three months ended March 31, 2020 was $103.6 million, which represented growth of $30.5 million, or 42%, relative to the three months ended March 31, 2019. We consider this to be our organic growth, representative of the growth in receipts from customers allocated to the period of service delivery. This growth was primarily attributed to sales to new customers in the applicable and preceding periods, while incremental sales to existing customers were mostly offset by cancellations and reductions of subscriptions upon renewal.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320" w:top="337"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i w:val="1"/>
          <w:iCs w:val="1"/>
          <w:color w:val="auto"/>
        </w:rPr>
        <w:t>Adjusted Operating Income and Adjusted Operating Income Margin</w:t>
      </w:r>
    </w:p>
    <w:p>
      <w:pPr>
        <w:spacing w:after="0" w:line="171"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net loss to Adjusted Operating Income for the periods presented: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color w:val="auto"/>
              </w:rPr>
              <w:t>Provision for taxes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620" w:type="dxa"/>
            <w:vAlign w:val="bottom"/>
            <w:shd w:val="clear" w:color="auto" w:fill="CCEEFF"/>
          </w:tcPr>
          <w:p>
            <w:pPr>
              <w:ind w:left="180"/>
              <w:spacing w:after="0" w:line="262"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4"/>
                <w:szCs w:val="24"/>
                <w:color w:val="auto"/>
                <w:vertAlign w:val="superscript"/>
              </w:rPr>
              <w:t>(a)</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35"/>
        </w:trPr>
        <w:tc>
          <w:tcPr>
            <w:tcW w:w="4620" w:type="dxa"/>
            <w:vAlign w:val="bottom"/>
          </w:tcPr>
          <w:p>
            <w:pPr>
              <w:ind w:left="420"/>
              <w:spacing w:after="0"/>
              <w:rPr>
                <w:sz w:val="20"/>
                <w:szCs w:val="20"/>
                <w:color w:val="auto"/>
              </w:rPr>
            </w:pPr>
            <w:r>
              <w:rPr>
                <w:rFonts w:ascii="Arial" w:cs="Arial" w:eastAsia="Arial" w:hAnsi="Arial"/>
                <w:sz w:val="17"/>
                <w:szCs w:val="17"/>
                <w:color w:val="auto"/>
              </w:rPr>
              <w:t>Income from operations</w:t>
            </w:r>
          </w:p>
        </w:tc>
        <w:tc>
          <w:tcPr>
            <w:tcW w:w="3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Impact of fair value adjustments to acquired unearned</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ind w:left="420"/>
              <w:spacing w:after="0" w:line="250" w:lineRule="exact"/>
              <w:rPr>
                <w:sz w:val="20"/>
                <w:szCs w:val="20"/>
                <w:color w:val="auto"/>
              </w:rPr>
            </w:pPr>
            <w:r>
              <w:rPr>
                <w:rFonts w:ascii="Arial" w:cs="Arial" w:eastAsia="Arial" w:hAnsi="Arial"/>
                <w:sz w:val="17"/>
                <w:szCs w:val="17"/>
                <w:color w:val="auto"/>
              </w:rPr>
              <w:t>revenue</w:t>
            </w:r>
            <w:r>
              <w:rPr>
                <w:rFonts w:ascii="Arial" w:cs="Arial" w:eastAsia="Arial" w:hAnsi="Arial"/>
                <w:sz w:val="24"/>
                <w:szCs w:val="24"/>
                <w:color w:val="auto"/>
                <w:vertAlign w:val="superscript"/>
              </w:rPr>
              <w:t>(b)</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5"/>
        </w:trPr>
        <w:tc>
          <w:tcPr>
            <w:tcW w:w="462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3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32.7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620" w:type="dxa"/>
            <w:vAlign w:val="bottom"/>
            <w:shd w:val="clear" w:color="auto" w:fill="CCEEFF"/>
          </w:tcPr>
          <w:p>
            <w:pPr>
              <w:ind w:left="180"/>
              <w:spacing w:after="0" w:line="262" w:lineRule="exact"/>
              <w:rPr>
                <w:sz w:val="20"/>
                <w:szCs w:val="20"/>
                <w:color w:val="auto"/>
              </w:rPr>
            </w:pPr>
            <w:r>
              <w:rPr>
                <w:rFonts w:ascii="Arial" w:cs="Arial" w:eastAsia="Arial" w:hAnsi="Arial"/>
                <w:sz w:val="17"/>
                <w:szCs w:val="17"/>
                <w:color w:val="auto"/>
              </w:rPr>
              <w:t>Restructuring and transaction-related expenses</w:t>
            </w:r>
            <w:r>
              <w:rPr>
                <w:rFonts w:ascii="Arial" w:cs="Arial" w:eastAsia="Arial" w:hAnsi="Arial"/>
                <w:sz w:val="24"/>
                <w:szCs w:val="24"/>
                <w:color w:val="auto"/>
                <w:vertAlign w:val="superscript"/>
              </w:rPr>
              <w:t>(c)</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2"/>
        </w:trPr>
        <w:tc>
          <w:tcPr>
            <w:tcW w:w="4620" w:type="dxa"/>
            <w:vAlign w:val="bottom"/>
            <w:tcBorders>
              <w:bottom w:val="single" w:sz="8" w:color="CCEEFF"/>
            </w:tcBorders>
          </w:tcPr>
          <w:p>
            <w:pPr>
              <w:ind w:left="180"/>
              <w:spacing w:after="0" w:line="262" w:lineRule="exact"/>
              <w:rPr>
                <w:sz w:val="20"/>
                <w:szCs w:val="20"/>
                <w:color w:val="auto"/>
              </w:rPr>
            </w:pPr>
            <w:r>
              <w:rPr>
                <w:rFonts w:ascii="Arial" w:cs="Arial" w:eastAsia="Arial" w:hAnsi="Arial"/>
                <w:sz w:val="17"/>
                <w:szCs w:val="17"/>
                <w:color w:val="auto"/>
              </w:rPr>
              <w:t>Integration costs and acquisition-related compensation</w:t>
            </w:r>
            <w:r>
              <w:rPr>
                <w:rFonts w:ascii="Arial" w:cs="Arial" w:eastAsia="Arial" w:hAnsi="Arial"/>
                <w:sz w:val="24"/>
                <w:szCs w:val="24"/>
                <w:color w:val="auto"/>
                <w:vertAlign w:val="superscript"/>
              </w:rPr>
              <w:t>(d)</w:t>
            </w: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Operating Income</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line="234" w:lineRule="auto"/>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320" w:hanging="315"/>
        <w:spacing w:after="0" w:line="234" w:lineRule="auto"/>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5"/>
        <w:spacing w:after="0" w:line="252" w:lineRule="auto"/>
        <w:tabs>
          <w:tab w:leader="none" w:pos="3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spacing w:after="0" w:line="1" w:lineRule="exact"/>
        <w:rPr>
          <w:rFonts w:ascii="Arial" w:cs="Arial" w:eastAsia="Arial" w:hAnsi="Arial"/>
          <w:sz w:val="13"/>
          <w:szCs w:val="13"/>
          <w:color w:val="auto"/>
        </w:rPr>
      </w:pPr>
    </w:p>
    <w:p>
      <w:pPr>
        <w:jc w:val="both"/>
        <w:ind w:left="320" w:hanging="315"/>
        <w:spacing w:after="0" w:line="237" w:lineRule="auto"/>
        <w:tabs>
          <w:tab w:leader="none" w:pos="3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240"/>
          </w:cols>
          <w:pgMar w:left="320" w:top="337" w:right="339" w:bottom="1440" w:gutter="0" w:footer="0" w:header="0"/>
        </w:sectPr>
      </w:pPr>
    </w:p>
    <w:bookmarkStart w:id="126" w:name="page127"/>
    <w:bookmarkEnd w:id="126"/>
    <w:p>
      <w:pPr>
        <w:jc w:val="both"/>
        <w:ind w:left="320"/>
        <w:spacing w:after="0" w:line="348" w:lineRule="auto"/>
        <w:rPr>
          <w:sz w:val="20"/>
          <w:szCs w:val="20"/>
          <w:color w:val="auto"/>
        </w:rPr>
      </w:pPr>
      <w:r>
        <w:rPr>
          <w:rFonts w:ascii="Arial" w:cs="Arial" w:eastAsia="Arial" w:hAnsi="Arial"/>
          <w:sz w:val="13"/>
          <w:szCs w:val="13"/>
          <w:color w:val="auto"/>
        </w:rPr>
        <w:t>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7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r>
      <w:tr>
        <w:trPr>
          <w:trHeight w:val="257"/>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1.0</w:t>
            </w:r>
          </w:p>
        </w:tc>
      </w:tr>
      <w:tr>
        <w:trPr>
          <w:trHeight w:val="26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r>
      <w:tr>
        <w:trPr>
          <w:trHeight w:val="25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0.2</w:t>
            </w:r>
          </w:p>
        </w:tc>
      </w:tr>
      <w:tr>
        <w:trPr>
          <w:trHeight w:val="234"/>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define Adjusted Operating Income Margin as Adjusted Operating Income divided by the sum of revenue and the impact of fair value adjustments to acquired unearned revenue.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4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94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4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Operating Income</w:t>
            </w: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167.1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49.1</w:t>
            </w:r>
          </w:p>
        </w:tc>
      </w:tr>
      <w:tr>
        <w:trPr>
          <w:trHeight w:val="314"/>
        </w:trPr>
        <w:tc>
          <w:tcPr>
            <w:tcW w:w="4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2"/>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Revenue</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102.2</w:t>
            </w:r>
          </w:p>
        </w:tc>
      </w:tr>
      <w:tr>
        <w:trPr>
          <w:trHeight w:val="223"/>
        </w:trPr>
        <w:tc>
          <w:tcPr>
            <w:tcW w:w="4480" w:type="dxa"/>
            <w:vAlign w:val="bottom"/>
          </w:tcPr>
          <w:p>
            <w:pPr>
              <w:ind w:left="260"/>
              <w:spacing w:after="0"/>
              <w:rPr>
                <w:sz w:val="20"/>
                <w:szCs w:val="20"/>
                <w:color w:val="auto"/>
              </w:rPr>
            </w:pPr>
            <w:r>
              <w:rPr>
                <w:rFonts w:ascii="Arial" w:cs="Arial" w:eastAsia="Arial" w:hAnsi="Arial"/>
                <w:sz w:val="17"/>
                <w:szCs w:val="17"/>
                <w:color w:val="auto"/>
              </w:rPr>
              <w:t>Impact of fair value adjustments to acquired unearned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4480" w:type="dxa"/>
            <w:vAlign w:val="bottom"/>
          </w:tcPr>
          <w:p>
            <w:pPr>
              <w:ind w:left="420"/>
              <w:spacing w:after="0"/>
              <w:rPr>
                <w:sz w:val="20"/>
                <w:szCs w:val="20"/>
                <w:color w:val="auto"/>
              </w:rPr>
            </w:pPr>
            <w:r>
              <w:rPr>
                <w:rFonts w:ascii="Arial" w:cs="Arial" w:eastAsia="Arial" w:hAnsi="Arial"/>
                <w:sz w:val="17"/>
                <w:szCs w:val="17"/>
                <w:color w:val="auto"/>
              </w:rPr>
              <w:t>revenue</w:t>
            </w:r>
          </w:p>
        </w:tc>
        <w:tc>
          <w:tcPr>
            <w:tcW w:w="400" w:type="dxa"/>
            <w:vAlign w:val="bottom"/>
          </w:tcPr>
          <w:p>
            <w:pPr>
              <w:spacing w:after="0"/>
              <w:rPr>
                <w:sz w:val="19"/>
                <w:szCs w:val="19"/>
                <w:color w:val="auto"/>
              </w:rPr>
            </w:pPr>
          </w:p>
        </w:tc>
        <w:tc>
          <w:tcPr>
            <w:tcW w:w="1220" w:type="dxa"/>
            <w:vAlign w:val="bottom"/>
          </w:tcPr>
          <w:p>
            <w:pPr>
              <w:jc w:val="right"/>
              <w:ind w:right="98"/>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ind w:right="116"/>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8"/>
              <w:spacing w:after="0"/>
              <w:rPr>
                <w:sz w:val="20"/>
                <w:szCs w:val="20"/>
                <w:color w:val="auto"/>
              </w:rPr>
            </w:pPr>
            <w:r>
              <w:rPr>
                <w:rFonts w:ascii="Arial" w:cs="Arial" w:eastAsia="Arial" w:hAnsi="Arial"/>
                <w:sz w:val="17"/>
                <w:szCs w:val="17"/>
                <w:color w:val="auto"/>
              </w:rPr>
              <w:t>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6"/>
              <w:spacing w:after="0"/>
              <w:rPr>
                <w:sz w:val="20"/>
                <w:szCs w:val="20"/>
                <w:color w:val="auto"/>
              </w:rPr>
            </w:pPr>
            <w:r>
              <w:rPr>
                <w:rFonts w:ascii="Arial" w:cs="Arial" w:eastAsia="Arial" w:hAnsi="Arial"/>
                <w:sz w:val="17"/>
                <w:szCs w:val="17"/>
                <w:color w:val="auto"/>
              </w:rPr>
              <w:t>1.4</w:t>
            </w:r>
          </w:p>
        </w:tc>
      </w:tr>
      <w:tr>
        <w:trPr>
          <w:trHeight w:val="27"/>
        </w:trPr>
        <w:tc>
          <w:tcPr>
            <w:tcW w:w="4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Revenue for adjusted operating margin calculation</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7"/>
                <w:szCs w:val="17"/>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103.6</w:t>
            </w:r>
          </w:p>
        </w:tc>
      </w:tr>
      <w:tr>
        <w:trPr>
          <w:trHeight w:val="235"/>
        </w:trPr>
        <w:tc>
          <w:tcPr>
            <w:tcW w:w="4480" w:type="dxa"/>
            <w:vAlign w:val="bottom"/>
          </w:tcPr>
          <w:p>
            <w:pPr>
              <w:ind w:left="260"/>
              <w:spacing w:after="0"/>
              <w:rPr>
                <w:sz w:val="20"/>
                <w:szCs w:val="20"/>
                <w:color w:val="auto"/>
              </w:rPr>
            </w:pPr>
            <w:r>
              <w:rPr>
                <w:rFonts w:ascii="Arial" w:cs="Arial" w:eastAsia="Arial" w:hAnsi="Arial"/>
                <w:sz w:val="17"/>
                <w:szCs w:val="17"/>
                <w:i w:val="1"/>
                <w:iCs w:val="1"/>
                <w:color w:val="auto"/>
              </w:rPr>
              <w:t>Adjusted Operating Income Margin</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i w:val="1"/>
                <w:iCs w:val="1"/>
                <w:color w:val="auto"/>
              </w:rPr>
              <w:t>47%</w:t>
            </w:r>
          </w:p>
        </w:tc>
      </w:tr>
    </w:tbl>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Adjusted Operating Income for the year ended December 31, 2019 was $167.1 million and represented an Adjusted Operating Income Margin of 51%. Adjusted Operating Income for the year ended December 31, 2018 was $83.6 million and represented an Adjusted Operating Income Margin of 57%. Growth in Adjusted Operating Income in the year ended December 31, 2019 relative to the year ended December 31, 2018 was an increase of $83.5 million, or 100%, and was driven primarily from the growth in revenue that resulted from the acquisition of Pre-Acquisition ZI and additional customers in 2018 and 2019. Adjusted Operating Income Margin decreased to 51% in the year ended December 31, 2019 from 57% in the year ended December 31, 2018 due to the lower margin profile of the Pre-Acquisition ZI business, and investment to drive revenue growth.</w:t>
      </w:r>
    </w:p>
    <w:p>
      <w:pPr>
        <w:spacing w:after="0" w:line="12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Adjusted Operating Income for the three months ended March 31, 2020 was $49.1 million and represented an Adjusted Operating Income Margin of 47%. Adjusted Operating Income for the three months ended March 31, 2019 was $31.7 million and represented an Adjusted Operating Income Margin of 50%. Growth in Adjusted Operating Income for the three months ended March 31, 2020 relative to the three months ended March 31, 2019 was an increase of $17.4 million, or 55%, and was driven primarily from the growth in revenue that resulted from the acquisition of Pre-Acquisition ZI and additional customers in 2019 and 2020. Adjusted Operating Income Margin decreased to 47% in the three months ended March 31, 2020 from 50% in the three months ended March 31, 2019 due to the lower margin profile of the Pre-Acquisition ZI business, which only impacted the latter two months of the period in 2019, and incremental investment to drive revenue growth.</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EBITDA is defined as earnings before debt-related costs, including interest and loss on debt extinguishment, provision for taxes, depreciation, and amortization. Management further adjusts EBITDA to exclude certain items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357" w:right="339" w:bottom="1440" w:gutter="0" w:footer="0" w:header="0"/>
        </w:sectPr>
      </w:pPr>
    </w:p>
    <w:bookmarkStart w:id="127" w:name="page128"/>
    <w:bookmarkEnd w:id="127"/>
    <w:p>
      <w:pPr>
        <w:jc w:val="both"/>
        <w:spacing w:after="0" w:line="261" w:lineRule="auto"/>
        <w:rPr>
          <w:sz w:val="20"/>
          <w:szCs w:val="20"/>
          <w:color w:val="auto"/>
        </w:rPr>
      </w:pPr>
      <w:r>
        <w:rPr>
          <w:rFonts w:ascii="Arial" w:cs="Arial" w:eastAsia="Arial" w:hAnsi="Arial"/>
          <w:sz w:val="17"/>
          <w:szCs w:val="17"/>
          <w:color w:val="auto"/>
        </w:rPr>
        <w:t>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net loss to Adjusted EBITDA for the periods presented: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Interest expense, net</w:t>
            </w:r>
          </w:p>
        </w:tc>
        <w:tc>
          <w:tcPr>
            <w:tcW w:w="3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58.2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on debt extinguishment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Provision for taxes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EBITDA</w:t>
            </w:r>
          </w:p>
        </w:tc>
        <w:tc>
          <w:tcPr>
            <w:tcW w:w="380" w:type="dxa"/>
            <w:vAlign w:val="bottom"/>
          </w:tcPr>
          <w:p>
            <w:pPr>
              <w:spacing w:after="0"/>
              <w:rPr>
                <w:sz w:val="20"/>
                <w:szCs w:val="20"/>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43.9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62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Other (income) expense, net</w:t>
            </w:r>
            <w:r>
              <w:rPr>
                <w:rFonts w:ascii="Arial" w:cs="Arial" w:eastAsia="Arial" w:hAnsi="Arial"/>
                <w:sz w:val="24"/>
                <w:szCs w:val="24"/>
                <w:color w:val="auto"/>
                <w:vertAlign w:val="superscript"/>
              </w:rPr>
              <w:t>(a)</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2"/>
        </w:trPr>
        <w:tc>
          <w:tcPr>
            <w:tcW w:w="4620" w:type="dxa"/>
            <w:vAlign w:val="bottom"/>
          </w:tcPr>
          <w:p>
            <w:pPr>
              <w:ind w:left="260"/>
              <w:spacing w:after="0"/>
              <w:rPr>
                <w:sz w:val="20"/>
                <w:szCs w:val="20"/>
                <w:color w:val="auto"/>
              </w:rPr>
            </w:pPr>
            <w:r>
              <w:rPr>
                <w:rFonts w:ascii="Arial" w:cs="Arial" w:eastAsia="Arial" w:hAnsi="Arial"/>
                <w:sz w:val="17"/>
                <w:szCs w:val="17"/>
                <w:color w:val="auto"/>
              </w:rPr>
              <w:t>Impact of fair value adjustments to acquired unearned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20" w:type="dxa"/>
            <w:vAlign w:val="bottom"/>
          </w:tcPr>
          <w:p>
            <w:pPr>
              <w:ind w:left="420"/>
              <w:spacing w:after="0" w:line="250" w:lineRule="exact"/>
              <w:rPr>
                <w:sz w:val="20"/>
                <w:szCs w:val="20"/>
                <w:color w:val="auto"/>
              </w:rPr>
            </w:pPr>
            <w:r>
              <w:rPr>
                <w:rFonts w:ascii="Arial" w:cs="Arial" w:eastAsia="Arial" w:hAnsi="Arial"/>
                <w:sz w:val="17"/>
                <w:szCs w:val="17"/>
                <w:color w:val="auto"/>
              </w:rPr>
              <w:t>revenue</w:t>
            </w:r>
            <w:r>
              <w:rPr>
                <w:rFonts w:ascii="Arial" w:cs="Arial" w:eastAsia="Arial" w:hAnsi="Arial"/>
                <w:sz w:val="24"/>
                <w:szCs w:val="24"/>
                <w:color w:val="auto"/>
                <w:vertAlign w:val="superscript"/>
              </w:rPr>
              <w:t>(b)</w:t>
            </w:r>
          </w:p>
        </w:tc>
        <w:tc>
          <w:tcPr>
            <w:tcW w:w="3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62"/>
        </w:trPr>
        <w:tc>
          <w:tcPr>
            <w:tcW w:w="4620" w:type="dxa"/>
            <w:vAlign w:val="bottom"/>
          </w:tcPr>
          <w:p>
            <w:pPr>
              <w:ind w:left="260"/>
              <w:spacing w:after="0" w:line="262" w:lineRule="exact"/>
              <w:rPr>
                <w:sz w:val="20"/>
                <w:szCs w:val="20"/>
                <w:color w:val="auto"/>
              </w:rPr>
            </w:pPr>
            <w:r>
              <w:rPr>
                <w:rFonts w:ascii="Arial" w:cs="Arial" w:eastAsia="Arial" w:hAnsi="Arial"/>
                <w:sz w:val="17"/>
                <w:szCs w:val="17"/>
                <w:color w:val="auto"/>
              </w:rPr>
              <w:t>Restructuring and transaction-related expenses</w:t>
            </w:r>
            <w:r>
              <w:rPr>
                <w:rFonts w:ascii="Arial" w:cs="Arial" w:eastAsia="Arial" w:hAnsi="Arial"/>
                <w:sz w:val="24"/>
                <w:szCs w:val="24"/>
                <w:color w:val="auto"/>
                <w:vertAlign w:val="superscript"/>
              </w:rPr>
              <w:t>(c)</w:t>
            </w:r>
          </w:p>
        </w:tc>
        <w:tc>
          <w:tcPr>
            <w:tcW w:w="380" w:type="dxa"/>
            <w:vAlign w:val="bottom"/>
          </w:tcPr>
          <w:p>
            <w:pPr>
              <w:spacing w:after="0"/>
              <w:rPr>
                <w:sz w:val="22"/>
                <w:szCs w:val="22"/>
                <w:color w:val="auto"/>
              </w:rPr>
            </w:pPr>
          </w:p>
        </w:tc>
        <w:tc>
          <w:tcPr>
            <w:tcW w:w="1220" w:type="dxa"/>
            <w:vAlign w:val="bottom"/>
          </w:tcPr>
          <w:p>
            <w:pPr>
              <w:jc w:val="right"/>
              <w:ind w:right="35"/>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2"/>
        </w:trPr>
        <w:tc>
          <w:tcPr>
            <w:tcW w:w="462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Integration costs and transaction-related compensation</w:t>
            </w:r>
            <w:r>
              <w:rPr>
                <w:rFonts w:ascii="Arial" w:cs="Arial" w:eastAsia="Arial" w:hAnsi="Arial"/>
                <w:sz w:val="24"/>
                <w:szCs w:val="24"/>
                <w:color w:val="auto"/>
                <w:vertAlign w:val="superscript"/>
              </w:rPr>
              <w:t>(d)</w:t>
            </w:r>
          </w:p>
        </w:tc>
        <w:tc>
          <w:tcPr>
            <w:tcW w:w="3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48"/>
        </w:trPr>
        <w:tc>
          <w:tcPr>
            <w:tcW w:w="4620" w:type="dxa"/>
            <w:vAlign w:val="bottom"/>
          </w:tcPr>
          <w:p>
            <w:pPr>
              <w:ind w:left="40"/>
              <w:spacing w:after="0"/>
              <w:rPr>
                <w:sz w:val="20"/>
                <w:szCs w:val="20"/>
                <w:color w:val="auto"/>
              </w:rPr>
            </w:pPr>
            <w:r>
              <w:rPr>
                <w:rFonts w:ascii="Arial" w:cs="Arial" w:eastAsia="Arial" w:hAnsi="Arial"/>
                <w:sz w:val="17"/>
                <w:szCs w:val="17"/>
                <w:color w:val="auto"/>
              </w:rPr>
              <w:t>Adjusted EBITDA</w:t>
            </w: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86.2</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6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line="234" w:lineRule="auto"/>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320" w:hanging="315"/>
        <w:spacing w:after="0" w:line="234" w:lineRule="auto"/>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5"/>
        <w:spacing w:after="0" w:line="252" w:lineRule="auto"/>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spacing w:after="0" w:line="1" w:lineRule="exact"/>
        <w:rPr>
          <w:rFonts w:ascii="Arial" w:cs="Arial" w:eastAsia="Arial" w:hAnsi="Arial"/>
          <w:sz w:val="13"/>
          <w:szCs w:val="13"/>
          <w:color w:val="auto"/>
        </w:rPr>
      </w:pPr>
    </w:p>
    <w:p>
      <w:pPr>
        <w:jc w:val="both"/>
        <w:ind w:left="320" w:hanging="315"/>
        <w:spacing w:after="0" w:line="256" w:lineRule="auto"/>
        <w:tabs>
          <w:tab w:leader="none" w:pos="32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337" w:right="339" w:bottom="1440" w:gutter="0" w:footer="0" w:header="0"/>
        </w:sectPr>
      </w:pPr>
    </w:p>
    <w:bookmarkStart w:id="128" w:name="page129"/>
    <w:bookmarkEnd w:id="128"/>
    <w:p>
      <w:pPr>
        <w:ind w:left="320"/>
        <w:spacing w:after="0" w:line="382" w:lineRule="auto"/>
        <w:rPr>
          <w:sz w:val="20"/>
          <w:szCs w:val="20"/>
          <w:color w:val="auto"/>
        </w:rPr>
      </w:pPr>
      <w:r>
        <w:rPr>
          <w:rFonts w:ascii="Arial" w:cs="Arial" w:eastAsia="Arial" w:hAnsi="Arial"/>
          <w:sz w:val="13"/>
          <w:szCs w:val="13"/>
          <w:color w:val="auto"/>
        </w:rPr>
        <w:t>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7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0.1</w:t>
            </w:r>
          </w:p>
        </w:tc>
      </w:tr>
      <w:tr>
        <w:trPr>
          <w:trHeight w:val="257"/>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1.0</w:t>
            </w:r>
          </w:p>
        </w:tc>
      </w:tr>
      <w:tr>
        <w:trPr>
          <w:trHeight w:val="26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r>
      <w:tr>
        <w:trPr>
          <w:trHeight w:val="25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0.2</w:t>
            </w:r>
          </w:p>
        </w:tc>
      </w:tr>
      <w:tr>
        <w:trPr>
          <w:trHeight w:val="234"/>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integration costs and acquisition-related compensation</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Adjusted EBITDA for the year ended December 31, 2019 was $173.2 million, an increase of $86.9 million, or 101%, relative to the year ended December 31, 2018. This growth was driven primarily from the growth in revenue that resulted from the acquisition of Pre-Acquisition ZI and additional customers in 2018 and 2019.</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Adjusted EBITDA for the three months ended March 31, 2020 was $51.0 million, an increase of $18.2 million, or 55%, relative to the three months ended March 31, 2019. This growth was driven primarily from the growth in revenue that resulted from the acquisition of Pre-Acquisition ZI and additional customers in 2019 and 2020.</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the Comparability of Our Results of Operations</w:t>
      </w:r>
    </w:p>
    <w:p>
      <w:pPr>
        <w:spacing w:after="0" w:line="177"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the Reorganization Transactions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prospectus only include a provision for U.S. federal income tax for income allocated to those subsidiaries that were organized as corporations for U.S. federal income tax purposes. Following this offering, ZoomInfo Technologies Inc. will pay U.S. federal and state income taxes as a corporation on its share of our taxable income.</w:t>
      </w:r>
    </w:p>
    <w:p>
      <w:pPr>
        <w:spacing w:after="0" w:line="12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Following this offering, ZoomInfo OpCo will be the predecessor of ZoomInfo Technologies Inc. for financial reporting purposes. As a result, the consolidated financial statements of ZoomInfo Technologies Inc. will recognize the assets and liabilities received in the reorganization at their historical carrying amounts, as reflected in the historical consolidated financial statements of ZoomInfo OpCo, the accounting predecessor.</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In addition, in connection with the Reorganization Transactions and this offering we will enter into the tax receivable agreements as described under “Certain Relationships and Related Person Transactions—Tax Receivable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Acquisitions</w:t>
      </w:r>
    </w:p>
    <w:p>
      <w:pPr>
        <w:spacing w:after="0" w:line="17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We seek to grow through both internal development and the acquisition of businesses that broaden and strengthen our platform. Our recent acquisitions include RainKing in August 2017, NeverBounce in September 2018, Pre-Acquisition ZI in February 2019, and Komiko in October 2019. In addition, Pre-Acquisition ZI acquired Datanyze in September 2018.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240"/>
          </w:cols>
          <w:pgMar w:left="320" w:top="357"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i w:val="1"/>
          <w:iCs w:val="1"/>
          <w:color w:val="auto"/>
        </w:rPr>
        <w:t>Impact of the Zoom Information Acquisition</w:t>
      </w:r>
    </w:p>
    <w:p>
      <w:pPr>
        <w:spacing w:after="0" w:line="171"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On February 1, 2019, we acquired, through a newly formed wholly owned subsidiary, Zebra Acquisition Corporation, 100% of the stock of Pre-Acquisition ZI for $748.0 million, net of cash acquired. Pre-Acquisition ZI was a provider of company and contact information to sales and marketing professionals.</w:t>
      </w:r>
    </w:p>
    <w:p>
      <w:pPr>
        <w:spacing w:after="0" w:line="83"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103"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significantly impact the comparability of our interest expense period over period. See “—Results of Operations.”</w:t>
      </w:r>
    </w:p>
    <w:p>
      <w:pPr>
        <w:spacing w:after="0" w:line="12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We recognized approximately $27.4 million of revenue from legacy Pre-Acquisition ZI platform contracts with acquired customers, including the renewals and upsells thereof, during the three months ended March 31, 2020, of which $1.4 million was included in the unearned revenue balance recorded at the acquisition date. Acquired unearned revenue is recorded at the acquisition date at fair value based on management’s estimates. The fair value of acquired unearned revenue was $34.5 million, which differs from the unearned revenue recorded by Pre-Acquisition ZI immediately prior to the acquisition of $68.3 million, which was based on amounts received or amounts billed in advance of revenue recognized upon the satisfaction of performance obligations. For the three months ended March 31, 2020, the amounts received or billed by Pre-Acquisition ZI in advance of revenue recognition as of the acquisition date allocated over the service period post-acquisition was $2.7 million, which was $1.3 million greater than the amount recognized into revenue for those receipts and billings based on their fair value.</w:t>
      </w:r>
    </w:p>
    <w:p>
      <w:pPr>
        <w:spacing w:after="0" w:line="133"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12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11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 While we have completed the integration of the companies, we have only operated as a combined company for approximately one year and our sales team has only been selling the new combined platform since September 2019.</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240"/>
          </w:cols>
          <w:pgMar w:left="320" w:top="336" w:right="339" w:bottom="1440" w:gutter="0" w:footer="0" w:header="0"/>
        </w:sectPr>
      </w:pPr>
    </w:p>
    <w:bookmarkStart w:id="130" w:name="page131"/>
    <w:bookmarkEnd w:id="130"/>
    <w:p>
      <w:pPr>
        <w:jc w:val="both"/>
        <w:spacing w:after="0" w:line="267" w:lineRule="auto"/>
        <w:rPr>
          <w:sz w:val="20"/>
          <w:szCs w:val="20"/>
          <w:color w:val="auto"/>
        </w:rPr>
      </w:pPr>
      <w:r>
        <w:rPr>
          <w:rFonts w:ascii="Arial" w:cs="Arial" w:eastAsia="Arial" w:hAnsi="Arial"/>
          <w:sz w:val="17"/>
          <w:szCs w:val="17"/>
          <w:color w:val="auto"/>
        </w:rPr>
        <w:t>Expenses relating to severance paid were recorded as restructuring and transaction expenses on the statement of operations. Expenses relating to any accelerated payments under the Cash Vesting Payment Program (see Note 4 – Business Combinations to our audited financial statements included elsewhere in this prospectus) were recorded as operating expense according to the functional area aligning to the employee’s salary and is included in integration and transaction-related compensation expenses when calculating non-GAAP metrics.</w:t>
      </w:r>
    </w:p>
    <w:p>
      <w:pPr>
        <w:spacing w:after="0" w:line="126"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In April 2020, we again reviewed the alignment of our workforce with our growth targets in light of the COVID-19 pandemic and eliminated fewer than 100 positions. As a result, we expect to incur approximately $0.8 million in restructuring expense during the second quarter of 2020.</w:t>
      </w:r>
    </w:p>
    <w:p>
      <w:pPr>
        <w:spacing w:after="0" w:line="106"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All new customers are sold the ZoomInfo platform that we released in September 2019. We continue to support pre-existing customers on the legacy DiscoverOrg and Pre-Acquisition ZI platforms. Certain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 While pre-existing customers on our legacy platforms continue to generate the majority of our revenue, we expect that pre-existing customers of DiscoverOrg and Pre-Acquisition ZI will migrate toward the new platform in order to take advantage of the more valuable features and data access available over time. We have no current plans to force customer migration.</w:t>
      </w:r>
    </w:p>
    <w:p>
      <w:pPr>
        <w:spacing w:after="0" w:line="116"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We incurred expenses related to the integration of Pre-Acquisition ZI during 2019 and the first quarter of 2020, and will continue to incur additional expenses in 2020, 2021, and 2022.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statement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sales and marketing and general and administrative expenses on our statement of operations. For analyses and non-GAAP metrics that include adjustments to operating expenses, the expenses are deemed to be integration expenses and acquisition-related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adopted Topic 606, effective January 1, 2018, using the full retrospective method of adoption as if the adoption occurred on January 1, 2017. See Note 2</w:t>
      </w:r>
    </w:p>
    <w:p>
      <w:pPr>
        <w:spacing w:after="0" w:line="4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Basis of Presentation and Summary of Significant Accounting Policies to our consolidated financial statements included elsewhere in this prospectus for additional information.</w:t>
      </w:r>
    </w:p>
    <w:p>
      <w:pPr>
        <w:spacing w:after="0" w:line="118"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 xml:space="preserve">Pre-Acquisition ZI adopted Topic 606 effective January 1, 2019, using the modified retrospective method of adoption. Results for Pre-Acquisition ZI beginning after January 1, 2019 are presented under Topic 606, while prior period amounts are not adjusted and continue to be presented in accordance with their historic accounting under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We believe that the revenue presented for Pre-Acquisition ZI in 2018 would not have materially changed had Pre-Acquisition ZI used the full retrospective method of adoption for Topic 606 and restated its 2018 revenue figures. See Note 2 – Basis of Presentation and Summary of Significant Accounting Policies to the consolidated financial statements of Pre-Acquisition ZI included elsewhere in this prospectus for additional information.</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After the acquisition of Pre-Acquisition ZI, contract acquisition costs related to our larger sales and marketing team, which primarily consist of commissions to salespeople, were capitalized and deferred as prescribed under Topic 606. This resulted in reduced sales and marketing expense in 2019 relative to our sales and marketing efforts and relative to our expected future sales and marketing expense when the amortization of the deferral is recognized in future periods.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336"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a revaluation of the awards in accordance with GAAP as if granted on the date of the modification. The modified fair value as of the date of the modification was $166.4 million, which will be recognized as equity-based compensation expense in accordance with the time vesting condition, after the closing date of this offering. As a result, the Company expects to recognize approximately $49.1 million in compensation expenses during the second quarter of 2020 in connection with the closing of this offering and recognize the remainder of the compensation expense due to such modification in subsequent periods. In addition to the impact of the modified HSKB awards, new awards and modifications that will take place as part of the Reorganization Transactions will contribute to higher equity-based compensation in 2020 and 2021.</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and add-on functionality that is provided. Our subscription contracts typically have a term of one to three years and are non-cancellable. We typically bill for services in advance either annually or quarterly, and we typically require payment at the beginning of each annual or quarterly period.</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non-cancellable subscription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Service</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i w:val="1"/>
          <w:iCs w:val="1"/>
          <w:color w:val="auto"/>
        </w:rPr>
        <w:t xml:space="preserve">Cost of Service, excluding amortization of acquired technology. </w:t>
      </w:r>
      <w:r>
        <w:rPr>
          <w:rFonts w:ascii="Arial" w:cs="Arial" w:eastAsia="Arial" w:hAnsi="Arial"/>
          <w:sz w:val="17"/>
          <w:szCs w:val="17"/>
          <w:color w:val="auto"/>
        </w:rPr>
        <w:t>Cost of service, excluding amortization of acquired technology includes direct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anticipate that we will continue to invest in costs of service and that costs of service as a percentage of revenue will stay consistent or modestly decrease as we realize operating leverage in the business.</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 xml:space="preserve">Amortization of acquired technology. </w:t>
      </w:r>
      <w:r>
        <w:rPr>
          <w:rFonts w:ascii="Arial" w:cs="Arial" w:eastAsia="Arial" w:hAnsi="Arial"/>
          <w:sz w:val="17"/>
          <w:szCs w:val="17"/>
          <w:color w:val="auto"/>
        </w:rPr>
        <w:t>Amortization of acquired technology includes amortization expense for technology acquired in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amortization of acquired technology will only increase if we make additional acquisitions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Profit and Gross Margin</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Gross profit is revenue less cost of service, and gross margin is gross profit as a percentage of revenue. Gross profit has been and will continue to be affected by various factors, including leveraging economies of scale, the costs associated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240"/>
          </w:cols>
          <w:pgMar w:left="320" w:top="337" w:right="339" w:bottom="1440" w:gutter="0" w:footer="0" w:header="0"/>
        </w:sectPr>
      </w:pPr>
    </w:p>
    <w:bookmarkStart w:id="132" w:name="page133"/>
    <w:bookmarkEnd w:id="132"/>
    <w:p>
      <w:pPr>
        <w:jc w:val="both"/>
        <w:spacing w:after="0" w:line="322" w:lineRule="auto"/>
        <w:rPr>
          <w:sz w:val="20"/>
          <w:szCs w:val="20"/>
          <w:color w:val="auto"/>
        </w:rPr>
      </w:pPr>
      <w:r>
        <w:rPr>
          <w:rFonts w:ascii="Arial" w:cs="Arial" w:eastAsia="Arial" w:hAnsi="Arial"/>
          <w:sz w:val="16"/>
          <w:szCs w:val="16"/>
          <w:color w:val="auto"/>
        </w:rPr>
        <w:t>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expense, and marketing.</w:t>
      </w:r>
    </w:p>
    <w:p>
      <w:pPr>
        <w:spacing w:after="0" w:line="126"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i w:val="1"/>
          <w:iCs w:val="1"/>
          <w:color w:val="auto"/>
        </w:rPr>
        <w:t>Sales and marketing</w:t>
      </w:r>
      <w:r>
        <w:rPr>
          <w:rFonts w:ascii="Arial" w:cs="Arial" w:eastAsia="Arial" w:hAnsi="Arial"/>
          <w:sz w:val="15"/>
          <w:szCs w:val="15"/>
          <w:color w:val="auto"/>
        </w:rPr>
        <w:t>. Sales and marketing expenses primarily consist of employee compensation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8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and that sales and marketing expense as a percentage of revenue will increase as we recognize expense related to amortization of contract acquisition costs in 2019 and continue to grow the sales and marketing teams and invest in marketing programs.</w:t>
      </w:r>
    </w:p>
    <w:p>
      <w:pPr>
        <w:spacing w:after="0" w:line="11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support our efforts to enhance our existing platform and develop new software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expenses primarily consist of employee compensation such as salaries, bonuses, stock-based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2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primarily consist of employee-related costs such as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preparing for our initial public offering.</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anticipate that general and administrative costs will significantly increase due to incremental costs associated with operating a public company, including corporate insurance costs, additional accounting and legal expenses, additional independent board member costs, and additional resources associated with controls, reporting, and disclosure. We expect general and administrative expenses as a percentage of revenue to increase in 2020 and then stay consistent or modestly decrease thereafter, as we realize operating leverage in the business.</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Amortization of other acquired intangibles</w:t>
      </w:r>
      <w:r>
        <w:rPr>
          <w:rFonts w:ascii="Arial" w:cs="Arial" w:eastAsia="Arial" w:hAnsi="Arial"/>
          <w:sz w:val="17"/>
          <w:szCs w:val="17"/>
          <w:color w:val="auto"/>
        </w:rPr>
        <w:t>. Amortization of acquired intangibles primarily consists of amortization of customer relationships, tradenames,</w:t>
      </w:r>
      <w:r>
        <w:rPr>
          <w:rFonts w:ascii="Arial" w:cs="Arial" w:eastAsia="Arial" w:hAnsi="Arial"/>
          <w:sz w:val="17"/>
          <w:szCs w:val="17"/>
          <w:i w:val="1"/>
          <w:iCs w:val="1"/>
          <w:color w:val="auto"/>
        </w:rPr>
        <w:t xml:space="preserve"> </w:t>
      </w:r>
      <w:r>
        <w:rPr>
          <w:rFonts w:ascii="Arial" w:cs="Arial" w:eastAsia="Arial" w:hAnsi="Arial"/>
          <w:sz w:val="17"/>
          <w:szCs w:val="17"/>
          <w:color w:val="auto"/>
        </w:rPr>
        <w:t>and brand portfolios.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amortization of other acquired intangibles will only increase if we make additional acquisitions in the future.</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i w:val="1"/>
          <w:iCs w:val="1"/>
          <w:color w:val="auto"/>
        </w:rPr>
        <w:t xml:space="preserve">Restructuring and transaction expenses. </w:t>
      </w:r>
      <w:r>
        <w:rPr>
          <w:rFonts w:ascii="Arial" w:cs="Arial" w:eastAsia="Arial" w:hAnsi="Arial"/>
          <w:sz w:val="16"/>
          <w:szCs w:val="16"/>
          <w:color w:val="auto"/>
        </w:rPr>
        <w:t>Restructuring and transaction expenses primarily consist of various restructuring and acquisition activities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337" w:right="339" w:bottom="1440" w:gutter="0" w:footer="0" w:header="0"/>
        </w:sectPr>
      </w:pPr>
    </w:p>
    <w:bookmarkStart w:id="133" w:name="page134"/>
    <w:bookmarkEnd w:id="133"/>
    <w:p>
      <w:pPr>
        <w:jc w:val="both"/>
        <w:ind w:firstLine="314"/>
        <w:spacing w:after="0" w:line="289" w:lineRule="auto"/>
        <w:rPr>
          <w:sz w:val="20"/>
          <w:szCs w:val="20"/>
          <w:color w:val="auto"/>
        </w:rPr>
      </w:pPr>
      <w:r>
        <w:rPr>
          <w:rFonts w:ascii="Arial" w:cs="Arial" w:eastAsia="Arial" w:hAnsi="Arial"/>
          <w:sz w:val="17"/>
          <w:szCs w:val="17"/>
          <w:color w:val="auto"/>
        </w:rPr>
        <w:t>We anticipate that restructuring and transaction expenses will be correlated with future acquisition activity or strategic restructuring activities, which could be greater than or less than our historic levels.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Interest expense represents the interest payable on our debt obligations and the amortization of debt discounts and debt issuance costs, less interest income.</w:t>
      </w:r>
    </w:p>
    <w:p>
      <w:pPr>
        <w:spacing w:after="0" w:line="194"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We anticipate that our interest expense will be substantially lower after we repay a portion of our outstanding indebtedness with the proceeds from this offering. See “Use of Proceeds.” Interest expense could increase in the future based on changes in variable interest rates or the issuance of additional debt.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Debt Extinguishment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Other (income) expense, net consists primarily of foreign currency realized and unrealized gains and losses related to the impact of transactions denominated in a foreign currency.</w:t>
      </w:r>
    </w:p>
    <w:p>
      <w:pPr>
        <w:spacing w:after="0" w:line="106" w:lineRule="exact"/>
        <w:rPr>
          <w:sz w:val="20"/>
          <w:szCs w:val="20"/>
          <w:color w:val="auto"/>
        </w:rPr>
      </w:pPr>
    </w:p>
    <w:p>
      <w:pPr>
        <w:ind w:right="40" w:firstLine="314"/>
        <w:spacing w:after="0" w:line="450" w:lineRule="auto"/>
        <w:rPr>
          <w:sz w:val="20"/>
          <w:szCs w:val="20"/>
          <w:color w:val="auto"/>
        </w:rPr>
      </w:pPr>
      <w:r>
        <w:rPr>
          <w:rFonts w:ascii="Arial" w:cs="Arial" w:eastAsia="Arial" w:hAnsi="Arial"/>
          <w:sz w:val="17"/>
          <w:szCs w:val="17"/>
          <w:color w:val="auto"/>
        </w:rPr>
        <w:t xml:space="preserve">We anticipate that the magnitude of other income and expenses may increase as we expand operations internationally and add complexity to our operations. </w:t>
      </w:r>
      <w:r>
        <w:rPr>
          <w:rFonts w:ascii="Arial" w:cs="Arial" w:eastAsia="Arial" w:hAnsi="Arial"/>
          <w:sz w:val="17"/>
          <w:szCs w:val="17"/>
          <w:b w:val="1"/>
          <w:bCs w:val="1"/>
          <w:i w:val="1"/>
          <w:iCs w:val="1"/>
          <w:color w:val="auto"/>
        </w:rPr>
        <w:t>Benefit from Income Taxes</w:t>
      </w:r>
    </w:p>
    <w:p>
      <w:pPr>
        <w:jc w:val="both"/>
        <w:ind w:firstLine="314"/>
        <w:spacing w:after="0" w:line="277" w:lineRule="auto"/>
        <w:rPr>
          <w:sz w:val="20"/>
          <w:szCs w:val="20"/>
          <w:color w:val="auto"/>
        </w:rPr>
      </w:pPr>
      <w:r>
        <w:rPr>
          <w:rFonts w:ascii="Arial" w:cs="Arial" w:eastAsia="Arial" w:hAnsi="Arial"/>
          <w:sz w:val="16"/>
          <w:szCs w:val="16"/>
          <w:color w:val="auto"/>
        </w:rPr>
        <w:t>ZoomInfo OpCo is currently treated as a pass-through entity for U.S. federal income tax purposes and most applicable state and local income tax purposes. Benefit from income tax (expense), deferred tax assets and liabilities,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subsidiaries, RKSI Acquisition Corporation and Zebra Acquisition Corporation, are subject to income taxes in both the United States and foreign jurisdictions and hold noncontrolling interests in our subsidiary, DiscoverOrg Data LLC. DiscoverOrg Data LLC is treated as a partnership for U.S. federal and most applicable state and local income tax purposes. Any taxable income or loss generated by DiscoverOrg Data LLC is passed through to and included in the taxable income or loss of its partners, including DiscoverOrg LLC, RKSI Acquisition Corporation, and Zebra Acquisition Corporation. However, because RKSI Acquisition Corporation and Zebra Acquisition Corporation are subject to income taxes in both the United States and foreign jurisdictions, income allocated to such corporate subsidiaries for tax purposes reduces the taxable income allocated to and distributions made to ZoomInfo OpCo. Significant judgments and estimates are required in determining our consolidated income tax expense. See Note 2 – Basis of Presentation and Summary of Significant Accounting Policies within our consolidated financial statements included elsewhere in this prospectus for additional information.</w:t>
      </w:r>
    </w:p>
    <w:p>
      <w:pPr>
        <w:spacing w:after="0" w:line="124"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After consummation of this offering, ZoomInfo Technologies Inc. will become subject to U.S. federal income taxes with respect to our allocable share of any U.S. taxable income of ZoomInfo OpCo, and we will be taxed at the prevailing corporate tax rates. We will be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The limited liability company agreement of ZoomInfo OpCo that will be in effect at the time of this offering provides that certain distributions to cover the taxes of the ZoomInfo Tax Group and ZoomInfo Technologies Inc.’s obligations under the tax receivable agreements will be made. See “Certain Relationships and Related Person Transactions—Tax Receivable Agreements.” However, our ability to make such distributions may be limited due to, among other things, restrictive covenants in our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240"/>
          </w:cols>
          <w:pgMar w:left="320" w:top="337" w:right="339" w:bottom="1440" w:gutter="0" w:footer="0" w:header="0"/>
        </w:sectPr>
      </w:pPr>
    </w:p>
    <w:bookmarkStart w:id="134" w:name="page135"/>
    <w:bookmarkEnd w:id="134"/>
    <w:p>
      <w:pPr>
        <w:jc w:val="both"/>
        <w:spacing w:after="0" w:line="262" w:lineRule="auto"/>
        <w:rPr>
          <w:sz w:val="20"/>
          <w:szCs w:val="20"/>
          <w:color w:val="auto"/>
        </w:rPr>
      </w:pPr>
      <w:r>
        <w:rPr>
          <w:rFonts w:ascii="Arial" w:cs="Arial" w:eastAsia="Arial" w:hAnsi="Arial"/>
          <w:sz w:val="17"/>
          <w:szCs w:val="17"/>
          <w:color w:val="auto"/>
        </w:rPr>
        <w:t>secured credit facilities. In addition, because RKSI Acquisition Corporation and Zebra Acquisition Corporation will continue to be subject to income taxes in both the United States and foreign jurisdictions, income allocated to such corporate subsidiaries for tax purposes will reduce the distributions made to ZoomInfo OpCo, thereby reducing our allocable share of U.S. taxable income of ZoomInfo OpCo. See “Risk Factors—Risks Related to Our Organizational Structure— ZoomInfo Technologies Inc. is a holding company, its only material asset after completion of this offering will be its interest in ZoomInfo HoldCo, which is a holding company whose only material asset after the completion of this offering will be its interest in ZoomInfo OpCo, and ZoomInfo Technologies Inc. is accordingly dependent upon distributions from ZoomInfo OpCo through ZoomInfo HoldCo to pay taxes, make payments under the tax receivable agreements, and pay dividends.”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following table presents our results of operations for the years ended December 31, 2018 and 2019 and the three months ended March 31, 2019 and 2020:</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6"/>
                <w:szCs w:val="16"/>
                <w:color w:val="auto"/>
              </w:rPr>
            </w:pPr>
          </w:p>
        </w:tc>
        <w:tc>
          <w:tcPr>
            <w:tcW w:w="284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144.3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102.2</w:t>
            </w:r>
          </w:p>
        </w:tc>
      </w:tr>
      <w:tr>
        <w:trPr>
          <w:trHeight w:val="31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service: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2"/>
        </w:trPr>
        <w:tc>
          <w:tcPr>
            <w:tcW w:w="4620" w:type="dxa"/>
            <w:vAlign w:val="bottom"/>
          </w:tcPr>
          <w:p>
            <w:pPr>
              <w:ind w:left="160"/>
              <w:spacing w:after="0" w:line="262" w:lineRule="exact"/>
              <w:rPr>
                <w:sz w:val="20"/>
                <w:szCs w:val="20"/>
                <w:color w:val="auto"/>
              </w:rPr>
            </w:pPr>
            <w:r>
              <w:rPr>
                <w:rFonts w:ascii="Arial" w:cs="Arial" w:eastAsia="Arial" w:hAnsi="Arial"/>
                <w:sz w:val="17"/>
                <w:szCs w:val="17"/>
                <w:color w:val="auto"/>
              </w:rPr>
              <w:t>Cost of service</w:t>
            </w:r>
            <w:r>
              <w:rPr>
                <w:rFonts w:ascii="Arial" w:cs="Arial" w:eastAsia="Arial" w:hAnsi="Arial"/>
                <w:sz w:val="24"/>
                <w:szCs w:val="24"/>
                <w:color w:val="auto"/>
                <w:vertAlign w:val="superscript"/>
              </w:rPr>
              <w:t>(1)</w:t>
            </w:r>
          </w:p>
        </w:tc>
        <w:tc>
          <w:tcPr>
            <w:tcW w:w="3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14.8</w:t>
            </w:r>
          </w:p>
        </w:tc>
      </w:tr>
      <w:tr>
        <w:trPr>
          <w:trHeight w:val="26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Amortization of acquired technology</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5.6</w:t>
            </w:r>
          </w:p>
        </w:tc>
      </w:tr>
      <w:tr>
        <w:trPr>
          <w:trHeight w:val="228"/>
        </w:trPr>
        <w:tc>
          <w:tcPr>
            <w:tcW w:w="4620" w:type="dxa"/>
            <w:vAlign w:val="bottom"/>
          </w:tcPr>
          <w:p>
            <w:pPr>
              <w:ind w:left="40"/>
              <w:spacing w:after="0"/>
              <w:rPr>
                <w:sz w:val="20"/>
                <w:szCs w:val="20"/>
                <w:color w:val="auto"/>
              </w:rPr>
            </w:pPr>
            <w:r>
              <w:rPr>
                <w:rFonts w:ascii="Arial" w:cs="Arial" w:eastAsia="Arial" w:hAnsi="Arial"/>
                <w:sz w:val="17"/>
                <w:szCs w:val="17"/>
                <w:color w:val="auto"/>
              </w:rPr>
              <w:t>Gross profit</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106.4</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224.7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81.8</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07"/>
        </w:trPr>
        <w:tc>
          <w:tcPr>
            <w:tcW w:w="46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shd w:val="clear" w:color="auto" w:fill="CCEEFF"/>
          </w:tcPr>
          <w:p>
            <w:pPr>
              <w:ind w:left="160"/>
              <w:spacing w:after="0" w:line="26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42.4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34.1</w:t>
            </w:r>
          </w:p>
        </w:tc>
      </w:tr>
      <w:tr>
        <w:trPr>
          <w:trHeight w:val="262"/>
        </w:trPr>
        <w:tc>
          <w:tcPr>
            <w:tcW w:w="4620" w:type="dxa"/>
            <w:vAlign w:val="bottom"/>
          </w:tcPr>
          <w:p>
            <w:pPr>
              <w:ind w:left="160"/>
              <w:spacing w:after="0" w:line="26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4"/>
                <w:szCs w:val="24"/>
                <w:color w:val="auto"/>
                <w:vertAlign w:val="superscript"/>
              </w:rPr>
              <w:t>(1)</w:t>
            </w:r>
          </w:p>
        </w:tc>
        <w:tc>
          <w:tcPr>
            <w:tcW w:w="380" w:type="dxa"/>
            <w:vAlign w:val="bottom"/>
          </w:tcPr>
          <w:p>
            <w:pPr>
              <w:spacing w:after="0"/>
              <w:rPr>
                <w:sz w:val="22"/>
                <w:szCs w:val="22"/>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9.9</w:t>
            </w:r>
          </w:p>
        </w:tc>
      </w:tr>
      <w:tr>
        <w:trPr>
          <w:trHeight w:val="262"/>
        </w:trPr>
        <w:tc>
          <w:tcPr>
            <w:tcW w:w="4620" w:type="dxa"/>
            <w:vAlign w:val="bottom"/>
            <w:shd w:val="clear" w:color="auto" w:fill="CCEEFF"/>
          </w:tcPr>
          <w:p>
            <w:pPr>
              <w:ind w:left="160"/>
              <w:spacing w:after="0" w:line="26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4"/>
                <w:szCs w:val="24"/>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w:t>
            </w:r>
          </w:p>
        </w:tc>
      </w:tr>
      <w:tr>
        <w:trPr>
          <w:trHeight w:val="235"/>
        </w:trPr>
        <w:tc>
          <w:tcPr>
            <w:tcW w:w="4620" w:type="dxa"/>
            <w:vAlign w:val="bottom"/>
          </w:tcPr>
          <w:p>
            <w:pPr>
              <w:ind w:left="160"/>
              <w:spacing w:after="0"/>
              <w:rPr>
                <w:sz w:val="20"/>
                <w:szCs w:val="20"/>
                <w:color w:val="auto"/>
              </w:rPr>
            </w:pPr>
            <w:r>
              <w:rPr>
                <w:rFonts w:ascii="Arial" w:cs="Arial" w:eastAsia="Arial" w:hAnsi="Arial"/>
                <w:sz w:val="17"/>
                <w:szCs w:val="17"/>
                <w:color w:val="auto"/>
              </w:rPr>
              <w:t>Amortization of other acquired intangibles</w:t>
            </w:r>
          </w:p>
        </w:tc>
        <w:tc>
          <w:tcPr>
            <w:tcW w:w="38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4.6</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Restructuring and transaction-related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2.9</w:t>
            </w:r>
          </w:p>
        </w:tc>
      </w:tr>
      <w:tr>
        <w:trPr>
          <w:trHeight w:val="228"/>
        </w:trPr>
        <w:tc>
          <w:tcPr>
            <w:tcW w:w="4620" w:type="dxa"/>
            <w:vAlign w:val="bottom"/>
          </w:tcPr>
          <w:p>
            <w:pPr>
              <w:ind w:left="16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79.9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188.6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41.7</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61.5</w:t>
            </w:r>
          </w:p>
        </w:tc>
      </w:tr>
      <w:tr>
        <w:trPr>
          <w:trHeight w:val="27"/>
        </w:trPr>
        <w:tc>
          <w:tcPr>
            <w:tcW w:w="4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20.3</w:t>
            </w:r>
          </w:p>
        </w:tc>
      </w:tr>
      <w:tr>
        <w:trPr>
          <w:trHeight w:val="307"/>
        </w:trPr>
        <w:tc>
          <w:tcPr>
            <w:tcW w:w="4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24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24.5</w:t>
            </w:r>
          </w:p>
        </w:tc>
      </w:tr>
      <w:tr>
        <w:trPr>
          <w:trHeight w:val="235"/>
        </w:trPr>
        <w:tc>
          <w:tcPr>
            <w:tcW w:w="4620" w:type="dxa"/>
            <w:vAlign w:val="bottom"/>
          </w:tcPr>
          <w:p>
            <w:pPr>
              <w:ind w:left="160"/>
              <w:spacing w:after="0"/>
              <w:rPr>
                <w:sz w:val="20"/>
                <w:szCs w:val="20"/>
                <w:color w:val="auto"/>
              </w:rPr>
            </w:pPr>
            <w:r>
              <w:rPr>
                <w:rFonts w:ascii="Arial" w:cs="Arial" w:eastAsia="Arial" w:hAnsi="Arial"/>
                <w:sz w:val="17"/>
                <w:szCs w:val="17"/>
                <w:color w:val="auto"/>
              </w:rPr>
              <w:t>Loss on debt extinguishment</w:t>
            </w:r>
          </w:p>
        </w:tc>
        <w:tc>
          <w:tcPr>
            <w:tcW w:w="3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(income)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8"/>
        </w:trPr>
        <w:tc>
          <w:tcPr>
            <w:tcW w:w="462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Benefit from income taxes</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0.4</w:t>
            </w:r>
          </w:p>
        </w:tc>
      </w:tr>
      <w:tr>
        <w:trPr>
          <w:trHeight w:val="248"/>
        </w:trPr>
        <w:tc>
          <w:tcPr>
            <w:tcW w:w="4620" w:type="dxa"/>
            <w:vAlign w:val="bottom"/>
          </w:tcPr>
          <w:p>
            <w:pPr>
              <w:ind w:left="40"/>
              <w:spacing w:after="0"/>
              <w:rPr>
                <w:sz w:val="20"/>
                <w:szCs w:val="20"/>
                <w:color w:val="auto"/>
              </w:rPr>
            </w:pPr>
            <w:r>
              <w:rPr>
                <w:rFonts w:ascii="Arial" w:cs="Arial" w:eastAsia="Arial" w:hAnsi="Arial"/>
                <w:sz w:val="17"/>
                <w:szCs w:val="17"/>
                <w:color w:val="auto"/>
              </w:rPr>
              <w:t>Net income (loss)</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14"/>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374"/>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equity-based compensation expense as follows:</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6"/>
                <w:szCs w:val="16"/>
                <w:color w:val="auto"/>
              </w:rPr>
            </w:pPr>
          </w:p>
        </w:tc>
        <w:tc>
          <w:tcPr>
            <w:tcW w:w="272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r>
      <w:tr>
        <w:trPr>
          <w:trHeight w:val="257"/>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6.4</w:t>
            </w:r>
          </w:p>
        </w:tc>
      </w:tr>
      <w:tr>
        <w:trPr>
          <w:trHeight w:val="267"/>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w:t>
            </w:r>
          </w:p>
        </w:tc>
      </w:tr>
      <w:tr>
        <w:trPr>
          <w:trHeight w:val="257"/>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w:t>
            </w:r>
          </w:p>
        </w:tc>
      </w:tr>
      <w:tr>
        <w:trPr>
          <w:trHeight w:val="234"/>
        </w:trPr>
        <w:tc>
          <w:tcPr>
            <w:tcW w:w="4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11.3</w:t>
            </w:r>
          </w:p>
        </w:tc>
      </w:tr>
      <w:tr>
        <w:trPr>
          <w:trHeight w:val="20"/>
        </w:trPr>
        <w:tc>
          <w:tcPr>
            <w:tcW w:w="4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2020 and Three Months Ended March 31, 2019</w:t>
      </w:r>
    </w:p>
    <w:p>
      <w:pPr>
        <w:spacing w:after="0" w:line="171"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$102.2 million for the three months ended March 31, 2020, an increase of $47.6 million, or 87%, as compared to $54.6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three months ended March 31, 2019. This increase was primarily due to the addition of new customers over the past 12 months and net expansion with existing customers. Excluding the impact of the legacy contracts with customers acquired in the purchases of Pre-Acquisition ZI, NeverBounce, and Komiko, and the renewals and upsells thereof, revenue increased by $32.3 million. The increase in revenue, excluding the impact of customers acquired, was primarily driven by sales to new customers and, to a lesser extent, by the addition of additional subscriptions to existing customers and recognition of revenue for renewed contracts at the contracted value, as opposed to the fair value ascribed to acquired contracts under purchase accounting, offset by cancellations and subscription reductions upon renewal. As of March 31, 2020, we had over 15,000 customers, an increase of about 3,000 customers, or 22%, as compared to over 12,000 customers as of March 31, 2019. As of March 31, 2020, over 630 of our customers spent more than $100,000 in ACV, an increase of approximately 220 customers, or 53%, as compared to over 410 customers who spent more than $100,000 in ACV as of March 31, 2019. On a pro forma basis, the combined revenue of ZoomInfo OpCo and Pre-Acquisition ZI would have been $103.5 million for the three months ended March 31, 2020, an increase of $31.3 million, or 43%, as compared to $72.2 million for the three months ended March 31, 2019, calculated as if the acquisition had occurred on January 1, 2018.</w:t>
      </w:r>
    </w:p>
    <w:p>
      <w:pPr>
        <w:spacing w:after="0" w:line="10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$20.4 million for the three months ended March 31, 2020, an increase of $5.8 million, or 39%, as compared to $14.7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2019. The increase was primarily due to additional headcount and related salaries, equity compensation, and benefits expenses, as well as additional hosting expense to support new and growing customers. On a pro forma basis, the combined cost of services of ZoomInfo OpCo and Pre-Acquisition ZI would have been $20.4 million for the three months ended March 31, 2020, an increase of $3.6 million, or 21%, as compared to $16.8 million for the three months ended March 31, 2019, calculated as if the Zoom Information Acquisition had occurred on January 1, 2018.</w:t>
      </w:r>
    </w:p>
    <w:p>
      <w:pPr>
        <w:spacing w:after="0" w:line="113"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$61.5 million for the three months ended March 31, 2020, an increase of $19.7 million, or 47%,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$41.7 million for the three months ended March 31, 2019. The increase was primarily due to:</w:t>
      </w:r>
    </w:p>
    <w:p>
      <w:pPr>
        <w:spacing w:after="0" w:line="106" w:lineRule="exact"/>
        <w:rPr>
          <w:sz w:val="20"/>
          <w:szCs w:val="20"/>
          <w:color w:val="auto"/>
        </w:rPr>
      </w:pPr>
    </w:p>
    <w:p>
      <w:pPr>
        <w:ind w:left="640" w:hanging="321"/>
        <w:spacing w:after="0" w:line="322" w:lineRule="auto"/>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 increase in sales and marketing expense of $15.8 million, or 86%, to $34.1 million for the three months ended March 31, 2020, due primarily to additional headcount and related salaries, equity compensation, and benefits expenses added to drive continued incremental sales;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240"/>
          </w:cols>
          <w:pgMar w:left="320" w:top="330" w:right="339" w:bottom="1440" w:gutter="0" w:footer="0" w:header="0"/>
        </w:sectPr>
      </w:pPr>
    </w:p>
    <w:bookmarkStart w:id="136" w:name="page137"/>
    <w:bookmarkEnd w:id="136"/>
    <w:p>
      <w:pPr>
        <w:jc w:val="both"/>
        <w:ind w:left="640" w:hanging="321"/>
        <w:spacing w:after="0" w:line="273" w:lineRule="auto"/>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increase in research and development expense of $4.6 million, or 87%, to $9.9 million for the three months ended March 31, 2020, due primarily to additional engineering and product management resources added through the Zoom Information Acquisition and additional equity compensation expense;</w:t>
      </w:r>
    </w:p>
    <w:p>
      <w:pPr>
        <w:spacing w:after="0" w:line="118"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$3.3 million, or 48%, to $10.0 million for the three months ended March 31, 2020, due primarily to additional headcount and related salaries, equity compensation, and benefits expenses to support the larger organization;</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of $1.0 million, or 26%, to $4.6 million for the three months ended March 31, 2020, due to additional amortization expense related to intangible assets acquired in the Zoom Information Acquisition; and</w:t>
      </w:r>
    </w:p>
    <w:p>
      <w:pPr>
        <w:spacing w:after="0" w:line="105" w:lineRule="exact"/>
        <w:rPr>
          <w:rFonts w:ascii="Arial" w:cs="Arial" w:eastAsia="Arial" w:hAnsi="Arial"/>
          <w:sz w:val="17"/>
          <w:szCs w:val="17"/>
          <w:color w:val="auto"/>
        </w:rPr>
      </w:pPr>
    </w:p>
    <w:p>
      <w:pPr>
        <w:jc w:val="both"/>
        <w:ind w:left="640" w:hanging="321"/>
        <w:spacing w:after="0" w:line="322" w:lineRule="auto"/>
        <w:tabs>
          <w:tab w:leader="none" w:pos="6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decrease in restructuring and transaction-related expense of $4.9 million, or 63%, to $2.9 million for the three months ended March 31, 2020, due to the one-time nature of expenses incurred in completing the Zoom Information Acquisition and related restructuring activities in 2019 that did not recur.</w:t>
      </w:r>
    </w:p>
    <w:p>
      <w:pPr>
        <w:spacing w:after="0" w:line="8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$24.5 million for the three months ended March 31, 2020, an increase of $1.1 million, or 5%,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$23.5 million for the three months ended March 31, 2019. The increase was primarily due to additional debt that we incurred to fund the Zoom Information Acquisition in February 2019, largely offset by decreasing LIBOR rates.</w:t>
      </w:r>
    </w:p>
    <w:p>
      <w:pPr>
        <w:spacing w:after="0" w:line="119"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was $(0.1) million for the three months ended March 31, 2020, a decrease of $0.1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494%, as compared to $0.0 million for the three months ended March 31, 2019, driven largely by greater foreign exchange remeasurement gains.</w:t>
      </w:r>
    </w:p>
    <w:p>
      <w:pPr>
        <w:spacing w:after="0" w:line="8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 xml:space="preserve">Benefit from Income Tax. </w:t>
      </w:r>
      <w:r>
        <w:rPr>
          <w:rFonts w:ascii="Arial" w:cs="Arial" w:eastAsia="Arial" w:hAnsi="Arial"/>
          <w:sz w:val="17"/>
          <w:szCs w:val="17"/>
          <w:color w:val="auto"/>
        </w:rPr>
        <w:t>Benefit from income tax was $0.4 million for the three months ended March 31, 2020, a decrease of $2.9 million, or 87%,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$3.3 million for the three months ended March 31, 2019. The decrease was primarily due to greater losses before tax.</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2019 and Year Ended December 31, 2018</w:t>
      </w:r>
    </w:p>
    <w:p>
      <w:pPr>
        <w:spacing w:after="0" w:line="171"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was $293.3 million for the year ended December 31, 2019, an increase of $149.1 million, or 103%, as compared to $144.3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2018. This increase was primarily due to new customers acquired in the acquisitions of Pre-Acquisition ZI, NeverBounce, and Komiko, as well as the organic addition of new customers and net expansion with existing customers. Excluding the impact of the legacy platform contracts with customers acquired in the purchases of Pre-Acquisition ZI, NeverBounce, and Komiko, and the renewals and upsells thereof, revenue increased by $60.5 million. The increase in revenue, excluding the impact of customers acquired, was primarily driven by sales to new customers and, to a lesser extent, by the addition of additional subscriptions to existing customers, offset by cancellations and subscription reductions upon renewal. As of December 31, 2019, we had over 14,000 customers, an increase of about 3,000 customers, or 25%, as compared to over 11,000 customers on a combined basis, including non-overlapping customers of Pre-Acquisition ZI, as of December 31, 2018. As of December 31, 2019, over 580 of our customers spent more than $100,000 in ACV, an increase of approximately 200 customers, or 53%, as compared to over 380 customers of ZoomInfo and Pre-Acquisition ZI on a combined basis who spent more than $100,000 in ACV, as of December 31, 2018. On a pro forma basis, the combined revenue of ZoomInfo OpCo and Pre-Acquisition ZI would have been $334.2 million for the year ended December 31, 2019, an increase of $128.4 million, or 62%, as compared to $205.8 million for the year ended December 31, 2018, calculated as if the acquisition had occurred on January 1, 2018.</w:t>
      </w:r>
    </w:p>
    <w:p>
      <w:pPr>
        <w:spacing w:after="0" w:line="124"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i w:val="1"/>
          <w:iCs w:val="1"/>
          <w:color w:val="auto"/>
        </w:rPr>
        <w:t xml:space="preserve">Cost of Service. </w:t>
      </w:r>
      <w:r>
        <w:rPr>
          <w:rFonts w:ascii="Arial" w:cs="Arial" w:eastAsia="Arial" w:hAnsi="Arial"/>
          <w:sz w:val="16"/>
          <w:szCs w:val="16"/>
          <w:color w:val="auto"/>
        </w:rPr>
        <w:t>Cost of service was $68.7 million for the year ended December 31, 2019, an increase of $30.8 million, or 81%, as compared to $37.9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2018. The increase was primarily due to additional amortization of acquired technology that arose from the Zoom Information Acquisition and additional headcount and hosting expense to support acquired and new customers. On a pro forma basis, the combined cost of services of ZoomInfo OpCo and Pre-Acquisition ZI would have been $70.7 million for the year ended December 31, 2019, an increase of $9.9 million, or 16%, as compared to $60.9 million for the year ended December 31, 2018, calculated as if the acquisition had occurred on January 1, 2018.</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240"/>
          </w:cols>
          <w:pgMar w:left="320" w:top="337" w:right="339" w:bottom="1440" w:gutter="0" w:footer="0" w:header="0"/>
        </w:sectPr>
      </w:pPr>
    </w:p>
    <w:bookmarkStart w:id="137" w:name="page138"/>
    <w:bookmarkEnd w:id="137"/>
    <w:p>
      <w:pPr>
        <w:jc w:val="both"/>
        <w:ind w:firstLine="314"/>
        <w:spacing w:after="0" w:line="262" w:lineRule="auto"/>
        <w:rPr>
          <w:sz w:val="20"/>
          <w:szCs w:val="20"/>
          <w:color w:val="auto"/>
        </w:rPr>
      </w:pPr>
      <w:r>
        <w:rPr>
          <w:rFonts w:ascii="Arial" w:cs="Arial" w:eastAsia="Arial" w:hAnsi="Arial"/>
          <w:sz w:val="17"/>
          <w:szCs w:val="17"/>
          <w:color w:val="auto"/>
        </w:rPr>
        <w:t>The pro forma results shown above include amortization of fair value adjustments to acquired intangible assets and fair value adjustments to unearned revenue as if the acquisition had occurred on January 1, 2018. See “—Non-GAAP Financial Measures—Allocated Combined Receipts” for more on the impact of fair value adjustments to acquired unearned revenue. Management believes presenting such pro forma results is useful to investors because it demonstrates the significant impact on revenue trends resulting from the Zoom Information Acquisition during the periods presented, and the related fair value adjustments required under purchase accounting that impact year-over-year comparisons. The pro forma results shown above are provided for informational purposes only and is not necessarily indicative of the operating results that would have occurred if the acquisitions had occurred on January 1, 2018, nor is it indicative of our future results.</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$188.6 million for the year ended December 31, 2019, an increase of $108.7 million, or 136%, as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$79.9 million for the year ended December 31, 2018. The increase was primarily due to:</w:t>
      </w:r>
    </w:p>
    <w:p>
      <w:pPr>
        <w:spacing w:after="0" w:line="106" w:lineRule="exact"/>
        <w:rPr>
          <w:sz w:val="20"/>
          <w:szCs w:val="20"/>
          <w:color w:val="auto"/>
        </w:rPr>
      </w:pPr>
    </w:p>
    <w:p>
      <w:pPr>
        <w:ind w:left="640" w:hanging="321"/>
        <w:spacing w:after="0" w:line="322" w:lineRule="auto"/>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 increase in sales and marketing expense of $47.8 million, or 113%, to $90.2 million for the year ended December 31, 2019, due primarily to additional sales and marketing resources added through the Zoom Information Acquisition and additional hiring to drive continued incremental sales;</w:t>
      </w:r>
    </w:p>
    <w:p>
      <w:pPr>
        <w:spacing w:after="0" w:line="82" w:lineRule="exact"/>
        <w:rPr>
          <w:rFonts w:ascii="Arial" w:cs="Arial" w:eastAsia="Arial" w:hAnsi="Arial"/>
          <w:sz w:val="16"/>
          <w:szCs w:val="16"/>
          <w:color w:val="auto"/>
        </w:rPr>
      </w:pPr>
    </w:p>
    <w:p>
      <w:pPr>
        <w:ind w:left="640" w:hanging="321"/>
        <w:spacing w:after="0" w:line="289" w:lineRule="auto"/>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increase in research and development expense of $24.0 million, or 392%, to $30.1 million for the year ended December 31, 2019, due primarily to additional engineering and product management resources added through the Zoom Information Acquisition;</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$14.4 million, or 69%, to $35.1 million for the year ended December 31, 2019, due primarily to additional resources added through the Zoom Information Acquisition and additional hiring to support the larger organization;</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of $10.6 million, or 152%, to $17.6 million for the year ended December 31, 2019, due to additional amortization expense related to intangible assets acquired in the Zoom Information Acquisition; and</w:t>
      </w:r>
    </w:p>
    <w:p>
      <w:pPr>
        <w:spacing w:after="0" w:line="105" w:lineRule="exact"/>
        <w:rPr>
          <w:rFonts w:ascii="Arial" w:cs="Arial" w:eastAsia="Arial" w:hAnsi="Arial"/>
          <w:sz w:val="17"/>
          <w:szCs w:val="17"/>
          <w:color w:val="auto"/>
        </w:rPr>
      </w:pPr>
    </w:p>
    <w:p>
      <w:pPr>
        <w:jc w:val="both"/>
        <w:ind w:left="640" w:hanging="321"/>
        <w:spacing w:after="0" w:line="265" w:lineRule="auto"/>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increase in restructuring and transaction-related expense of $12.0 million, or 334%, to $15.6 million for the year ended December 31, 2019, due to expenses incurred in completing the Zoom Information acquisition of Pre-Acquisition ZI and restructuring activities undertaken as part of and after the Zoom Information Acquisition to rationalize certain research, engineering, and general and administrative activities, offset by restructuring and transaction-related expenses in the year ended December 31, 2018 related to the investment in us by Carlyle and the NeverBounce acquisition that did not recur.</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$102.4 million for the year ended December 31, 2019, an increase of $44.3 million, or 76%,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$58.2 million for the year ended December 31, 2018. The increase was primarily due to additional debt that we incurred to fund the Zoom Information Acquisition, partially offset by decreasing LIBOR rates.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was $0.0 million for the year ended December 31, 2019, an increase of $0.1 million, or 67%,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$(0.1) million for the year ended December 31, 2018.</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 xml:space="preserve">Benefit from Income Tax. </w:t>
      </w:r>
      <w:r>
        <w:rPr>
          <w:rFonts w:ascii="Arial" w:cs="Arial" w:eastAsia="Arial" w:hAnsi="Arial"/>
          <w:sz w:val="17"/>
          <w:szCs w:val="17"/>
          <w:color w:val="auto"/>
        </w:rPr>
        <w:t>Benefit from income tax was $6.5 million for the year ended December 31, 2019, an increase of $3.6 million, or 127%,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$2.9 million for the year ended December 31, 2018. The increase was primarily due to greater losses before tax.</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following tables present the unaudited quarterly historical consolidated financial and other data for ZoomInfo OpCo and its subsidiaries for each of the nine quarterly periods ending March 31, 2020. The unaudited quarterly historical consolidated financial and other data have been prepared on the same basis as the audited consolidated financial statements of ZoomInfo OpCo included elsewhere in this prospectus. In our opinion, the unaudited quarterly historical consolidated financial information have included all adjustments, which include normal recurring adjustments, necessary to present fairly in all material respects our financial position and results of operations for these periods. This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240"/>
          </w:cols>
          <w:pgMar w:left="320" w:top="337" w:right="339" w:bottom="1440" w:gutter="0" w:footer="0" w:header="0"/>
        </w:sectPr>
      </w:pPr>
    </w:p>
    <w:bookmarkStart w:id="138" w:name="page139"/>
    <w:bookmarkEnd w:id="138"/>
    <w:p>
      <w:pPr>
        <w:jc w:val="both"/>
        <w:spacing w:after="0" w:line="273" w:lineRule="auto"/>
        <w:rPr>
          <w:sz w:val="20"/>
          <w:szCs w:val="20"/>
          <w:color w:val="auto"/>
        </w:rPr>
      </w:pPr>
      <w:r>
        <w:rPr>
          <w:rFonts w:ascii="Arial" w:cs="Arial" w:eastAsia="Arial" w:hAnsi="Arial"/>
          <w:sz w:val="17"/>
          <w:szCs w:val="17"/>
          <w:color w:val="auto"/>
        </w:rPr>
        <w:t>information should be read in conjunction with the consolidated financial statements of ZoomInfo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As a result of a number of factors, including the Zoom Information Acquisition, our historical results of operations are not comparable from period to period and may not be comparable to our financial results of operations in future periods. For additional discussion of these factors, see “—Factors Affecting the Comparability of Our Results of Operations.”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2"/>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3"/>
        </w:trPr>
        <w:tc>
          <w:tcPr>
            <w:tcW w:w="238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31, 2018</w:t>
            </w: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2018</w:t>
            </w: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December 31,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March 31, 2019</w:t>
            </w:r>
          </w:p>
        </w:tc>
        <w:tc>
          <w:tcPr>
            <w:tcW w:w="86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2019</w:t>
            </w: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w w:val="98"/>
              </w:rPr>
              <w:t>March 31, 2020</w:t>
            </w:r>
          </w:p>
        </w:tc>
      </w:tr>
      <w:tr>
        <w:trPr>
          <w:trHeight w:val="22"/>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0"/>
        </w:trPr>
        <w:tc>
          <w:tcPr>
            <w:tcW w:w="2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(in millions)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
        </w:trPr>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960" w:type="dxa"/>
            <w:vAlign w:val="bottom"/>
            <w:tcBorders>
              <w:bottom w:val="single" w:sz="8" w:color="CCEEFF"/>
            </w:tcBorders>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102.2</w:t>
            </w:r>
          </w:p>
        </w:tc>
      </w:tr>
      <w:tr>
        <w:trPr>
          <w:trHeight w:val="229"/>
        </w:trPr>
        <w:tc>
          <w:tcPr>
            <w:tcW w:w="23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9"/>
                <w:szCs w:val="19"/>
                <w:color w:val="auto"/>
              </w:rPr>
            </w:pP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w:t>
            </w:r>
          </w:p>
        </w:tc>
        <w:tc>
          <w:tcPr>
            <w:tcW w:w="960" w:type="dxa"/>
            <w:vAlign w:val="bottom"/>
            <w:gridSpan w:val="3"/>
          </w:tcPr>
          <w:p>
            <w:pPr>
              <w:jc w:val="right"/>
              <w:ind w:right="62"/>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9"/>
                <w:szCs w:val="19"/>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9"/>
                <w:szCs w:val="19"/>
                <w:color w:val="auto"/>
              </w:rPr>
            </w:pP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81.8</w:t>
            </w:r>
          </w:p>
        </w:tc>
      </w:tr>
      <w:tr>
        <w:trPr>
          <w:trHeight w:val="33"/>
        </w:trPr>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8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960" w:type="dxa"/>
            <w:vAlign w:val="bottom"/>
            <w:tcBorders>
              <w:bottom w:val="single" w:sz="8" w:color="CCEEFF"/>
            </w:tcBorders>
            <w:gridSpan w:val="3"/>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20.3</w:t>
            </w:r>
          </w:p>
        </w:tc>
      </w:tr>
      <w:tr>
        <w:trPr>
          <w:trHeight w:val="229"/>
        </w:trPr>
        <w:tc>
          <w:tcPr>
            <w:tcW w:w="23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00" w:type="dxa"/>
            <w:vAlign w:val="bottom"/>
          </w:tcPr>
          <w:p>
            <w:pPr>
              <w:jc w:val="right"/>
              <w:ind w:right="6"/>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9"/>
                <w:szCs w:val="19"/>
                <w:color w:val="auto"/>
              </w:rPr>
            </w:pPr>
          </w:p>
        </w:tc>
        <w:tc>
          <w:tcPr>
            <w:tcW w:w="800" w:type="dxa"/>
            <w:vAlign w:val="bottom"/>
          </w:tcPr>
          <w:p>
            <w:pPr>
              <w:jc w:val="right"/>
              <w:ind w:right="6"/>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960" w:type="dxa"/>
            <w:vAlign w:val="bottom"/>
            <w:gridSpan w:val="3"/>
          </w:tcPr>
          <w:p>
            <w:pPr>
              <w:jc w:val="right"/>
              <w:ind w:right="2"/>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99"/>
        </w:trPr>
        <w:tc>
          <w:tcPr>
            <w:tcW w:w="2380" w:type="dxa"/>
            <w:vAlign w:val="bottom"/>
          </w:tcPr>
          <w:p>
            <w:pPr>
              <w:spacing w:after="0"/>
              <w:rPr>
                <w:sz w:val="20"/>
                <w:szCs w:val="20"/>
                <w:color w:val="auto"/>
              </w:rPr>
            </w:pPr>
            <w:r>
              <w:rPr>
                <w:rFonts w:ascii="Arial" w:cs="Arial" w:eastAsia="Arial" w:hAnsi="Arial"/>
                <w:sz w:val="17"/>
                <w:szCs w:val="17"/>
                <w:b w:val="1"/>
                <w:bCs w:val="1"/>
                <w:i w:val="1"/>
                <w:iCs w:val="1"/>
                <w:color w:val="auto"/>
                <w:w w:val="98"/>
              </w:rPr>
              <w:t>Allocated Combined Receipts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28"/>
        </w:trPr>
        <w:tc>
          <w:tcPr>
            <w:tcW w:w="2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
        </w:trPr>
        <w:tc>
          <w:tcPr>
            <w:tcW w:w="2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3"/>
        </w:trPr>
        <w:tc>
          <w:tcPr>
            <w:tcW w:w="238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31, 2018</w:t>
            </w: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2018</w:t>
            </w: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December 31,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March 31, 2019</w:t>
            </w:r>
          </w:p>
        </w:tc>
        <w:tc>
          <w:tcPr>
            <w:tcW w:w="86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2019</w:t>
            </w: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w w:val="98"/>
              </w:rPr>
              <w:t>March 31, 2020</w:t>
            </w:r>
          </w:p>
        </w:tc>
      </w:tr>
      <w:tr>
        <w:trPr>
          <w:trHeight w:val="22"/>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0"/>
        </w:trPr>
        <w:tc>
          <w:tcPr>
            <w:tcW w:w="2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(in millions)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
        </w:trPr>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960" w:type="dxa"/>
            <w:vAlign w:val="bottom"/>
            <w:tcBorders>
              <w:bottom w:val="single" w:sz="8" w:color="CCEEFF"/>
            </w:tcBorders>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102.2</w:t>
            </w:r>
          </w:p>
        </w:tc>
      </w:tr>
      <w:tr>
        <w:trPr>
          <w:trHeight w:val="213"/>
        </w:trPr>
        <w:tc>
          <w:tcPr>
            <w:tcW w:w="2380" w:type="dxa"/>
            <w:vAlign w:val="bottom"/>
          </w:tcPr>
          <w:p>
            <w:pPr>
              <w:ind w:left="160"/>
              <w:spacing w:after="0"/>
              <w:rPr>
                <w:sz w:val="20"/>
                <w:szCs w:val="20"/>
                <w:color w:val="auto"/>
              </w:rPr>
            </w:pPr>
            <w:r>
              <w:rPr>
                <w:rFonts w:ascii="Arial" w:cs="Arial" w:eastAsia="Arial" w:hAnsi="Arial"/>
                <w:sz w:val="16"/>
                <w:szCs w:val="16"/>
                <w:color w:val="auto"/>
                <w:w w:val="97"/>
              </w:rPr>
              <w:t>Impact of fair value adjustments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3"/>
        </w:trPr>
        <w:tc>
          <w:tcPr>
            <w:tcW w:w="2380" w:type="dxa"/>
            <w:vAlign w:val="bottom"/>
          </w:tcPr>
          <w:p>
            <w:pPr>
              <w:ind w:left="320"/>
              <w:spacing w:after="0"/>
              <w:rPr>
                <w:sz w:val="20"/>
                <w:szCs w:val="20"/>
                <w:color w:val="auto"/>
              </w:rPr>
            </w:pPr>
            <w:r>
              <w:rPr>
                <w:rFonts w:ascii="Arial" w:cs="Arial" w:eastAsia="Arial" w:hAnsi="Arial"/>
                <w:sz w:val="16"/>
                <w:szCs w:val="16"/>
                <w:color w:val="auto"/>
                <w:w w:val="88"/>
              </w:rPr>
              <w:t>to acquired unearned revenue</w:t>
            </w:r>
            <w:r>
              <w:rPr>
                <w:rFonts w:ascii="Arial" w:cs="Arial" w:eastAsia="Arial" w:hAnsi="Arial"/>
                <w:sz w:val="20"/>
                <w:szCs w:val="20"/>
                <w:color w:val="auto"/>
                <w:w w:val="88"/>
                <w:vertAlign w:val="superscript"/>
              </w:rPr>
              <w:t>(a)</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040" w:type="dxa"/>
            <w:vAlign w:val="bottom"/>
          </w:tcPr>
          <w:p>
            <w:pPr>
              <w:jc w:val="right"/>
              <w:ind w:right="46"/>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960" w:type="dxa"/>
            <w:vAlign w:val="bottom"/>
            <w:gridSpan w:val="3"/>
          </w:tcPr>
          <w:p>
            <w:pPr>
              <w:jc w:val="right"/>
              <w:ind w:right="62"/>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1.4</w:t>
            </w:r>
          </w:p>
        </w:tc>
      </w:tr>
      <w:tr>
        <w:trPr>
          <w:trHeight w:val="262"/>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Pre-Acquisition ZI revenue</w:t>
            </w:r>
            <w:r>
              <w:rPr>
                <w:rFonts w:ascii="Arial" w:cs="Arial" w:eastAsia="Arial" w:hAnsi="Arial"/>
                <w:sz w:val="20"/>
                <w:szCs w:val="20"/>
                <w:color w:val="auto"/>
                <w:vertAlign w:val="superscript"/>
              </w:rPr>
              <w:t>(b)</w:t>
            </w: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960" w:type="dxa"/>
            <w:vAlign w:val="bottom"/>
            <w:gridSpan w:val="3"/>
            <w:shd w:val="clear" w:color="auto" w:fill="CCEEFF"/>
          </w:tcPr>
          <w:p>
            <w:pPr>
              <w:jc w:val="right"/>
              <w:ind w:right="62"/>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tcPr>
          <w:p>
            <w:pPr>
              <w:ind w:left="160"/>
              <w:spacing w:after="0"/>
              <w:rPr>
                <w:sz w:val="20"/>
                <w:szCs w:val="20"/>
                <w:color w:val="auto"/>
              </w:rPr>
            </w:pPr>
            <w:r>
              <w:rPr>
                <w:rFonts w:ascii="Arial" w:cs="Arial" w:eastAsia="Arial" w:hAnsi="Arial"/>
                <w:sz w:val="16"/>
                <w:szCs w:val="16"/>
                <w:color w:val="auto"/>
                <w:w w:val="97"/>
              </w:rPr>
              <w:t>Impact of fair value adjustments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380" w:type="dxa"/>
            <w:vAlign w:val="bottom"/>
          </w:tcPr>
          <w:p>
            <w:pPr>
              <w:ind w:left="320"/>
              <w:spacing w:after="0"/>
              <w:rPr>
                <w:sz w:val="20"/>
                <w:szCs w:val="20"/>
                <w:color w:val="auto"/>
              </w:rPr>
            </w:pPr>
            <w:r>
              <w:rPr>
                <w:rFonts w:ascii="Arial" w:cs="Arial" w:eastAsia="Arial" w:hAnsi="Arial"/>
                <w:sz w:val="16"/>
                <w:szCs w:val="16"/>
                <w:color w:val="auto"/>
                <w:w w:val="95"/>
              </w:rPr>
              <w:t>to acquired unearned revenue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380" w:type="dxa"/>
            <w:vAlign w:val="bottom"/>
          </w:tcPr>
          <w:p>
            <w:pPr>
              <w:ind w:left="320"/>
              <w:spacing w:after="0"/>
              <w:rPr>
                <w:sz w:val="20"/>
                <w:szCs w:val="20"/>
                <w:color w:val="auto"/>
              </w:rPr>
            </w:pPr>
            <w:r>
              <w:rPr>
                <w:rFonts w:ascii="Arial" w:cs="Arial" w:eastAsia="Arial" w:hAnsi="Arial"/>
                <w:sz w:val="16"/>
                <w:szCs w:val="16"/>
                <w:color w:val="auto"/>
              </w:rPr>
              <w:t>recorded by Pre-Acquisition</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3"/>
        </w:trPr>
        <w:tc>
          <w:tcPr>
            <w:tcW w:w="2380" w:type="dxa"/>
            <w:vAlign w:val="bottom"/>
          </w:tcPr>
          <w:p>
            <w:pPr>
              <w:ind w:left="320"/>
              <w:spacing w:after="0" w:line="232" w:lineRule="exact"/>
              <w:rPr>
                <w:sz w:val="20"/>
                <w:szCs w:val="20"/>
                <w:color w:val="auto"/>
              </w:rPr>
            </w:pPr>
            <w:r>
              <w:rPr>
                <w:rFonts w:ascii="Arial" w:cs="Arial" w:eastAsia="Arial" w:hAnsi="Arial"/>
                <w:sz w:val="26"/>
                <w:szCs w:val="26"/>
                <w:color w:val="auto"/>
                <w:vertAlign w:val="subscript"/>
              </w:rPr>
              <w:t>ZI</w:t>
            </w:r>
            <w:r>
              <w:rPr>
                <w:rFonts w:ascii="Arial" w:cs="Arial" w:eastAsia="Arial" w:hAnsi="Arial"/>
                <w:sz w:val="10"/>
                <w:szCs w:val="10"/>
                <w:color w:val="auto"/>
              </w:rPr>
              <w:t>(c)</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040" w:type="dxa"/>
            <w:vAlign w:val="bottom"/>
          </w:tcPr>
          <w:p>
            <w:pPr>
              <w:jc w:val="right"/>
              <w:ind w:right="46"/>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960" w:type="dxa"/>
            <w:vAlign w:val="bottom"/>
            <w:gridSpan w:val="3"/>
          </w:tcPr>
          <w:p>
            <w:pPr>
              <w:jc w:val="right"/>
              <w:ind w:right="6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w:t>
            </w:r>
          </w:p>
        </w:tc>
      </w:tr>
      <w:tr>
        <w:trPr>
          <w:trHeight w:val="213"/>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6"/>
              </w:rPr>
              <w:t>Pre-acquisition revenue of other</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3"/>
        </w:trPr>
        <w:tc>
          <w:tcPr>
            <w:tcW w:w="2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acquired companies</w:t>
            </w:r>
            <w:r>
              <w:rPr>
                <w:rFonts w:ascii="Arial" w:cs="Arial" w:eastAsia="Arial" w:hAnsi="Arial"/>
                <w:sz w:val="20"/>
                <w:szCs w:val="20"/>
                <w:color w:val="auto"/>
                <w:vertAlign w:val="superscript"/>
              </w:rPr>
              <w:t>(d)</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w:t>
            </w:r>
          </w:p>
        </w:tc>
      </w:tr>
      <w:tr>
        <w:trPr>
          <w:trHeight w:val="209"/>
        </w:trPr>
        <w:tc>
          <w:tcPr>
            <w:tcW w:w="2380" w:type="dxa"/>
            <w:vAlign w:val="bottom"/>
          </w:tcPr>
          <w:p>
            <w:pPr>
              <w:ind w:left="40"/>
              <w:spacing w:after="0"/>
              <w:rPr>
                <w:sz w:val="20"/>
                <w:szCs w:val="20"/>
                <w:color w:val="auto"/>
              </w:rPr>
            </w:pPr>
            <w:r>
              <w:rPr>
                <w:rFonts w:ascii="Arial" w:cs="Arial" w:eastAsia="Arial" w:hAnsi="Arial"/>
                <w:sz w:val="16"/>
                <w:szCs w:val="16"/>
                <w:color w:val="auto"/>
              </w:rPr>
              <w:t>Allocated Combined Receipts</w:t>
            </w: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800" w:type="dxa"/>
            <w:vAlign w:val="bottom"/>
          </w:tcPr>
          <w:p>
            <w:pPr>
              <w:jc w:val="right"/>
              <w:ind w:right="46"/>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1040" w:type="dxa"/>
            <w:vAlign w:val="bottom"/>
          </w:tcPr>
          <w:p>
            <w:pPr>
              <w:jc w:val="right"/>
              <w:ind w:right="46"/>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68.3</w:t>
            </w:r>
          </w:p>
        </w:tc>
        <w:tc>
          <w:tcPr>
            <w:tcW w:w="960" w:type="dxa"/>
            <w:vAlign w:val="bottom"/>
            <w:gridSpan w:val="3"/>
          </w:tcPr>
          <w:p>
            <w:pPr>
              <w:jc w:val="right"/>
              <w:ind w:right="62"/>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8"/>
                <w:szCs w:val="18"/>
                <w:color w:val="auto"/>
              </w:rPr>
            </w:pP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8"/>
                <w:szCs w:val="18"/>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8"/>
                <w:szCs w:val="18"/>
                <w:color w:val="auto"/>
              </w:rPr>
            </w:pPr>
          </w:p>
        </w:tc>
        <w:tc>
          <w:tcPr>
            <w:tcW w:w="760" w:type="dxa"/>
            <w:vAlign w:val="bottom"/>
          </w:tcPr>
          <w:p>
            <w:pPr>
              <w:jc w:val="right"/>
              <w:ind w:right="26"/>
              <w:spacing w:after="0"/>
              <w:rPr>
                <w:sz w:val="20"/>
                <w:szCs w:val="20"/>
                <w:color w:val="auto"/>
              </w:rPr>
            </w:pPr>
            <w:r>
              <w:rPr>
                <w:rFonts w:ascii="Arial" w:cs="Arial" w:eastAsia="Arial" w:hAnsi="Arial"/>
                <w:sz w:val="16"/>
                <w:szCs w:val="16"/>
                <w:color w:val="auto"/>
              </w:rPr>
              <w:t>103.6</w:t>
            </w:r>
          </w:p>
        </w:tc>
      </w:tr>
      <w:tr>
        <w:trPr>
          <w:trHeight w:val="183"/>
        </w:trPr>
        <w:tc>
          <w:tcPr>
            <w:tcW w:w="2380" w:type="dxa"/>
            <w:vAlign w:val="bottom"/>
          </w:tcPr>
          <w:p>
            <w:pPr>
              <w:spacing w:after="0"/>
              <w:rPr>
                <w:sz w:val="20"/>
                <w:szCs w:val="20"/>
                <w:color w:val="auto"/>
              </w:rPr>
            </w:pPr>
            <w:r>
              <w:rPr>
                <w:rFonts w:ascii="Arial" w:cs="Arial" w:eastAsia="Arial" w:hAnsi="Arial"/>
                <w:sz w:val="14"/>
                <w:szCs w:val="14"/>
                <w:color w:val="auto"/>
              </w:rPr>
              <w:t>__________________</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jc w:val="both"/>
        <w:ind w:left="320" w:hanging="315"/>
        <w:spacing w:after="0" w:line="234" w:lineRule="auto"/>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5"/>
        <w:spacing w:after="0" w:line="234" w:lineRule="auto"/>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Figures include revenue recognized by Pre-Acquisition ZI for the periods prior to our acquisition of Pre-Acquisition ZI.</w:t>
      </w:r>
    </w:p>
    <w:p>
      <w:pPr>
        <w:jc w:val="both"/>
        <w:ind w:left="320" w:hanging="315"/>
        <w:spacing w:after="0" w:line="234" w:lineRule="auto"/>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Primarily represents the impact of fair value adjustments to acquired unearned revenue relating to services billed by a predecessor entity, prior to the acquisition of that predecessor entity by Pre-Acquisition ZI. These adjustments represent the difference between the revenue recognized based on Pre-Acquisition ZI management’s estimate of fair value of acquired unearned revenue and the receipts billed prior to the acquisition less revenue recognized prior to the acquisition.</w:t>
      </w:r>
    </w:p>
    <w:p>
      <w:pPr>
        <w:ind w:left="320" w:hanging="315"/>
        <w:spacing w:after="0" w:line="242" w:lineRule="auto"/>
        <w:tabs>
          <w:tab w:leader="none" w:pos="320" w:val="left"/>
        </w:tabs>
        <w:numPr>
          <w:ilvl w:val="0"/>
          <w:numId w:val="94"/>
        </w:numPr>
        <w:rPr>
          <w:rFonts w:ascii="Arial" w:cs="Arial" w:eastAsia="Arial" w:hAnsi="Arial"/>
          <w:sz w:val="14"/>
          <w:szCs w:val="14"/>
          <w:color w:val="auto"/>
        </w:rPr>
      </w:pPr>
      <w:r>
        <w:rPr>
          <w:rFonts w:ascii="Arial" w:cs="Arial" w:eastAsia="Arial" w:hAnsi="Arial"/>
          <w:sz w:val="14"/>
          <w:szCs w:val="14"/>
          <w:color w:val="auto"/>
        </w:rPr>
        <w:t>We acquired the assets of NeverBounce in September 2018. Additionally, Pre-Acquisition ZI acquired Datanyze in September 2018, and Komiko in October 2019. Figures include revenue recognized by these entities for the periods presented prior to their respective acquisitions.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240"/>
          </w:cols>
          <w:pgMar w:left="320" w:top="337"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i w:val="1"/>
          <w:iCs w:val="1"/>
          <w:color w:val="auto"/>
        </w:rPr>
        <w:t>Adjusted Operating Income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0"/>
                <w:szCs w:val="10"/>
                <w:b w:val="1"/>
                <w:bCs w:val="1"/>
                <w:color w:val="auto"/>
              </w:rPr>
              <w:t>Three Months Ended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2"/>
        </w:trPr>
        <w:tc>
          <w:tcPr>
            <w:tcW w:w="2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3"/>
        </w:trPr>
        <w:tc>
          <w:tcPr>
            <w:tcW w:w="238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March 31, 2018</w:t>
            </w: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2018</w:t>
            </w: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December 31,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March 31, 2019</w:t>
            </w:r>
          </w:p>
        </w:tc>
        <w:tc>
          <w:tcPr>
            <w:tcW w:w="86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2019</w:t>
            </w: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w w:val="98"/>
              </w:rPr>
              <w:t>March 31, 2020</w:t>
            </w:r>
          </w:p>
        </w:tc>
      </w:tr>
      <w:tr>
        <w:trPr>
          <w:trHeight w:val="22"/>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0"/>
        </w:trPr>
        <w:tc>
          <w:tcPr>
            <w:tcW w:w="2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Arial" w:cs="Arial" w:eastAsia="Arial" w:hAnsi="Arial"/>
                <w:sz w:val="10"/>
                <w:szCs w:val="10"/>
                <w:b w:val="1"/>
                <w:bCs w:val="1"/>
                <w:color w:val="auto"/>
              </w:rPr>
              <w:t>(in millions)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
        </w:trPr>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29"/>
        </w:trPr>
        <w:tc>
          <w:tcPr>
            <w:tcW w:w="2380" w:type="dxa"/>
            <w:vAlign w:val="bottom"/>
          </w:tcPr>
          <w:p>
            <w:pPr>
              <w:ind w:left="160"/>
              <w:spacing w:after="0"/>
              <w:rPr>
                <w:sz w:val="20"/>
                <w:szCs w:val="20"/>
                <w:color w:val="auto"/>
              </w:rPr>
            </w:pPr>
            <w:r>
              <w:rPr>
                <w:rFonts w:ascii="Arial" w:cs="Arial" w:eastAsia="Arial" w:hAnsi="Arial"/>
                <w:sz w:val="16"/>
                <w:szCs w:val="16"/>
                <w:color w:val="auto"/>
              </w:rPr>
              <w:t>Provision for taxes</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9"/>
                <w:szCs w:val="19"/>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2"/>
        </w:trPr>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96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24.5</w:t>
            </w:r>
          </w:p>
        </w:tc>
      </w:tr>
      <w:tr>
        <w:trPr>
          <w:trHeight w:val="229"/>
        </w:trPr>
        <w:tc>
          <w:tcPr>
            <w:tcW w:w="2380" w:type="dxa"/>
            <w:vAlign w:val="bottom"/>
          </w:tcPr>
          <w:p>
            <w:pPr>
              <w:ind w:left="160"/>
              <w:spacing w:after="0"/>
              <w:rPr>
                <w:sz w:val="20"/>
                <w:szCs w:val="20"/>
                <w:color w:val="auto"/>
              </w:rPr>
            </w:pPr>
            <w:r>
              <w:rPr>
                <w:rFonts w:ascii="Arial" w:cs="Arial" w:eastAsia="Arial" w:hAnsi="Arial"/>
                <w:sz w:val="16"/>
                <w:szCs w:val="16"/>
                <w:color w:val="auto"/>
              </w:rPr>
              <w:t>Loss on debt extinguishment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55"/>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2.2</w:t>
            </w:r>
          </w:p>
        </w:tc>
      </w:tr>
      <w:tr>
        <w:trPr>
          <w:trHeight w:val="33"/>
        </w:trPr>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2"/>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(income) expense, net</w:t>
            </w:r>
            <w:r>
              <w:rPr>
                <w:rFonts w:ascii="Arial" w:cs="Arial" w:eastAsia="Arial" w:hAnsi="Arial"/>
                <w:sz w:val="20"/>
                <w:szCs w:val="20"/>
                <w:color w:val="auto"/>
                <w:vertAlign w:val="superscript"/>
              </w:rPr>
              <w:t>(a)</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2380" w:type="dxa"/>
            <w:vAlign w:val="bottom"/>
          </w:tcPr>
          <w:p>
            <w:pPr>
              <w:ind w:left="260"/>
              <w:spacing w:after="0"/>
              <w:rPr>
                <w:sz w:val="20"/>
                <w:szCs w:val="20"/>
                <w:color w:val="auto"/>
              </w:rPr>
            </w:pPr>
            <w:r>
              <w:rPr>
                <w:rFonts w:ascii="Arial" w:cs="Arial" w:eastAsia="Arial" w:hAnsi="Arial"/>
                <w:sz w:val="16"/>
                <w:szCs w:val="16"/>
                <w:color w:val="auto"/>
              </w:rPr>
              <w:t>Income from operations</w:t>
            </w: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20.3</w:t>
            </w:r>
          </w:p>
        </w:tc>
      </w:tr>
      <w:tr>
        <w:trPr>
          <w:trHeight w:val="33"/>
        </w:trPr>
        <w:tc>
          <w:tcPr>
            <w:tcW w:w="2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3"/>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7"/>
              </w:rPr>
              <w:t>Impact of fair value adjustments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33"/>
        </w:trPr>
        <w:tc>
          <w:tcPr>
            <w:tcW w:w="23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8"/>
              </w:rPr>
              <w:t>to acquired unearned revenue</w:t>
            </w:r>
            <w:r>
              <w:rPr>
                <w:rFonts w:ascii="Arial" w:cs="Arial" w:eastAsia="Arial" w:hAnsi="Arial"/>
                <w:sz w:val="20"/>
                <w:szCs w:val="20"/>
                <w:color w:val="auto"/>
                <w:w w:val="88"/>
                <w:vertAlign w:val="superscript"/>
              </w:rPr>
              <w:t>(b)</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960" w:type="dxa"/>
            <w:vAlign w:val="bottom"/>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w:t>
            </w:r>
          </w:p>
        </w:tc>
      </w:tr>
      <w:tr>
        <w:trPr>
          <w:trHeight w:val="213"/>
        </w:trPr>
        <w:tc>
          <w:tcPr>
            <w:tcW w:w="2380" w:type="dxa"/>
            <w:vAlign w:val="bottom"/>
          </w:tcPr>
          <w:p>
            <w:pPr>
              <w:ind w:left="160"/>
              <w:spacing w:after="0"/>
              <w:rPr>
                <w:sz w:val="20"/>
                <w:szCs w:val="20"/>
                <w:color w:val="auto"/>
              </w:rPr>
            </w:pPr>
            <w:r>
              <w:rPr>
                <w:rFonts w:ascii="Arial" w:cs="Arial" w:eastAsia="Arial" w:hAnsi="Arial"/>
                <w:sz w:val="16"/>
                <w:szCs w:val="16"/>
                <w:color w:val="auto"/>
              </w:rPr>
              <w:t>Amortization of acquired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0"/>
        </w:trPr>
        <w:tc>
          <w:tcPr>
            <w:tcW w:w="2380" w:type="dxa"/>
            <w:vAlign w:val="bottom"/>
          </w:tcPr>
          <w:p>
            <w:pPr>
              <w:ind w:left="320"/>
              <w:spacing w:after="0"/>
              <w:rPr>
                <w:sz w:val="20"/>
                <w:szCs w:val="20"/>
                <w:color w:val="auto"/>
              </w:rPr>
            </w:pPr>
            <w:r>
              <w:rPr>
                <w:rFonts w:ascii="Arial" w:cs="Arial" w:eastAsia="Arial" w:hAnsi="Arial"/>
                <w:sz w:val="16"/>
                <w:szCs w:val="16"/>
                <w:color w:val="auto"/>
              </w:rPr>
              <w:t>technology</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960" w:type="dxa"/>
            <w:vAlign w:val="bottom"/>
            <w:gridSpan w:val="3"/>
          </w:tcPr>
          <w:p>
            <w:pPr>
              <w:jc w:val="right"/>
              <w:ind w:right="55"/>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5.6</w:t>
            </w:r>
          </w:p>
        </w:tc>
      </w:tr>
      <w:tr>
        <w:trPr>
          <w:trHeight w:val="33"/>
        </w:trPr>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3"/>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other acquired</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2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intangibles</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96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r>
      <w:tr>
        <w:trPr>
          <w:trHeight w:val="229"/>
        </w:trPr>
        <w:tc>
          <w:tcPr>
            <w:tcW w:w="2380" w:type="dxa"/>
            <w:vAlign w:val="bottom"/>
          </w:tcPr>
          <w:p>
            <w:pPr>
              <w:ind w:left="160"/>
              <w:spacing w:after="0"/>
              <w:rPr>
                <w:sz w:val="20"/>
                <w:szCs w:val="20"/>
                <w:color w:val="auto"/>
              </w:rPr>
            </w:pPr>
            <w:r>
              <w:rPr>
                <w:rFonts w:ascii="Arial" w:cs="Arial" w:eastAsia="Arial" w:hAnsi="Arial"/>
                <w:sz w:val="16"/>
                <w:szCs w:val="16"/>
                <w:color w:val="auto"/>
              </w:rPr>
              <w:t>Equity-based compensation</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9"/>
                <w:szCs w:val="19"/>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960" w:type="dxa"/>
            <w:vAlign w:val="bottom"/>
            <w:gridSpan w:val="3"/>
          </w:tcPr>
          <w:p>
            <w:pPr>
              <w:jc w:val="right"/>
              <w:ind w:right="55"/>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11.3</w:t>
            </w:r>
          </w:p>
        </w:tc>
      </w:tr>
      <w:tr>
        <w:trPr>
          <w:trHeight w:val="33"/>
        </w:trPr>
        <w:tc>
          <w:tcPr>
            <w:tcW w:w="2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3"/>
        </w:trPr>
        <w:tc>
          <w:tcPr>
            <w:tcW w:w="2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Restructuring and transaction-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3"/>
        </w:trPr>
        <w:tc>
          <w:tcPr>
            <w:tcW w:w="23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related expenses</w:t>
            </w:r>
            <w:r>
              <w:rPr>
                <w:rFonts w:ascii="Arial" w:cs="Arial" w:eastAsia="Arial" w:hAnsi="Arial"/>
                <w:sz w:val="20"/>
                <w:szCs w:val="20"/>
                <w:color w:val="auto"/>
                <w:vertAlign w:val="superscript"/>
              </w:rPr>
              <w:t>(c)</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960" w:type="dxa"/>
            <w:vAlign w:val="bottom"/>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r>
      <w:tr>
        <w:trPr>
          <w:trHeight w:val="213"/>
        </w:trPr>
        <w:tc>
          <w:tcPr>
            <w:tcW w:w="2380" w:type="dxa"/>
            <w:vAlign w:val="bottom"/>
          </w:tcPr>
          <w:p>
            <w:pPr>
              <w:ind w:left="160"/>
              <w:spacing w:after="0"/>
              <w:rPr>
                <w:sz w:val="20"/>
                <w:szCs w:val="20"/>
                <w:color w:val="auto"/>
              </w:rPr>
            </w:pPr>
            <w:r>
              <w:rPr>
                <w:rFonts w:ascii="Arial" w:cs="Arial" w:eastAsia="Arial" w:hAnsi="Arial"/>
                <w:sz w:val="16"/>
                <w:szCs w:val="16"/>
                <w:color w:val="auto"/>
                <w:w w:val="94"/>
              </w:rPr>
              <w:t>Integration costs and acquisition-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3"/>
        </w:trPr>
        <w:tc>
          <w:tcPr>
            <w:tcW w:w="23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related compensation</w:t>
            </w:r>
            <w:r>
              <w:rPr>
                <w:rFonts w:ascii="Arial" w:cs="Arial" w:eastAsia="Arial" w:hAnsi="Arial"/>
                <w:sz w:val="20"/>
                <w:szCs w:val="20"/>
                <w:color w:val="auto"/>
                <w:vertAlign w:val="superscript"/>
              </w:rPr>
              <w:t>(d)</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3.0</w:t>
            </w:r>
          </w:p>
        </w:tc>
      </w:tr>
      <w:tr>
        <w:trPr>
          <w:trHeight w:val="222"/>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Operating Income</w:t>
            </w: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96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49.1</w:t>
            </w:r>
          </w:p>
        </w:tc>
      </w:tr>
      <w:tr>
        <w:trPr>
          <w:trHeight w:val="151"/>
        </w:trPr>
        <w:tc>
          <w:tcPr>
            <w:tcW w:w="238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ind w:left="320" w:hanging="315"/>
        <w:spacing w:after="0" w:line="234" w:lineRule="auto"/>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Primarily represents foreign exchange remeasurement gains and losses.</w:t>
      </w:r>
    </w:p>
    <w:p>
      <w:pPr>
        <w:jc w:val="both"/>
        <w:ind w:left="320" w:hanging="315"/>
        <w:spacing w:after="0" w:line="234" w:lineRule="auto"/>
        <w:tabs>
          <w:tab w:leader="none" w:pos="3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5"/>
        <w:spacing w:after="0" w:line="259" w:lineRule="auto"/>
        <w:tabs>
          <w:tab w:leader="none" w:pos="320" w:val="left"/>
        </w:tabs>
        <w:numPr>
          <w:ilvl w:val="0"/>
          <w:numId w:val="95"/>
        </w:numPr>
        <w:rPr>
          <w:rFonts w:ascii="Arial" w:cs="Arial" w:eastAsia="Arial" w:hAnsi="Arial"/>
          <w:sz w:val="13"/>
          <w:szCs w:val="13"/>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year ended December 31, 2019, this expense related primarily to the acquisition of Pre-Acquisition ZI, including professional fees, severance and acceleration of payments for terminated employees, and accretion related to deferred consideration. For the year ended December 31, 2018, this expense related primarily to Carlyle’s investment in us. For the three months ended March 31, 2020, this expense related primarily to professional fees for the preparation for an initial public offering. For the three months ended March 31, 2019, this expense related primarily to the acquisition of Pre-Acquisition ZI, including professional fees, severance, and acceleration of payments for terminated employees.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240"/>
          </w:cols>
          <w:pgMar w:left="320" w:top="337" w:right="339" w:bottom="1440" w:gutter="0" w:footer="0" w:header="0"/>
        </w:sectPr>
      </w:pPr>
    </w:p>
    <w:bookmarkStart w:id="140" w:name="page141"/>
    <w:bookmarkEnd w:id="140"/>
    <w:p>
      <w:pPr>
        <w:jc w:val="both"/>
        <w:ind w:left="320" w:hanging="315"/>
        <w:spacing w:after="0" w:line="282" w:lineRule="auto"/>
        <w:tabs>
          <w:tab w:leader="none" w:pos="3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Represents costs directly associated with integration activities for acquisitions and acquisition-related compensation, which includes transaction bonuses and retention awards. For the year ended December 31, 2019, this expense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expense incurred for retention awards granted upon the Company’s acquisitions of RainKing, NeverBounce, and Komiko. For the year ended December 31, 2018, this expense related primarily to retention awards granted upon our acquisition of RainKing and transaction bonuses paid upon Carlyle’s investment in us. For the three months ended March 31, 2020, this expense related primarily to cash vesting payments from the acquisition of Pre-Acquisition ZI (see Note 4 – Business Combinations to our consolidated financial statements included elsewhere in this prospectus). For the three months ended March 31, 2019, this expense related primarily to activities resulting from the acquisition of Pre-Acquisition ZI, including cash vesting payments (see Note 4 – Business Combinations to our consolidated financial statements included elsewhere in this prospectus) and transaction bonuses, as well as expense incurred for retention awards granted upon the Company’s acquisitions of RainKing and NeverBounce. This expense is included in cost of service, sales and marketing expense, research and development expense, and general and administrative expense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7"/>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5"/>
          </w:tcPr>
          <w:p>
            <w:pPr>
              <w:ind w:left="40"/>
              <w:spacing w:after="0"/>
              <w:rPr>
                <w:sz w:val="20"/>
                <w:szCs w:val="20"/>
                <w:color w:val="auto"/>
              </w:rPr>
            </w:pPr>
            <w:r>
              <w:rPr>
                <w:rFonts w:ascii="Arial" w:cs="Arial" w:eastAsia="Arial" w:hAnsi="Arial"/>
                <w:sz w:val="10"/>
                <w:szCs w:val="10"/>
                <w:b w:val="1"/>
                <w:bCs w:val="1"/>
                <w:color w:val="auto"/>
              </w:rPr>
              <w:t>March 31, 2018</w:t>
            </w:r>
          </w:p>
        </w:tc>
        <w:tc>
          <w:tcPr>
            <w:tcW w:w="8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0"/>
                <w:szCs w:val="10"/>
                <w:b w:val="1"/>
                <w:bCs w:val="1"/>
                <w:color w:val="auto"/>
              </w:rPr>
              <w:t>June 30,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0"/>
                <w:szCs w:val="10"/>
                <w:b w:val="1"/>
                <w:bCs w:val="1"/>
                <w:color w:val="auto"/>
              </w:rPr>
              <w:t>September 30, 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0"/>
                <w:szCs w:val="10"/>
                <w:b w:val="1"/>
                <w:bCs w:val="1"/>
                <w:color w:val="auto"/>
                <w:w w:val="91"/>
              </w:rPr>
              <w:t>December 31, 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rPr>
              <w:t>March 31, 2019</w:t>
            </w:r>
          </w:p>
        </w:tc>
        <w:tc>
          <w:tcPr>
            <w:tcW w:w="100" w:type="dxa"/>
            <w:vAlign w:val="bottom"/>
          </w:tcPr>
          <w:p>
            <w:pPr>
              <w:spacing w:after="0"/>
              <w:rPr>
                <w:sz w:val="20"/>
                <w:szCs w:val="20"/>
                <w:color w:val="auto"/>
              </w:rPr>
            </w:pPr>
          </w:p>
        </w:tc>
        <w:tc>
          <w:tcPr>
            <w:tcW w:w="760" w:type="dxa"/>
            <w:vAlign w:val="bottom"/>
            <w:gridSpan w:val="3"/>
          </w:tcPr>
          <w:p>
            <w:pPr>
              <w:ind w:left="80"/>
              <w:spacing w:after="0"/>
              <w:rPr>
                <w:sz w:val="20"/>
                <w:szCs w:val="20"/>
                <w:color w:val="auto"/>
              </w:rPr>
            </w:pPr>
            <w:r>
              <w:rPr>
                <w:rFonts w:ascii="Arial" w:cs="Arial" w:eastAsia="Arial" w:hAnsi="Arial"/>
                <w:sz w:val="10"/>
                <w:szCs w:val="10"/>
                <w:b w:val="1"/>
                <w:bCs w:val="1"/>
                <w:color w:val="auto"/>
              </w:rPr>
              <w:t>June 30, 2019</w:t>
            </w:r>
          </w:p>
        </w:tc>
        <w:tc>
          <w:tcPr>
            <w:tcW w:w="100" w:type="dxa"/>
            <w:vAlign w:val="bottom"/>
          </w:tcPr>
          <w:p>
            <w:pPr>
              <w:spacing w:after="0"/>
              <w:rPr>
                <w:sz w:val="20"/>
                <w:szCs w:val="20"/>
                <w:color w:val="auto"/>
              </w:rPr>
            </w:pPr>
          </w:p>
        </w:tc>
        <w:tc>
          <w:tcPr>
            <w:tcW w:w="1100" w:type="dxa"/>
            <w:vAlign w:val="bottom"/>
            <w:gridSpan w:val="5"/>
          </w:tcPr>
          <w:p>
            <w:pPr>
              <w:ind w:left="6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5"/>
          </w:tcPr>
          <w:p>
            <w:pPr>
              <w:ind w:left="8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w w:val="98"/>
              </w:rPr>
              <w:t>March 31, 2020</w:t>
            </w: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ind w:left="4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Cost of service</w:t>
            </w:r>
          </w:p>
        </w:tc>
        <w:tc>
          <w:tcPr>
            <w:tcW w:w="2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0.1</w:t>
            </w: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57"/>
        </w:trPr>
        <w:tc>
          <w:tcPr>
            <w:tcW w:w="2340" w:type="dxa"/>
            <w:vAlign w:val="bottom"/>
            <w:gridSpan w:val="2"/>
          </w:tcPr>
          <w:p>
            <w:pPr>
              <w:ind w:left="40"/>
              <w:spacing w:after="0"/>
              <w:rPr>
                <w:sz w:val="20"/>
                <w:szCs w:val="20"/>
                <w:color w:val="auto"/>
              </w:rPr>
            </w:pPr>
            <w:r>
              <w:rPr>
                <w:rFonts w:ascii="Arial" w:cs="Arial" w:eastAsia="Arial" w:hAnsi="Arial"/>
                <w:sz w:val="14"/>
                <w:szCs w:val="14"/>
                <w:color w:val="auto"/>
              </w:rPr>
              <w:t>Sales and marketing</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7"/>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0.8</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7"/>
        </w:trPr>
        <w:tc>
          <w:tcPr>
            <w:tcW w:w="2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General and administrative</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0.6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7"/>
        </w:trPr>
        <w:tc>
          <w:tcPr>
            <w:tcW w:w="2340" w:type="dxa"/>
            <w:vAlign w:val="bottom"/>
            <w:gridSpan w:val="2"/>
            <w:shd w:val="clear" w:color="auto" w:fill="CCEEFF"/>
          </w:tcPr>
          <w:p>
            <w:pPr>
              <w:ind w:left="160"/>
              <w:spacing w:after="0" w:line="137" w:lineRule="exact"/>
              <w:rPr>
                <w:sz w:val="20"/>
                <w:szCs w:val="20"/>
                <w:color w:val="auto"/>
              </w:rPr>
            </w:pPr>
            <w:r>
              <w:rPr>
                <w:rFonts w:ascii="Arial" w:cs="Arial" w:eastAsia="Arial" w:hAnsi="Arial"/>
                <w:sz w:val="14"/>
                <w:szCs w:val="14"/>
                <w:color w:val="auto"/>
                <w:w w:val="90"/>
              </w:rPr>
              <w:t>Total integration costs and acquisition-</w:t>
            </w:r>
          </w:p>
        </w:tc>
        <w:tc>
          <w:tcPr>
            <w:tcW w:w="26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1"/>
                <w:szCs w:val="11"/>
                <w:color w:val="auto"/>
              </w:rPr>
            </w:pPr>
          </w:p>
        </w:tc>
        <w:tc>
          <w:tcPr>
            <w:tcW w:w="420" w:type="dxa"/>
            <w:vAlign w:val="bottom"/>
            <w:gridSpan w:val="3"/>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1"/>
                <w:szCs w:val="1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360" w:type="dxa"/>
            <w:vAlign w:val="bottom"/>
            <w:gridSpan w:val="4"/>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1"/>
                <w:szCs w:val="11"/>
                <w:color w:val="auto"/>
              </w:rPr>
            </w:pPr>
          </w:p>
        </w:tc>
        <w:tc>
          <w:tcPr>
            <w:tcW w:w="2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shd w:val="clear" w:color="auto" w:fill="CCEEFF"/>
          </w:tcPr>
          <w:p>
            <w:pPr>
              <w:ind w:left="320"/>
              <w:spacing w:after="0"/>
              <w:rPr>
                <w:sz w:val="20"/>
                <w:szCs w:val="20"/>
                <w:color w:val="auto"/>
              </w:rPr>
            </w:pPr>
            <w:r>
              <w:rPr>
                <w:rFonts w:ascii="Arial" w:cs="Arial" w:eastAsia="Arial" w:hAnsi="Arial"/>
                <w:sz w:val="14"/>
                <w:szCs w:val="14"/>
                <w:color w:val="auto"/>
              </w:rPr>
              <w:t>5.8</w:t>
            </w:r>
          </w:p>
        </w:tc>
        <w:tc>
          <w:tcPr>
            <w:tcW w:w="38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6"/>
        </w:trPr>
        <w:tc>
          <w:tcPr>
            <w:tcW w:w="23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related compensation</w:t>
            </w:r>
          </w:p>
        </w:tc>
        <w:tc>
          <w:tcPr>
            <w:tcW w:w="260" w:type="dxa"/>
            <w:vAlign w:val="bottom"/>
            <w:gridSpan w:val="2"/>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360" w:type="dxa"/>
            <w:vAlign w:val="bottom"/>
            <w:gridSpan w:val="4"/>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7"/>
          </w:tcPr>
          <w:p>
            <w:pPr>
              <w:jc w:val="right"/>
              <w:ind w:right="60"/>
              <w:spacing w:after="0"/>
              <w:rPr>
                <w:sz w:val="20"/>
                <w:szCs w:val="20"/>
                <w:color w:val="auto"/>
              </w:rPr>
            </w:pPr>
            <w:r>
              <w:rPr>
                <w:rFonts w:ascii="Arial" w:cs="Arial" w:eastAsia="Arial" w:hAnsi="Arial"/>
                <w:sz w:val="10"/>
                <w:szCs w:val="10"/>
                <w:b w:val="1"/>
                <w:bCs w:val="1"/>
                <w:color w:val="auto"/>
                <w:w w:val="94"/>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6"/>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4"/>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860" w:type="dxa"/>
            <w:vAlign w:val="bottom"/>
            <w:tcBorders>
              <w:bottom w:val="single" w:sz="8" w:color="auto"/>
            </w:tcBorders>
            <w:gridSpan w:val="4"/>
          </w:tcPr>
          <w:p>
            <w:pPr>
              <w:spacing w:after="0" w:line="20" w:lineRule="exact"/>
              <w:rPr>
                <w:sz w:val="1"/>
                <w:szCs w:val="1"/>
                <w:color w:val="auto"/>
              </w:rPr>
            </w:pPr>
          </w:p>
        </w:tc>
        <w:tc>
          <w:tcPr>
            <w:tcW w:w="1200" w:type="dxa"/>
            <w:vAlign w:val="bottom"/>
            <w:tcBorders>
              <w:bottom w:val="single" w:sz="8" w:color="auto"/>
            </w:tcBorders>
            <w:gridSpan w:val="6"/>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6"/>
          </w:tcPr>
          <w:p>
            <w:pPr>
              <w:ind w:left="20"/>
              <w:spacing w:after="0"/>
              <w:rPr>
                <w:sz w:val="20"/>
                <w:szCs w:val="20"/>
                <w:color w:val="auto"/>
              </w:rPr>
            </w:pPr>
            <w:r>
              <w:rPr>
                <w:rFonts w:ascii="Arial" w:cs="Arial" w:eastAsia="Arial" w:hAnsi="Arial"/>
                <w:sz w:val="10"/>
                <w:szCs w:val="10"/>
                <w:b w:val="1"/>
                <w:bCs w:val="1"/>
                <w:color w:val="auto"/>
              </w:rPr>
              <w:t>March 31, 2018</w:t>
            </w:r>
          </w:p>
        </w:tc>
        <w:tc>
          <w:tcPr>
            <w:tcW w:w="800" w:type="dxa"/>
            <w:vAlign w:val="bottom"/>
            <w:gridSpan w:val="3"/>
          </w:tcPr>
          <w:p>
            <w:pPr>
              <w:spacing w:after="0"/>
              <w:rPr>
                <w:sz w:val="20"/>
                <w:szCs w:val="20"/>
                <w:color w:val="auto"/>
              </w:rPr>
            </w:pPr>
            <w:r>
              <w:rPr>
                <w:rFonts w:ascii="Arial" w:cs="Arial" w:eastAsia="Arial" w:hAnsi="Arial"/>
                <w:sz w:val="10"/>
                <w:szCs w:val="10"/>
                <w:b w:val="1"/>
                <w:bCs w:val="1"/>
                <w:color w:val="auto"/>
              </w:rPr>
              <w:t>June 30, 2018</w:t>
            </w:r>
          </w:p>
        </w:tc>
        <w:tc>
          <w:tcPr>
            <w:tcW w:w="20" w:type="dxa"/>
            <w:vAlign w:val="bottom"/>
          </w:tcPr>
          <w:p>
            <w:pPr>
              <w:spacing w:after="0"/>
              <w:rPr>
                <w:sz w:val="20"/>
                <w:szCs w:val="20"/>
                <w:color w:val="auto"/>
              </w:rPr>
            </w:pPr>
          </w:p>
        </w:tc>
        <w:tc>
          <w:tcPr>
            <w:tcW w:w="1120" w:type="dxa"/>
            <w:vAlign w:val="bottom"/>
            <w:gridSpan w:val="4"/>
          </w:tcPr>
          <w:p>
            <w:pPr>
              <w:ind w:left="80"/>
              <w:spacing w:after="0"/>
              <w:rPr>
                <w:sz w:val="20"/>
                <w:szCs w:val="20"/>
                <w:color w:val="auto"/>
              </w:rPr>
            </w:pPr>
            <w:r>
              <w:rPr>
                <w:rFonts w:ascii="Arial" w:cs="Arial" w:eastAsia="Arial" w:hAnsi="Arial"/>
                <w:sz w:val="10"/>
                <w:szCs w:val="10"/>
                <w:b w:val="1"/>
                <w:bCs w:val="1"/>
                <w:color w:val="auto"/>
              </w:rPr>
              <w:t>September 30, 2018</w:t>
            </w:r>
          </w:p>
        </w:tc>
        <w:tc>
          <w:tcPr>
            <w:tcW w:w="10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rPr>
              <w:t>December 31, 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5"/>
          </w:tcPr>
          <w:p>
            <w:pPr>
              <w:ind w:left="20"/>
              <w:spacing w:after="0"/>
              <w:rPr>
                <w:sz w:val="20"/>
                <w:szCs w:val="20"/>
                <w:color w:val="auto"/>
              </w:rPr>
            </w:pPr>
            <w:r>
              <w:rPr>
                <w:rFonts w:ascii="Arial" w:cs="Arial" w:eastAsia="Arial" w:hAnsi="Arial"/>
                <w:sz w:val="10"/>
                <w:szCs w:val="10"/>
                <w:b w:val="1"/>
                <w:bCs w:val="1"/>
                <w:color w:val="auto"/>
              </w:rPr>
              <w:t>March 31, 2019</w:t>
            </w:r>
          </w:p>
        </w:tc>
        <w:tc>
          <w:tcPr>
            <w:tcW w:w="860" w:type="dxa"/>
            <w:vAlign w:val="bottom"/>
            <w:gridSpan w:val="4"/>
          </w:tcPr>
          <w:p>
            <w:pPr>
              <w:ind w:left="40"/>
              <w:spacing w:after="0"/>
              <w:rPr>
                <w:sz w:val="20"/>
                <w:szCs w:val="20"/>
                <w:color w:val="auto"/>
              </w:rPr>
            </w:pPr>
            <w:r>
              <w:rPr>
                <w:rFonts w:ascii="Arial" w:cs="Arial" w:eastAsia="Arial" w:hAnsi="Arial"/>
                <w:sz w:val="10"/>
                <w:szCs w:val="10"/>
                <w:b w:val="1"/>
                <w:bCs w:val="1"/>
                <w:color w:val="auto"/>
              </w:rPr>
              <w:t>June 30, 2019</w:t>
            </w:r>
          </w:p>
        </w:tc>
        <w:tc>
          <w:tcPr>
            <w:tcW w:w="1200" w:type="dxa"/>
            <w:vAlign w:val="bottom"/>
            <w:gridSpan w:val="6"/>
          </w:tcPr>
          <w:p>
            <w:pPr>
              <w:ind w:left="8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5"/>
          </w:tcPr>
          <w:p>
            <w:pPr>
              <w:ind w:left="2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gridSpan w:val="2"/>
          </w:tcPr>
          <w:p>
            <w:pPr>
              <w:jc w:val="right"/>
              <w:spacing w:after="0"/>
              <w:rPr>
                <w:sz w:val="20"/>
                <w:szCs w:val="20"/>
                <w:color w:val="auto"/>
              </w:rPr>
            </w:pPr>
            <w:r>
              <w:rPr>
                <w:rFonts w:ascii="Arial" w:cs="Arial" w:eastAsia="Arial" w:hAnsi="Arial"/>
                <w:sz w:val="10"/>
                <w:szCs w:val="10"/>
                <w:b w:val="1"/>
                <w:bCs w:val="1"/>
                <w:color w:val="auto"/>
                <w:w w:val="95"/>
              </w:rPr>
              <w:t>March 31, 2020</w:t>
            </w: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Operating Income</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17.7</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23.5</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47.2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314"/>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Revenue</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31.5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40.8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54.6</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79.1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91.1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102.2</w:t>
            </w:r>
          </w:p>
        </w:tc>
        <w:tc>
          <w:tcPr>
            <w:tcW w:w="0" w:type="dxa"/>
            <w:vAlign w:val="bottom"/>
          </w:tcPr>
          <w:p>
            <w:pPr>
              <w:spacing w:after="0"/>
              <w:rPr>
                <w:sz w:val="1"/>
                <w:szCs w:val="1"/>
                <w:color w:val="auto"/>
              </w:rPr>
            </w:pPr>
          </w:p>
        </w:tc>
      </w:tr>
      <w:tr>
        <w:trPr>
          <w:trHeight w:val="152"/>
        </w:trPr>
        <w:tc>
          <w:tcPr>
            <w:tcW w:w="2340" w:type="dxa"/>
            <w:vAlign w:val="bottom"/>
            <w:gridSpan w:val="2"/>
          </w:tcPr>
          <w:p>
            <w:pPr>
              <w:ind w:left="160"/>
              <w:spacing w:after="0" w:line="152" w:lineRule="exact"/>
              <w:rPr>
                <w:sz w:val="20"/>
                <w:szCs w:val="20"/>
                <w:color w:val="auto"/>
              </w:rPr>
            </w:pPr>
            <w:r>
              <w:rPr>
                <w:rFonts w:ascii="Arial" w:cs="Arial" w:eastAsia="Arial" w:hAnsi="Arial"/>
                <w:sz w:val="14"/>
                <w:szCs w:val="14"/>
                <w:color w:val="auto"/>
              </w:rPr>
              <w:t>Impact of fair value adjustments to</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40" w:type="dxa"/>
            <w:vAlign w:val="bottom"/>
            <w:gridSpan w:val="2"/>
          </w:tcPr>
          <w:p>
            <w:pPr>
              <w:ind w:left="320"/>
              <w:spacing w:after="0"/>
              <w:rPr>
                <w:sz w:val="20"/>
                <w:szCs w:val="20"/>
                <w:color w:val="auto"/>
              </w:rPr>
            </w:pPr>
            <w:r>
              <w:rPr>
                <w:rFonts w:ascii="Arial" w:cs="Arial" w:eastAsia="Arial" w:hAnsi="Arial"/>
                <w:sz w:val="14"/>
                <w:szCs w:val="14"/>
                <w:color w:val="auto"/>
              </w:rPr>
              <w:t>acquired unearned revenue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7"/>
        </w:trPr>
        <w:tc>
          <w:tcPr>
            <w:tcW w:w="2320" w:type="dxa"/>
            <w:vAlign w:val="bottom"/>
            <w:tcBorders>
              <w:top w:val="single" w:sz="8" w:color="CCEEFF"/>
            </w:tcBorders>
            <w:shd w:val="clear" w:color="auto" w:fill="CCEEFF"/>
          </w:tcPr>
          <w:p>
            <w:pPr>
              <w:ind w:left="160"/>
              <w:spacing w:after="0" w:line="137" w:lineRule="exact"/>
              <w:rPr>
                <w:sz w:val="20"/>
                <w:szCs w:val="20"/>
                <w:color w:val="auto"/>
              </w:rPr>
            </w:pPr>
            <w:r>
              <w:rPr>
                <w:rFonts w:ascii="Arial" w:cs="Arial" w:eastAsia="Arial" w:hAnsi="Arial"/>
                <w:sz w:val="14"/>
                <w:szCs w:val="14"/>
                <w:color w:val="auto"/>
              </w:rPr>
              <w:t>Revenue for adjusted operating</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3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margin calculation</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41.2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87.2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96.1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52"/>
        </w:trPr>
        <w:tc>
          <w:tcPr>
            <w:tcW w:w="2340" w:type="dxa"/>
            <w:vAlign w:val="bottom"/>
            <w:gridSpan w:val="2"/>
          </w:tcPr>
          <w:p>
            <w:pPr>
              <w:ind w:left="160"/>
              <w:spacing w:after="0"/>
              <w:rPr>
                <w:sz w:val="20"/>
                <w:szCs w:val="20"/>
                <w:color w:val="auto"/>
              </w:rPr>
            </w:pPr>
            <w:r>
              <w:rPr>
                <w:rFonts w:ascii="Arial" w:cs="Arial" w:eastAsia="Arial" w:hAnsi="Arial"/>
                <w:sz w:val="14"/>
                <w:szCs w:val="14"/>
                <w:i w:val="1"/>
                <w:iCs w:val="1"/>
                <w:color w:val="auto"/>
                <w:w w:val="99"/>
              </w:rPr>
              <w:t>Adjusted Operating Income Margin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auto"/>
                <w:w w:val="95"/>
              </w:rPr>
              <w:t>52.1%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538"/>
        </w:trPr>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95"/>
              </w:rPr>
              <w:t>As of</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1100" w:type="dxa"/>
            <w:vAlign w:val="bottom"/>
            <w:tcBorders>
              <w:bottom w:val="single" w:sz="8" w:color="auto"/>
            </w:tcBorders>
            <w:gridSpan w:val="5"/>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5"/>
          </w:tcPr>
          <w:p>
            <w:pPr>
              <w:ind w:left="40"/>
              <w:spacing w:after="0"/>
              <w:rPr>
                <w:sz w:val="20"/>
                <w:szCs w:val="20"/>
                <w:color w:val="auto"/>
              </w:rPr>
            </w:pPr>
            <w:r>
              <w:rPr>
                <w:rFonts w:ascii="Arial" w:cs="Arial" w:eastAsia="Arial" w:hAnsi="Arial"/>
                <w:sz w:val="10"/>
                <w:szCs w:val="10"/>
                <w:b w:val="1"/>
                <w:bCs w:val="1"/>
                <w:color w:val="auto"/>
              </w:rPr>
              <w:t>March 31, 2018</w:t>
            </w:r>
          </w:p>
        </w:tc>
        <w:tc>
          <w:tcPr>
            <w:tcW w:w="8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0"/>
                <w:szCs w:val="10"/>
                <w:b w:val="1"/>
                <w:bCs w:val="1"/>
                <w:color w:val="auto"/>
              </w:rPr>
              <w:t>June 30,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0"/>
                <w:szCs w:val="10"/>
                <w:b w:val="1"/>
                <w:bCs w:val="1"/>
                <w:color w:val="auto"/>
              </w:rPr>
              <w:t>September 30, 2018</w:t>
            </w:r>
          </w:p>
        </w:tc>
        <w:tc>
          <w:tcPr>
            <w:tcW w:w="12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99"/>
              </w:rPr>
              <w:t>December 31, 2018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4"/>
          </w:tcPr>
          <w:p>
            <w:pPr>
              <w:ind w:left="20"/>
              <w:spacing w:after="0"/>
              <w:rPr>
                <w:sz w:val="20"/>
                <w:szCs w:val="20"/>
                <w:color w:val="auto"/>
              </w:rPr>
            </w:pPr>
            <w:r>
              <w:rPr>
                <w:rFonts w:ascii="Arial" w:cs="Arial" w:eastAsia="Arial" w:hAnsi="Arial"/>
                <w:sz w:val="10"/>
                <w:szCs w:val="10"/>
                <w:b w:val="1"/>
                <w:bCs w:val="1"/>
                <w:color w:val="auto"/>
              </w:rPr>
              <w:t>March 31, 2019</w:t>
            </w:r>
          </w:p>
        </w:tc>
        <w:tc>
          <w:tcPr>
            <w:tcW w:w="100" w:type="dxa"/>
            <w:vAlign w:val="bottom"/>
          </w:tcPr>
          <w:p>
            <w:pPr>
              <w:spacing w:after="0"/>
              <w:rPr>
                <w:sz w:val="20"/>
                <w:szCs w:val="20"/>
                <w:color w:val="auto"/>
              </w:rPr>
            </w:pPr>
          </w:p>
        </w:tc>
        <w:tc>
          <w:tcPr>
            <w:tcW w:w="760" w:type="dxa"/>
            <w:vAlign w:val="bottom"/>
            <w:gridSpan w:val="3"/>
          </w:tcPr>
          <w:p>
            <w:pPr>
              <w:ind w:left="60"/>
              <w:spacing w:after="0"/>
              <w:rPr>
                <w:sz w:val="20"/>
                <w:szCs w:val="20"/>
                <w:color w:val="auto"/>
              </w:rPr>
            </w:pPr>
            <w:r>
              <w:rPr>
                <w:rFonts w:ascii="Arial" w:cs="Arial" w:eastAsia="Arial" w:hAnsi="Arial"/>
                <w:sz w:val="10"/>
                <w:szCs w:val="10"/>
                <w:b w:val="1"/>
                <w:bCs w:val="1"/>
                <w:color w:val="auto"/>
              </w:rPr>
              <w:t>June 30, 2019</w:t>
            </w:r>
          </w:p>
        </w:tc>
        <w:tc>
          <w:tcPr>
            <w:tcW w:w="100" w:type="dxa"/>
            <w:vAlign w:val="bottom"/>
          </w:tcPr>
          <w:p>
            <w:pPr>
              <w:spacing w:after="0"/>
              <w:rPr>
                <w:sz w:val="20"/>
                <w:szCs w:val="20"/>
                <w:color w:val="auto"/>
              </w:rPr>
            </w:pPr>
          </w:p>
        </w:tc>
        <w:tc>
          <w:tcPr>
            <w:tcW w:w="1100" w:type="dxa"/>
            <w:vAlign w:val="bottom"/>
            <w:gridSpan w:val="5"/>
          </w:tcPr>
          <w:p>
            <w:pPr>
              <w:ind w:left="40"/>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gridSpan w:val="5"/>
          </w:tcPr>
          <w:p>
            <w:pPr>
              <w:ind w:left="60"/>
              <w:spacing w:after="0"/>
              <w:rPr>
                <w:sz w:val="20"/>
                <w:szCs w:val="20"/>
                <w:color w:val="auto"/>
              </w:rPr>
            </w:pPr>
            <w:r>
              <w:rPr>
                <w:rFonts w:ascii="Arial" w:cs="Arial" w:eastAsia="Arial" w:hAnsi="Arial"/>
                <w:sz w:val="10"/>
                <w:szCs w:val="10"/>
                <w:b w:val="1"/>
                <w:bCs w:val="1"/>
                <w:color w:val="auto"/>
              </w:rPr>
              <w:t>December 31, 2019</w:t>
            </w:r>
          </w:p>
        </w:tc>
        <w:tc>
          <w:tcPr>
            <w:tcW w:w="760" w:type="dxa"/>
            <w:vAlign w:val="bottom"/>
            <w:gridSpan w:val="2"/>
          </w:tcPr>
          <w:p>
            <w:pPr>
              <w:ind w:left="40"/>
              <w:spacing w:after="0"/>
              <w:rPr>
                <w:sz w:val="20"/>
                <w:szCs w:val="20"/>
                <w:color w:val="auto"/>
              </w:rPr>
            </w:pPr>
            <w:r>
              <w:rPr>
                <w:rFonts w:ascii="Arial" w:cs="Arial" w:eastAsia="Arial" w:hAnsi="Arial"/>
                <w:sz w:val="10"/>
                <w:szCs w:val="10"/>
                <w:b w:val="1"/>
                <w:bCs w:val="1"/>
                <w:color w:val="auto"/>
                <w:w w:val="98"/>
              </w:rPr>
              <w:t>March 31, 2020</w:t>
            </w:r>
          </w:p>
        </w:tc>
        <w:tc>
          <w:tcPr>
            <w:tcW w:w="0" w:type="dxa"/>
            <w:vAlign w:val="bottom"/>
          </w:tcPr>
          <w:p>
            <w:pPr>
              <w:spacing w:after="0"/>
              <w:rPr>
                <w:sz w:val="1"/>
                <w:szCs w:val="1"/>
                <w:color w:val="auto"/>
              </w:rPr>
            </w:pPr>
          </w:p>
        </w:tc>
      </w:tr>
      <w:tr>
        <w:trPr>
          <w:trHeight w:val="22"/>
        </w:trPr>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4"/>
          </w:tcPr>
          <w:p>
            <w:pPr>
              <w:ind w:left="4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57"/>
        </w:trPr>
        <w:tc>
          <w:tcPr>
            <w:tcW w:w="2340" w:type="dxa"/>
            <w:vAlign w:val="bottom"/>
            <w:gridSpan w:val="2"/>
          </w:tcPr>
          <w:p>
            <w:pPr>
              <w:ind w:left="40"/>
              <w:spacing w:after="0"/>
              <w:rPr>
                <w:sz w:val="20"/>
                <w:szCs w:val="20"/>
                <w:color w:val="auto"/>
              </w:rPr>
            </w:pPr>
            <w:r>
              <w:rPr>
                <w:rFonts w:ascii="Arial" w:cs="Arial" w:eastAsia="Arial" w:hAnsi="Arial"/>
                <w:sz w:val="14"/>
                <w:szCs w:val="14"/>
                <w:color w:val="auto"/>
              </w:rPr>
              <w:t>Total assets</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579.0</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578.3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1,542.2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8"/>
              </w:rPr>
              <w:t>1,508.0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1,507.1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1,561.9</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1,577.9</w:t>
            </w:r>
          </w:p>
        </w:tc>
        <w:tc>
          <w:tcPr>
            <w:tcW w:w="0" w:type="dxa"/>
            <w:vAlign w:val="bottom"/>
          </w:tcPr>
          <w:p>
            <w:pPr>
              <w:spacing w:after="0"/>
              <w:rPr>
                <w:sz w:val="1"/>
                <w:szCs w:val="1"/>
                <w:color w:val="auto"/>
              </w:rPr>
            </w:pPr>
          </w:p>
        </w:tc>
      </w:tr>
      <w:tr>
        <w:trPr>
          <w:trHeight w:val="157"/>
        </w:trPr>
        <w:tc>
          <w:tcPr>
            <w:tcW w:w="234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Long-term debt (including current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portion)</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1,205.3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1,238.8</w:t>
            </w:r>
          </w:p>
        </w:tc>
        <w:tc>
          <w:tcPr>
            <w:tcW w:w="0" w:type="dxa"/>
            <w:vAlign w:val="bottom"/>
          </w:tcPr>
          <w:p>
            <w:pPr>
              <w:spacing w:after="0"/>
              <w:rPr>
                <w:sz w:val="1"/>
                <w:szCs w:val="1"/>
                <w:color w:val="auto"/>
              </w:rPr>
            </w:pPr>
          </w:p>
        </w:tc>
      </w:tr>
      <w:tr>
        <w:trPr>
          <w:trHeight w:val="152"/>
        </w:trPr>
        <w:tc>
          <w:tcPr>
            <w:tcW w:w="2340" w:type="dxa"/>
            <w:vAlign w:val="bottom"/>
            <w:gridSpan w:val="2"/>
          </w:tcPr>
          <w:p>
            <w:pPr>
              <w:ind w:left="40"/>
              <w:spacing w:after="0" w:line="152" w:lineRule="exact"/>
              <w:rPr>
                <w:sz w:val="20"/>
                <w:szCs w:val="20"/>
                <w:color w:val="auto"/>
              </w:rPr>
            </w:pPr>
            <w:r>
              <w:rPr>
                <w:rFonts w:ascii="Arial" w:cs="Arial" w:eastAsia="Arial" w:hAnsi="Arial"/>
                <w:sz w:val="14"/>
                <w:szCs w:val="14"/>
                <w:color w:val="auto"/>
              </w:rPr>
              <w:t>Unearned revenue (including current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40" w:type="dxa"/>
            <w:vAlign w:val="bottom"/>
            <w:gridSpan w:val="2"/>
          </w:tcPr>
          <w:p>
            <w:pPr>
              <w:ind w:left="180"/>
              <w:spacing w:after="0"/>
              <w:rPr>
                <w:sz w:val="20"/>
                <w:szCs w:val="20"/>
                <w:color w:val="auto"/>
              </w:rPr>
            </w:pPr>
            <w:r>
              <w:rPr>
                <w:rFonts w:ascii="Arial" w:cs="Arial" w:eastAsia="Arial" w:hAnsi="Arial"/>
                <w:sz w:val="14"/>
                <w:szCs w:val="14"/>
                <w:color w:val="auto"/>
              </w:rPr>
              <w:t>portion)</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105.3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267"/>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1,503.6</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1,508.5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1,575.5</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1,597.8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330"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60" w:type="dxa"/>
            <w:vAlign w:val="bottom"/>
          </w:tcPr>
          <w:p>
            <w:pPr>
              <w:jc w:val="right"/>
              <w:ind w:right="15"/>
              <w:spacing w:after="0"/>
              <w:rPr>
                <w:sz w:val="20"/>
                <w:szCs w:val="20"/>
                <w:color w:val="auto"/>
              </w:rPr>
            </w:pPr>
            <w:r>
              <w:rPr>
                <w:rFonts w:ascii="Arial" w:cs="Arial" w:eastAsia="Arial" w:hAnsi="Arial"/>
                <w:sz w:val="10"/>
                <w:szCs w:val="10"/>
                <w:b w:val="1"/>
                <w:bCs w:val="1"/>
                <w:color w:val="auto"/>
                <w:w w:val="97"/>
              </w:rPr>
              <w:t>Three Months Ended</w:t>
            </w:r>
          </w:p>
        </w:tc>
        <w:tc>
          <w:tcPr>
            <w:tcW w:w="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2"/>
        </w:trPr>
        <w:tc>
          <w:tcPr>
            <w:tcW w:w="2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4"/>
        </w:trPr>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60" w:type="dxa"/>
            <w:vAlign w:val="bottom"/>
          </w:tcPr>
          <w:p>
            <w:pPr>
              <w:jc w:val="right"/>
              <w:ind w:right="92"/>
              <w:spacing w:after="0"/>
              <w:rPr>
                <w:sz w:val="20"/>
                <w:szCs w:val="20"/>
                <w:color w:val="auto"/>
              </w:rPr>
            </w:pPr>
            <w:r>
              <w:rPr>
                <w:rFonts w:ascii="Arial" w:cs="Arial" w:eastAsia="Arial" w:hAnsi="Arial"/>
                <w:sz w:val="10"/>
                <w:szCs w:val="10"/>
                <w:b w:val="1"/>
                <w:bCs w:val="1"/>
                <w:color w:val="auto"/>
              </w:rPr>
              <w:t>December 31,</w:t>
            </w: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35"/>
        </w:trPr>
        <w:tc>
          <w:tcPr>
            <w:tcW w:w="2380" w:type="dxa"/>
            <w:vAlign w:val="bottom"/>
          </w:tcPr>
          <w:p>
            <w:pPr>
              <w:spacing w:after="0"/>
              <w:rPr>
                <w:sz w:val="11"/>
                <w:szCs w:val="11"/>
                <w:color w:val="auto"/>
              </w:rPr>
            </w:pPr>
          </w:p>
        </w:tc>
        <w:tc>
          <w:tcPr>
            <w:tcW w:w="880" w:type="dxa"/>
            <w:vAlign w:val="bottom"/>
          </w:tcPr>
          <w:p>
            <w:pPr>
              <w:jc w:val="right"/>
              <w:ind w:right="68"/>
              <w:spacing w:after="0"/>
              <w:rPr>
                <w:sz w:val="20"/>
                <w:szCs w:val="20"/>
                <w:color w:val="auto"/>
              </w:rPr>
            </w:pPr>
            <w:r>
              <w:rPr>
                <w:rFonts w:ascii="Arial" w:cs="Arial" w:eastAsia="Arial" w:hAnsi="Arial"/>
                <w:sz w:val="10"/>
                <w:szCs w:val="10"/>
                <w:b w:val="1"/>
                <w:bCs w:val="1"/>
                <w:color w:val="auto"/>
              </w:rPr>
              <w:t>March 31, 2018</w:t>
            </w:r>
          </w:p>
        </w:tc>
        <w:tc>
          <w:tcPr>
            <w:tcW w:w="900" w:type="dxa"/>
            <w:vAlign w:val="bottom"/>
          </w:tcPr>
          <w:p>
            <w:pPr>
              <w:jc w:val="right"/>
              <w:ind w:right="88"/>
              <w:spacing w:after="0"/>
              <w:rPr>
                <w:sz w:val="20"/>
                <w:szCs w:val="20"/>
                <w:color w:val="auto"/>
              </w:rPr>
            </w:pPr>
            <w:r>
              <w:rPr>
                <w:rFonts w:ascii="Arial" w:cs="Arial" w:eastAsia="Arial" w:hAnsi="Arial"/>
                <w:sz w:val="10"/>
                <w:szCs w:val="10"/>
                <w:b w:val="1"/>
                <w:bCs w:val="1"/>
                <w:color w:val="auto"/>
              </w:rPr>
              <w:t>June 30, 2018</w:t>
            </w:r>
          </w:p>
        </w:tc>
        <w:tc>
          <w:tcPr>
            <w:tcW w:w="1200" w:type="dxa"/>
            <w:vAlign w:val="bottom"/>
          </w:tcPr>
          <w:p>
            <w:pPr>
              <w:jc w:val="right"/>
              <w:ind w:right="128"/>
              <w:spacing w:after="0"/>
              <w:rPr>
                <w:sz w:val="20"/>
                <w:szCs w:val="20"/>
                <w:color w:val="auto"/>
              </w:rPr>
            </w:pPr>
            <w:r>
              <w:rPr>
                <w:rFonts w:ascii="Arial" w:cs="Arial" w:eastAsia="Arial" w:hAnsi="Arial"/>
                <w:sz w:val="10"/>
                <w:szCs w:val="10"/>
                <w:b w:val="1"/>
                <w:bCs w:val="1"/>
                <w:color w:val="auto"/>
              </w:rPr>
              <w:t>September 30, 2018</w:t>
            </w:r>
          </w:p>
        </w:tc>
        <w:tc>
          <w:tcPr>
            <w:tcW w:w="960" w:type="dxa"/>
            <w:vAlign w:val="bottom"/>
          </w:tcPr>
          <w:p>
            <w:pPr>
              <w:jc w:val="right"/>
              <w:ind w:right="292"/>
              <w:spacing w:after="0"/>
              <w:rPr>
                <w:sz w:val="20"/>
                <w:szCs w:val="20"/>
                <w:color w:val="auto"/>
              </w:rPr>
            </w:pPr>
            <w:r>
              <w:rPr>
                <w:rFonts w:ascii="Arial" w:cs="Arial" w:eastAsia="Arial" w:hAnsi="Arial"/>
                <w:sz w:val="10"/>
                <w:szCs w:val="10"/>
                <w:b w:val="1"/>
                <w:bCs w:val="1"/>
                <w:color w:val="auto"/>
              </w:rPr>
              <w:t>2018</w:t>
            </w:r>
          </w:p>
        </w:tc>
        <w:tc>
          <w:tcPr>
            <w:tcW w:w="1060" w:type="dxa"/>
            <w:vAlign w:val="bottom"/>
          </w:tcPr>
          <w:p>
            <w:pPr>
              <w:jc w:val="right"/>
              <w:ind w:right="75"/>
              <w:spacing w:after="0"/>
              <w:rPr>
                <w:sz w:val="20"/>
                <w:szCs w:val="20"/>
                <w:color w:val="auto"/>
              </w:rPr>
            </w:pPr>
            <w:r>
              <w:rPr>
                <w:rFonts w:ascii="Arial" w:cs="Arial" w:eastAsia="Arial" w:hAnsi="Arial"/>
                <w:sz w:val="10"/>
                <w:szCs w:val="10"/>
                <w:b w:val="1"/>
                <w:bCs w:val="1"/>
                <w:color w:val="auto"/>
              </w:rPr>
              <w:t>March 31, 2019</w:t>
            </w:r>
          </w:p>
        </w:tc>
        <w:tc>
          <w:tcPr>
            <w:tcW w:w="840" w:type="dxa"/>
            <w:vAlign w:val="bottom"/>
          </w:tcPr>
          <w:p>
            <w:pPr>
              <w:jc w:val="right"/>
              <w:ind w:right="68"/>
              <w:spacing w:after="0"/>
              <w:rPr>
                <w:sz w:val="20"/>
                <w:szCs w:val="20"/>
                <w:color w:val="auto"/>
              </w:rPr>
            </w:pPr>
            <w:r>
              <w:rPr>
                <w:rFonts w:ascii="Arial" w:cs="Arial" w:eastAsia="Arial" w:hAnsi="Arial"/>
                <w:sz w:val="10"/>
                <w:szCs w:val="10"/>
                <w:b w:val="1"/>
                <w:bCs w:val="1"/>
                <w:color w:val="auto"/>
              </w:rPr>
              <w:t>June 30, 2019</w:t>
            </w:r>
          </w:p>
        </w:tc>
        <w:tc>
          <w:tcPr>
            <w:tcW w:w="1100" w:type="dxa"/>
            <w:vAlign w:val="bottom"/>
          </w:tcPr>
          <w:p>
            <w:pPr>
              <w:jc w:val="right"/>
              <w:ind w:right="48"/>
              <w:spacing w:after="0"/>
              <w:rPr>
                <w:sz w:val="20"/>
                <w:szCs w:val="20"/>
                <w:color w:val="auto"/>
              </w:rPr>
            </w:pPr>
            <w:r>
              <w:rPr>
                <w:rFonts w:ascii="Arial" w:cs="Arial" w:eastAsia="Arial" w:hAnsi="Arial"/>
                <w:sz w:val="10"/>
                <w:szCs w:val="10"/>
                <w:b w:val="1"/>
                <w:bCs w:val="1"/>
                <w:color w:val="auto"/>
              </w:rPr>
              <w:t>September 30, 2019</w:t>
            </w:r>
          </w:p>
        </w:tc>
        <w:tc>
          <w:tcPr>
            <w:tcW w:w="1100" w:type="dxa"/>
            <w:vAlign w:val="bottom"/>
          </w:tcPr>
          <w:p>
            <w:pPr>
              <w:jc w:val="right"/>
              <w:ind w:right="48"/>
              <w:spacing w:after="0"/>
              <w:rPr>
                <w:sz w:val="20"/>
                <w:szCs w:val="20"/>
                <w:color w:val="auto"/>
              </w:rPr>
            </w:pPr>
            <w:r>
              <w:rPr>
                <w:rFonts w:ascii="Arial" w:cs="Arial" w:eastAsia="Arial" w:hAnsi="Arial"/>
                <w:sz w:val="10"/>
                <w:szCs w:val="10"/>
                <w:b w:val="1"/>
                <w:bCs w:val="1"/>
                <w:color w:val="auto"/>
              </w:rPr>
              <w:t>December 31, 2019</w:t>
            </w: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rPr>
              <w:t>March 31, 2020</w:t>
            </w:r>
          </w:p>
        </w:tc>
      </w:tr>
      <w:tr>
        <w:trPr>
          <w:trHeight w:val="22"/>
        </w:trPr>
        <w:tc>
          <w:tcPr>
            <w:tcW w:w="2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0"/>
        </w:trPr>
        <w:tc>
          <w:tcPr>
            <w:tcW w:w="2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jc w:val="right"/>
              <w:ind w:right="215"/>
              <w:spacing w:after="0"/>
              <w:rPr>
                <w:sz w:val="20"/>
                <w:szCs w:val="20"/>
                <w:color w:val="auto"/>
              </w:rPr>
            </w:pPr>
            <w:r>
              <w:rPr>
                <w:rFonts w:ascii="Arial" w:cs="Arial" w:eastAsia="Arial" w:hAnsi="Arial"/>
                <w:sz w:val="10"/>
                <w:szCs w:val="10"/>
                <w:b w:val="1"/>
                <w:bCs w:val="1"/>
                <w:color w:val="auto"/>
              </w:rPr>
              <w:t>(in millions)</w:t>
            </w: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
        </w:trPr>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3"/>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3"/>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activities</w:t>
            </w:r>
            <w:r>
              <w:rPr>
                <w:rFonts w:ascii="Arial" w:cs="Arial" w:eastAsia="Arial" w:hAnsi="Arial"/>
                <w:sz w:val="20"/>
                <w:szCs w:val="20"/>
                <w:color w:val="auto"/>
                <w:vertAlign w:val="superscript"/>
              </w:rPr>
              <w:t>(1)</w:t>
            </w:r>
          </w:p>
        </w:tc>
        <w:tc>
          <w:tcPr>
            <w:tcW w:w="8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11.6</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6"/>
                <w:szCs w:val="16"/>
                <w:color w:val="auto"/>
              </w:rPr>
              <w:t>13.0</w:t>
            </w: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6"/>
                <w:szCs w:val="16"/>
                <w:color w:val="auto"/>
              </w:rPr>
              <w:t>7.4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6"/>
                <w:szCs w:val="16"/>
                <w:color w:val="auto"/>
              </w:rPr>
              <w:t>14.2</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(5.3)</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18.5</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6"/>
                <w:szCs w:val="16"/>
                <w:color w:val="auto"/>
              </w:rPr>
              <w:t>17.0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28.3</w:t>
            </w:r>
          </w:p>
        </w:tc>
      </w:tr>
      <w:tr>
        <w:trPr>
          <w:trHeight w:val="213"/>
        </w:trPr>
        <w:tc>
          <w:tcPr>
            <w:tcW w:w="2380" w:type="dxa"/>
            <w:vAlign w:val="bottom"/>
          </w:tcPr>
          <w:p>
            <w:pPr>
              <w:ind w:left="40"/>
              <w:spacing w:after="0"/>
              <w:rPr>
                <w:sz w:val="20"/>
                <w:szCs w:val="20"/>
                <w:color w:val="auto"/>
              </w:rPr>
            </w:pPr>
            <w:r>
              <w:rPr>
                <w:rFonts w:ascii="Arial" w:cs="Arial" w:eastAsia="Arial" w:hAnsi="Arial"/>
                <w:sz w:val="16"/>
                <w:szCs w:val="16"/>
                <w:color w:val="auto"/>
              </w:rPr>
              <w:t>Net cash provided by (used in)</w:t>
            </w: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0"/>
        </w:trPr>
        <w:tc>
          <w:tcPr>
            <w:tcW w:w="2380" w:type="dxa"/>
            <w:vAlign w:val="bottom"/>
          </w:tcPr>
          <w:p>
            <w:pPr>
              <w:ind w:left="180"/>
              <w:spacing w:after="0"/>
              <w:rPr>
                <w:sz w:val="20"/>
                <w:szCs w:val="20"/>
                <w:color w:val="auto"/>
              </w:rPr>
            </w:pPr>
            <w:r>
              <w:rPr>
                <w:rFonts w:ascii="Arial" w:cs="Arial" w:eastAsia="Arial" w:hAnsi="Arial"/>
                <w:sz w:val="16"/>
                <w:szCs w:val="16"/>
                <w:color w:val="auto"/>
              </w:rPr>
              <w:t>investing activities</w:t>
            </w:r>
          </w:p>
        </w:tc>
        <w:tc>
          <w:tcPr>
            <w:tcW w:w="880" w:type="dxa"/>
            <w:vAlign w:val="bottom"/>
          </w:tcPr>
          <w:p>
            <w:pPr>
              <w:jc w:val="right"/>
              <w:ind w:right="88"/>
              <w:spacing w:after="0"/>
              <w:rPr>
                <w:sz w:val="20"/>
                <w:szCs w:val="20"/>
                <w:color w:val="auto"/>
              </w:rPr>
            </w:pPr>
            <w:r>
              <w:rPr>
                <w:rFonts w:ascii="Arial" w:cs="Arial" w:eastAsia="Arial" w:hAnsi="Arial"/>
                <w:sz w:val="16"/>
                <w:szCs w:val="16"/>
                <w:color w:val="auto"/>
              </w:rPr>
              <w:t>(0.9)</w:t>
            </w:r>
          </w:p>
        </w:tc>
        <w:tc>
          <w:tcPr>
            <w:tcW w:w="900" w:type="dxa"/>
            <w:vAlign w:val="bottom"/>
          </w:tcPr>
          <w:p>
            <w:pPr>
              <w:jc w:val="right"/>
              <w:ind w:right="68"/>
              <w:spacing w:after="0"/>
              <w:rPr>
                <w:sz w:val="20"/>
                <w:szCs w:val="20"/>
                <w:color w:val="auto"/>
              </w:rPr>
            </w:pPr>
            <w:r>
              <w:rPr>
                <w:rFonts w:ascii="Arial" w:cs="Arial" w:eastAsia="Arial" w:hAnsi="Arial"/>
                <w:sz w:val="16"/>
                <w:szCs w:val="16"/>
                <w:color w:val="auto"/>
              </w:rPr>
              <w:t>(1.0)</w:t>
            </w:r>
          </w:p>
        </w:tc>
        <w:tc>
          <w:tcPr>
            <w:tcW w:w="1200" w:type="dxa"/>
            <w:vAlign w:val="bottom"/>
          </w:tcPr>
          <w:p>
            <w:pPr>
              <w:jc w:val="right"/>
              <w:ind w:right="128"/>
              <w:spacing w:after="0"/>
              <w:rPr>
                <w:sz w:val="20"/>
                <w:szCs w:val="20"/>
                <w:color w:val="auto"/>
              </w:rPr>
            </w:pPr>
            <w:r>
              <w:rPr>
                <w:rFonts w:ascii="Arial" w:cs="Arial" w:eastAsia="Arial" w:hAnsi="Arial"/>
                <w:sz w:val="16"/>
                <w:szCs w:val="16"/>
                <w:color w:val="auto"/>
              </w:rPr>
              <w:t>(9.7)</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60" w:type="dxa"/>
            <w:vAlign w:val="bottom"/>
          </w:tcPr>
          <w:p>
            <w:pPr>
              <w:jc w:val="right"/>
              <w:ind w:right="95"/>
              <w:spacing w:after="0"/>
              <w:rPr>
                <w:sz w:val="20"/>
                <w:szCs w:val="20"/>
                <w:color w:val="auto"/>
              </w:rPr>
            </w:pPr>
            <w:r>
              <w:rPr>
                <w:rFonts w:ascii="Arial" w:cs="Arial" w:eastAsia="Arial" w:hAnsi="Arial"/>
                <w:sz w:val="16"/>
                <w:szCs w:val="16"/>
                <w:color w:val="auto"/>
              </w:rPr>
              <w:t>(708.6)</w:t>
            </w:r>
          </w:p>
        </w:tc>
        <w:tc>
          <w:tcPr>
            <w:tcW w:w="840" w:type="dxa"/>
            <w:vAlign w:val="bottom"/>
          </w:tcPr>
          <w:p>
            <w:pPr>
              <w:jc w:val="right"/>
              <w:ind w:right="28"/>
              <w:spacing w:after="0"/>
              <w:rPr>
                <w:sz w:val="20"/>
                <w:szCs w:val="20"/>
                <w:color w:val="auto"/>
              </w:rPr>
            </w:pPr>
            <w:r>
              <w:rPr>
                <w:rFonts w:ascii="Arial" w:cs="Arial" w:eastAsia="Arial" w:hAnsi="Arial"/>
                <w:sz w:val="16"/>
                <w:szCs w:val="16"/>
                <w:color w:val="auto"/>
              </w:rPr>
              <w:t>(12.5)</w:t>
            </w: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(3.1)</w:t>
            </w: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(12.5)</w:t>
            </w: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45"/>
        </w:trPr>
        <w:tc>
          <w:tcPr>
            <w:tcW w:w="2380" w:type="dxa"/>
            <w:vAlign w:val="bottom"/>
          </w:tcPr>
          <w:p>
            <w:pPr>
              <w:ind w:left="40"/>
              <w:spacing w:after="0"/>
              <w:rPr>
                <w:sz w:val="20"/>
                <w:szCs w:val="20"/>
                <w:color w:val="auto"/>
              </w:rPr>
            </w:pPr>
            <w:r>
              <w:rPr>
                <w:rFonts w:ascii="Arial" w:cs="Arial" w:eastAsia="Arial" w:hAnsi="Arial"/>
                <w:sz w:val="16"/>
                <w:szCs w:val="16"/>
                <w:color w:val="auto"/>
              </w:rPr>
              <w:t>Net cash provided by (used in)</w:t>
            </w: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00"/>
        </w:trPr>
        <w:tc>
          <w:tcPr>
            <w:tcW w:w="238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880" w:type="dxa"/>
            <w:vAlign w:val="bottom"/>
          </w:tcPr>
          <w:p>
            <w:pPr>
              <w:jc w:val="right"/>
              <w:ind w:right="88"/>
              <w:spacing w:after="0"/>
              <w:rPr>
                <w:sz w:val="20"/>
                <w:szCs w:val="20"/>
                <w:color w:val="auto"/>
              </w:rPr>
            </w:pPr>
            <w:r>
              <w:rPr>
                <w:rFonts w:ascii="Arial" w:cs="Arial" w:eastAsia="Arial" w:hAnsi="Arial"/>
                <w:sz w:val="16"/>
                <w:szCs w:val="16"/>
                <w:color w:val="auto"/>
              </w:rPr>
              <w:t>(15.4)</w:t>
            </w:r>
          </w:p>
        </w:tc>
        <w:tc>
          <w:tcPr>
            <w:tcW w:w="900" w:type="dxa"/>
            <w:vAlign w:val="bottom"/>
          </w:tcPr>
          <w:p>
            <w:pPr>
              <w:jc w:val="right"/>
              <w:ind w:right="68"/>
              <w:spacing w:after="0"/>
              <w:rPr>
                <w:sz w:val="20"/>
                <w:szCs w:val="20"/>
                <w:color w:val="auto"/>
              </w:rPr>
            </w:pPr>
            <w:r>
              <w:rPr>
                <w:rFonts w:ascii="Arial" w:cs="Arial" w:eastAsia="Arial" w:hAnsi="Arial"/>
                <w:sz w:val="16"/>
                <w:szCs w:val="16"/>
                <w:color w:val="auto"/>
              </w:rPr>
              <w:t>(10.0)</w:t>
            </w:r>
          </w:p>
        </w:tc>
        <w:tc>
          <w:tcPr>
            <w:tcW w:w="1200" w:type="dxa"/>
            <w:vAlign w:val="bottom"/>
          </w:tcPr>
          <w:p>
            <w:pPr>
              <w:jc w:val="right"/>
              <w:ind w:right="168"/>
              <w:spacing w:after="0"/>
              <w:rPr>
                <w:sz w:val="20"/>
                <w:szCs w:val="20"/>
                <w:color w:val="auto"/>
              </w:rPr>
            </w:pPr>
            <w:r>
              <w:rPr>
                <w:rFonts w:ascii="Arial" w:cs="Arial" w:eastAsia="Arial" w:hAnsi="Arial"/>
                <w:sz w:val="16"/>
                <w:szCs w:val="16"/>
                <w:color w:val="auto"/>
              </w:rPr>
              <w:t>1.2</w:t>
            </w: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1060" w:type="dxa"/>
            <w:vAlign w:val="bottom"/>
          </w:tcPr>
          <w:p>
            <w:pPr>
              <w:jc w:val="right"/>
              <w:ind w:right="155"/>
              <w:spacing w:after="0"/>
              <w:rPr>
                <w:sz w:val="20"/>
                <w:szCs w:val="20"/>
                <w:color w:val="auto"/>
              </w:rPr>
            </w:pPr>
            <w:r>
              <w:rPr>
                <w:rFonts w:ascii="Arial" w:cs="Arial" w:eastAsia="Arial" w:hAnsi="Arial"/>
                <w:sz w:val="16"/>
                <w:szCs w:val="16"/>
                <w:color w:val="auto"/>
              </w:rPr>
              <w:t>755.0</w:t>
            </w:r>
          </w:p>
        </w:tc>
        <w:tc>
          <w:tcPr>
            <w:tcW w:w="840" w:type="dxa"/>
            <w:vAlign w:val="bottom"/>
          </w:tcPr>
          <w:p>
            <w:pPr>
              <w:jc w:val="right"/>
              <w:ind w:right="28"/>
              <w:spacing w:after="0"/>
              <w:rPr>
                <w:sz w:val="20"/>
                <w:szCs w:val="20"/>
                <w:color w:val="auto"/>
              </w:rPr>
            </w:pPr>
            <w:r>
              <w:rPr>
                <w:rFonts w:ascii="Arial" w:cs="Arial" w:eastAsia="Arial" w:hAnsi="Arial"/>
                <w:sz w:val="16"/>
                <w:szCs w:val="16"/>
                <w:color w:val="auto"/>
              </w:rPr>
              <w:t>(21.7)</w:t>
            </w: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(5.3)</w:t>
            </w:r>
          </w:p>
        </w:tc>
        <w:tc>
          <w:tcPr>
            <w:tcW w:w="1100" w:type="dxa"/>
            <w:vAlign w:val="bottom"/>
          </w:tcPr>
          <w:p>
            <w:pPr>
              <w:jc w:val="right"/>
              <w:ind w:right="28"/>
              <w:spacing w:after="0"/>
              <w:rPr>
                <w:sz w:val="20"/>
                <w:szCs w:val="20"/>
                <w:color w:val="auto"/>
              </w:rPr>
            </w:pPr>
            <w:r>
              <w:rPr>
                <w:rFonts w:ascii="Arial" w:cs="Arial" w:eastAsia="Arial" w:hAnsi="Arial"/>
                <w:sz w:val="16"/>
                <w:szCs w:val="16"/>
                <w:color w:val="auto"/>
              </w:rPr>
              <w:t>(2.2)</w:t>
            </w: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136130" cy="282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8257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5"/>
        <w:spacing w:after="0"/>
        <w:tabs>
          <w:tab w:leader="none" w:pos="3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Net cash provided by (used in) operating activities includes cash payments for interest as follows:</w:t>
      </w:r>
    </w:p>
    <w:p>
      <w:pPr>
        <w:spacing w:after="0" w:line="238" w:lineRule="exact"/>
        <w:rPr>
          <w:sz w:val="20"/>
          <w:szCs w:val="20"/>
          <w:color w:val="auto"/>
        </w:rPr>
      </w:pPr>
    </w:p>
    <w:tbl>
      <w:tblPr>
        <w:tblLayout w:type="fixed"/>
        <w:tblInd w:w="320" w:type="dxa"/>
        <w:tblCellMar>
          <w:top w:w="0" w:type="dxa"/>
          <w:left w:w="0" w:type="dxa"/>
          <w:bottom w:w="0" w:type="dxa"/>
          <w:right w:w="0" w:type="dxa"/>
        </w:tblCellMar>
      </w:tblPr>
      <w:tr>
        <w:trPr>
          <w:trHeight w:val="135"/>
        </w:trPr>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7"/>
              </w:rPr>
              <w:t>Three Months Ended</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2"/>
        </w:trPr>
        <w:tc>
          <w:tcPr>
            <w:tcW w:w="20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4"/>
        </w:trPr>
        <w:tc>
          <w:tcPr>
            <w:tcW w:w="200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March 31,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9"/>
              </w:rPr>
              <w:t>March 31,</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99"/>
              </w:rPr>
              <w:t>March 31,</w:t>
            </w:r>
          </w:p>
        </w:tc>
      </w:tr>
      <w:tr>
        <w:trPr>
          <w:trHeight w:val="135"/>
        </w:trPr>
        <w:tc>
          <w:tcPr>
            <w:tcW w:w="2000" w:type="dxa"/>
            <w:vAlign w:val="bottom"/>
          </w:tcPr>
          <w:p>
            <w:pPr>
              <w:spacing w:after="0"/>
              <w:rPr>
                <w:sz w:val="11"/>
                <w:szCs w:val="11"/>
                <w:color w:val="auto"/>
              </w:rPr>
            </w:pPr>
          </w:p>
        </w:tc>
        <w:tc>
          <w:tcPr>
            <w:tcW w:w="740" w:type="dxa"/>
            <w:vAlign w:val="bottom"/>
          </w:tcPr>
          <w:p>
            <w:pPr>
              <w:jc w:val="right"/>
              <w:ind w:right="202"/>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0"/>
                <w:szCs w:val="10"/>
                <w:b w:val="1"/>
                <w:bCs w:val="1"/>
                <w:color w:val="auto"/>
              </w:rPr>
              <w:t>June 30, 2018</w:t>
            </w:r>
          </w:p>
        </w:tc>
        <w:tc>
          <w:tcPr>
            <w:tcW w:w="116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2018</w:t>
            </w: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w w:val="95"/>
              </w:rPr>
              <w:t>December 31, 2018</w:t>
            </w:r>
          </w:p>
        </w:tc>
        <w:tc>
          <w:tcPr>
            <w:tcW w:w="840" w:type="dxa"/>
            <w:vAlign w:val="bottom"/>
            <w:gridSpan w:val="2"/>
          </w:tcPr>
          <w:p>
            <w:pPr>
              <w:jc w:val="center"/>
              <w:ind w:left="42"/>
              <w:spacing w:after="0"/>
              <w:rPr>
                <w:sz w:val="20"/>
                <w:szCs w:val="20"/>
                <w:color w:val="auto"/>
              </w:rPr>
            </w:pPr>
            <w:r>
              <w:rPr>
                <w:rFonts w:ascii="Arial" w:cs="Arial" w:eastAsia="Arial" w:hAnsi="Arial"/>
                <w:sz w:val="10"/>
                <w:szCs w:val="10"/>
                <w:b w:val="1"/>
                <w:bCs w:val="1"/>
                <w:color w:val="auto"/>
                <w:w w:val="98"/>
              </w:rPr>
              <w:t>2019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June 30, 2019</w:t>
            </w: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2019</w:t>
            </w: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2019</w:t>
            </w:r>
          </w:p>
        </w:tc>
        <w:tc>
          <w:tcPr>
            <w:tcW w:w="740" w:type="dxa"/>
            <w:vAlign w:val="bottom"/>
          </w:tcPr>
          <w:p>
            <w:pPr>
              <w:jc w:val="right"/>
              <w:ind w:right="222"/>
              <w:spacing w:after="0"/>
              <w:rPr>
                <w:sz w:val="20"/>
                <w:szCs w:val="20"/>
                <w:color w:val="auto"/>
              </w:rPr>
            </w:pPr>
            <w:r>
              <w:rPr>
                <w:rFonts w:ascii="Arial" w:cs="Arial" w:eastAsia="Arial" w:hAnsi="Arial"/>
                <w:sz w:val="10"/>
                <w:szCs w:val="10"/>
                <w:b w:val="1"/>
                <w:bCs w:val="1"/>
                <w:color w:val="auto"/>
              </w:rPr>
              <w:t>2020</w:t>
            </w:r>
          </w:p>
        </w:tc>
      </w:tr>
      <w:tr>
        <w:trPr>
          <w:trHeight w:val="22"/>
        </w:trPr>
        <w:tc>
          <w:tcPr>
            <w:tcW w:w="2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11.0</w:t>
            </w:r>
          </w:p>
        </w:tc>
        <w:tc>
          <w:tcPr>
            <w:tcW w:w="8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2"/>
              <w:spacing w:after="0"/>
              <w:rPr>
                <w:sz w:val="20"/>
                <w:szCs w:val="20"/>
                <w:color w:val="auto"/>
              </w:rPr>
            </w:pPr>
            <w:r>
              <w:rPr>
                <w:rFonts w:ascii="Arial" w:cs="Arial" w:eastAsia="Arial" w:hAnsi="Arial"/>
                <w:sz w:val="14"/>
                <w:szCs w:val="14"/>
                <w:color w:val="auto"/>
              </w:rPr>
              <w:t>23.3</w:t>
            </w:r>
          </w:p>
        </w:tc>
      </w:tr>
    </w:tbl>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240"/>
          </w:cols>
          <w:pgMar w:left="320" w:top="337"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As of March 31, 2020, we had $63.0 million of cash and cash equivalents and $65.0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1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generally invoice our subscription customers annually or quarterly in advance of our subscription services. Therefore, a substantial source of our cash is from such prepayments, which are included in our consolidated balance sheet as unearned revenue. Unearned revenue consists of billed fees for our subscriptions, prior to satisfying the criteria for revenue recognition, which are subsequently recognized as revenue in accordance with our revenue recognition policy. As of March 31, 2020, we had unearned revenue of $173.2 million, of which $172.2 million was recorded as a current liability and is expected to be recorded as revenue in the next 12 months, provided all other revenue recognition criteria have been met.</w:t>
      </w:r>
    </w:p>
    <w:p>
      <w:pPr>
        <w:spacing w:after="0" w:line="126"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After completion of this offering, ZoomInfo Technologies Inc. will be a holding company and will have no material assets other than its ownership of HoldCo Units, and ZoomInfo HoldCo will be a holding company and will have no material assets other than its ownership of OpCo Units. ZoomInfo Technologies Inc. has no independent means of generating revenue. The limited liability company agreement of ZoomInfo OpCo that will be in effect at the time of this offering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including the secured credit facilities,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“Dividend Policy” and “Risk Factors—Risks Related to Our Organizational Structure—ZoomInfo Technologies Inc. is a holding company, its only material asset after completion of this offering will be its interest in ZoomInfo HoldCo, which is a holding company whose only material asset after the completion of this offering will be its interest in ZoomInfo OpCo, and ZoomInfo Technologies Inc. is accordingly dependent upon distributions from ZoomInfo OpCo through ZoomInfo HoldCo to pay taxes, make payments under the tax receivable agreements, and pay dividends.”</w:t>
      </w:r>
    </w:p>
    <w:p>
      <w:pPr>
        <w:spacing w:after="0" w:line="123"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240"/>
          </w:cols>
          <w:pgMar w:left="320" w:top="331"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i w:val="1"/>
          <w:iCs w:val="1"/>
          <w:color w:val="auto"/>
        </w:rPr>
        <w:t>Historical Cash Flows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operating activities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28.3</w:t>
            </w: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Net cash provided by (used in) investing activities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(736.7)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7"/>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725.8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755.0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48"/>
        </w:trPr>
        <w:tc>
          <w:tcPr>
            <w:tcW w:w="4620" w:type="dxa"/>
            <w:vAlign w:val="bottom"/>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21.6</w:t>
            </w: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(used in) Operating Activities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Net cash provided by operations was $28.3 million for the three months ended March 31, 2020 as a result of a net loss of $5.9 million, adjusted by non-cash charges of $33.9 million and an increase of $0.3 million in our operating assets and liabilities. The non-cash charges are primarily comprised of depreciation and amortization of $12.2 million, equity-based compensation of $11.3 million, and amortization of deferred commission costs of $5.4 million. The change in operating assets and liabilities was primarily the result of an increase in unearned revenue of $14.0 million due to the timing of billings and cash received in advance of revenue recognition for subscription services, partially offset by a decrease in accrued expenses and other liabilities of $10.0 million and an increase in deferred costs and other assets of $6.3 million.</w:t>
      </w:r>
    </w:p>
    <w:p>
      <w:pPr>
        <w:spacing w:after="0" w:line="12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Net cash provided by operations was $14.2 million for the three months ended March 31, 2019 as a result of a net loss of $40.2 million, adjusted by non-cash charges of $23.9 million and an increase of $30.5 million in our operating assets and liabilities. The non-cash charges are primarily comprised of $5.6 million in equity-based compensation, $10.3 million in depreciation and amortization, and loss on debt extinguishment of $9.4 million. The change in operating assets and liabilities was primarily the result of an increase in unearned revenue of $17.8 million and an increase in accrued expenses and other liabilities of $17.0 million, partially offset by an increase in deferred costs and other assets of $3.1 million.</w:t>
      </w:r>
    </w:p>
    <w:p>
      <w:pPr>
        <w:spacing w:after="0" w:line="12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Net cash from operations increased by $14.1 million for the three months ended March 31, 2020 relative to the three months ended March 31, 2019. The increase in cash flows from operations comprised an increase in cash outflows related to cash interest expense, which increased by $17.7 million from the three months ended March 31, 2019 to the three months ended March 31, 2020, a decrease in cash outflows related to restructuring and transaction-related expenses, which decreased by $3.6 million from the three months ended March 31, 2019 to the three months ended March 31, 2020, and an increase in integration costs and transaction-related compensation cash outflows of $1.3 million from the three months ended March 31, 2019 to the three months ended March 31, 2020. This aggregate increase in cash outflows was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18" w:lineRule="exact"/>
        <w:rPr>
          <w:sz w:val="20"/>
          <w:szCs w:val="20"/>
          <w:color w:val="auto"/>
        </w:rPr>
      </w:pPr>
    </w:p>
    <w:p>
      <w:pPr>
        <w:jc w:val="both"/>
        <w:ind w:left="640" w:hanging="321"/>
        <w:spacing w:after="0" w:line="289" w:lineRule="auto"/>
        <w:tabs>
          <w:tab w:leader="none" w:pos="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Interest paid in cash increased significantly from the three months ended March 31, 2019 to the three months ended March 31, 2020. This increase primarily related to the additional debt that we incurred to fund the acquisition of Pre-Acquisition ZI on February 1, 2019 and the deferral of interest payments related to the debt until May 2020. We plan to use a portion of the proceeds from this offering to repay a portion of our indebtedness, which would result in our future liquidity increasing due to decreased debt service commitments. See “Use of Proceeds.”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240"/>
          </w:cols>
          <w:pgMar w:left="320" w:top="337" w:right="339" w:bottom="1440" w:gutter="0" w:footer="0" w:header="0"/>
        </w:sectPr>
      </w:pPr>
    </w:p>
    <w:bookmarkStart w:id="144" w:name="page145"/>
    <w:bookmarkEnd w:id="144"/>
    <w:p>
      <w:pPr>
        <w:jc w:val="both"/>
        <w:ind w:left="640" w:hanging="321"/>
        <w:spacing w:after="0" w:line="325" w:lineRule="auto"/>
        <w:tabs>
          <w:tab w:leader="none" w:pos="6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Restructuring and transaction-related expenses decreased significantly from the three months ended March 31, 2019 to the three months ended March 31, 2020. This decrease primarily related to the costs incurred to pursue and complete the acquisition of Pre-Acquisition ZI and the related restructuring activities to align the combined organization, which did not recur and were partially offset by the expenses incurred in 2020 to prepare for this offering.</w:t>
      </w:r>
    </w:p>
    <w:p>
      <w:pPr>
        <w:spacing w:after="0" w:line="85" w:lineRule="exact"/>
        <w:rPr>
          <w:rFonts w:ascii="Arial" w:cs="Arial" w:eastAsia="Arial" w:hAnsi="Arial"/>
          <w:sz w:val="15"/>
          <w:szCs w:val="15"/>
          <w:color w:val="auto"/>
        </w:rPr>
      </w:pPr>
    </w:p>
    <w:p>
      <w:pPr>
        <w:jc w:val="both"/>
        <w:ind w:left="640" w:hanging="321"/>
        <w:spacing w:after="0" w:line="267" w:lineRule="auto"/>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Integration costs and transaction-related compensation decreased modestly from the three months ended March 31, 2019 to the three months ended March 31, 2020. These expenses primarily related to the costs incurred to integrate Pre-Acquisition ZI and ongoing costs related to the Cash Vesting Payment Program (see Note 4 to our audited financial statements included elsewhere in this prospectus). The portion of these expenditures relating to the Cash Vesting Payment Program will continue to recur through 2022.</w:t>
      </w:r>
    </w:p>
    <w:p>
      <w:pPr>
        <w:spacing w:after="0" w:line="126"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Net cash provided by operations was $44.4 million for the year ended December 31, 2019 as a result of a net loss of $78.0 million, adjusted by non-cash charges of $93.8 million and a change of $28.6 million in our operating assets and liabilities. The non-cash charges are primarily comprised of depreciation and amortization of $48.7 million, equity-based compensation of $25.1 million, and loss on debt extinguishment of $9.4 million. The change in operating assets and liabilities was primarily the result of an increase in unearned revenue of $71.9 million due to the timing of billings and cash received in advance of revenue recognition for subscription services, and an increase in accrued expenses and other liabilities of $18.2 million, partially offset by increases in accounts receivable of $34.5 million and deferred costs and other assets of $27.8 million.</w:t>
      </w:r>
    </w:p>
    <w:p>
      <w:pPr>
        <w:spacing w:after="0" w:line="12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Net cash provided by operations was $43.8 million for the year ended December 31, 2018 as a result of a net loss of $28.6 million, adjusted by non-cash charges of $67.3 million and a change of $5.1 million in our operating assets and liabilities. The non-cash charges are primarily comprised of $32.7 million in equity-based compensation, $17.3 million in depreciation and amortization, and $16.4 million in paid-in-kind accrued interest. The change in operating assets and liabilities was primarily the result of an increase in unearned revenue of $15.0 million, partially offset by an increase in accounts receivable of $8.9 million and in deferred costs and other assets of $3.3 million.</w:t>
      </w:r>
    </w:p>
    <w:p>
      <w:pPr>
        <w:spacing w:after="0" w:line="126"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5"/>
          <w:szCs w:val="15"/>
          <w:color w:val="auto"/>
        </w:rPr>
        <w:t>Net cash from operations increased by $0.6 million in the year ended December 31, 2019 relative to the year ended December 31, 2018. The increase in cash flows from operations comprised increases in cash outflows related to cash interest expense, which increased by $54.8 million from the year ended December 31, 2018 to the year ended December 31, 2019, restructuring and transaction-related expenses, which increased by $9.2 million from the year ended December 31, 2018 to the year ended December 31, 2019, and integration costs and transaction-related compensation, which increased by $11.7 million from the year ended December 31, 2018 to the year ended December 31, 2019. These increases in cash outflows were offset by increases in cash generated from other operating activities.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future impacts on our liquidity that may differ from historical trends as described below:</w:t>
      </w:r>
    </w:p>
    <w:p>
      <w:pPr>
        <w:spacing w:after="0" w:line="103" w:lineRule="exact"/>
        <w:rPr>
          <w:sz w:val="20"/>
          <w:szCs w:val="20"/>
          <w:color w:val="auto"/>
        </w:rPr>
      </w:pPr>
    </w:p>
    <w:p>
      <w:pPr>
        <w:jc w:val="both"/>
        <w:ind w:left="640" w:hanging="321"/>
        <w:spacing w:after="0" w:line="267" w:lineRule="auto"/>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Interest paid in cash increased significantly from the year ended December 31, 2018 to the year ended December 31, 2019. This increase primarily related to the additional debt that we incurred to fund the acquisition of Pre-Acquisition ZI on February 1, 2019. We plan to use a portion of the proceeds from this offering to repay a portion of our indebtedness, which would result in our future liquidity increasing due to decreased debt service commitments. See “Use of Proceeds.”</w:t>
      </w:r>
    </w:p>
    <w:p>
      <w:pPr>
        <w:spacing w:after="0" w:line="125"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Restructuring and transaction-related expenses increased significantly from the year ended December 31, 2018 to the year ended December 31, 2019. This increase primarily related to the costs incurred to pursue and complete the acquisition of Pre-Acquisition ZI and the related restructuring activities to align the combined organization, which were partially offset by the expenses incurred in 2018 to complete Carlyle’s investment in us, the NeverBounce acquisition, and restructuring activities related to the RainKing acquisition in 2017 that did not recur.</w:t>
      </w:r>
    </w:p>
    <w:p>
      <w:pPr>
        <w:spacing w:after="0" w:line="12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Integration costs and transaction-related compensation increased significantly from the year ended December 31, 2018 to the year ended December 31, 2019. This increase primarily related to the costs incurred to integrate Pre-Acquisition ZI and ongoing costs related to the Cash Vesting Payment Program (see Note 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240"/>
          </w:cols>
          <w:pgMar w:left="320" w:top="336" w:right="339" w:bottom="1440" w:gutter="0" w:footer="0" w:header="0"/>
        </w:sectPr>
      </w:pPr>
    </w:p>
    <w:bookmarkStart w:id="145" w:name="page146"/>
    <w:bookmarkEnd w:id="145"/>
    <w:p>
      <w:pPr>
        <w:ind w:left="640"/>
        <w:spacing w:after="0" w:line="289" w:lineRule="auto"/>
        <w:rPr>
          <w:sz w:val="20"/>
          <w:szCs w:val="20"/>
          <w:color w:val="auto"/>
        </w:rPr>
      </w:pPr>
      <w:r>
        <w:rPr>
          <w:rFonts w:ascii="Arial" w:cs="Arial" w:eastAsia="Arial" w:hAnsi="Arial"/>
          <w:sz w:val="17"/>
          <w:szCs w:val="17"/>
          <w:color w:val="auto"/>
        </w:rPr>
        <w:t>to our audited financial statements included elsewhere in this prospectus). The portion of these expenditures relating to the Cash Vesting Payment Program will continue to recur through 2022.</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400" w:type="dxa"/>
            <w:vAlign w:val="bottom"/>
            <w:gridSpan w:val="4"/>
          </w:tcPr>
          <w:p>
            <w:pPr>
              <w:ind w:left="880"/>
              <w:spacing w:after="0"/>
              <w:rPr>
                <w:sz w:val="20"/>
                <w:szCs w:val="20"/>
                <w:color w:val="auto"/>
              </w:rPr>
            </w:pPr>
            <w:r>
              <w:rPr>
                <w:rFonts w:ascii="Arial" w:cs="Arial" w:eastAsia="Arial" w:hAnsi="Arial"/>
                <w:sz w:val="14"/>
                <w:szCs w:val="14"/>
                <w:b w:val="1"/>
                <w:bCs w:val="1"/>
                <w:color w:val="auto"/>
              </w:rPr>
              <w:t>Year Ended December 31,</w:t>
            </w:r>
          </w:p>
        </w:tc>
        <w:tc>
          <w:tcPr>
            <w:tcW w:w="3220" w:type="dxa"/>
            <w:vAlign w:val="bottom"/>
            <w:gridSpan w:val="3"/>
          </w:tcPr>
          <w:p>
            <w:pPr>
              <w:jc w:val="right"/>
              <w:ind w:right="557"/>
              <w:spacing w:after="0"/>
              <w:rPr>
                <w:sz w:val="20"/>
                <w:szCs w:val="20"/>
                <w:color w:val="auto"/>
              </w:rPr>
            </w:pPr>
            <w:r>
              <w:rPr>
                <w:rFonts w:ascii="Arial" w:cs="Arial" w:eastAsia="Arial" w:hAnsi="Arial"/>
                <w:sz w:val="14"/>
                <w:szCs w:val="14"/>
                <w:b w:val="1"/>
                <w:bCs w:val="1"/>
                <w:color w:val="auto"/>
              </w:rPr>
              <w:t>Three Months Ended March 31,</w:t>
            </w:r>
          </w:p>
        </w:tc>
      </w:tr>
      <w:tr>
        <w:trPr>
          <w:trHeight w:val="255"/>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interest expense</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40.2</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95.0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23.3</w:t>
            </w:r>
          </w:p>
        </w:tc>
      </w:tr>
      <w:tr>
        <w:trPr>
          <w:trHeight w:val="276"/>
        </w:trPr>
        <w:tc>
          <w:tcPr>
            <w:tcW w:w="4620" w:type="dxa"/>
            <w:vAlign w:val="bottom"/>
          </w:tcPr>
          <w:p>
            <w:pPr>
              <w:ind w:left="40"/>
              <w:spacing w:after="0"/>
              <w:rPr>
                <w:sz w:val="20"/>
                <w:szCs w:val="20"/>
                <w:color w:val="auto"/>
              </w:rPr>
            </w:pPr>
            <w:r>
              <w:rPr>
                <w:rFonts w:ascii="Arial" w:cs="Arial" w:eastAsia="Arial" w:hAnsi="Arial"/>
                <w:sz w:val="17"/>
                <w:szCs w:val="17"/>
                <w:color w:val="auto"/>
                <w:w w:val="96"/>
              </w:rPr>
              <w:t>Restructuring and transaction-related expenses paid in cash</w:t>
            </w:r>
            <w:r>
              <w:rPr>
                <w:rFonts w:ascii="Arial" w:cs="Arial" w:eastAsia="Arial" w:hAnsi="Arial"/>
                <w:sz w:val="24"/>
                <w:szCs w:val="24"/>
                <w:color w:val="auto"/>
                <w:w w:val="96"/>
                <w:vertAlign w:val="superscript"/>
              </w:rPr>
              <w:t>(a)</w:t>
            </w:r>
          </w:p>
        </w:tc>
        <w:tc>
          <w:tcPr>
            <w:tcW w:w="1580" w:type="dxa"/>
            <w:vAlign w:val="bottom"/>
          </w:tcPr>
          <w:p>
            <w:pPr>
              <w:jc w:val="right"/>
              <w:ind w:right="40"/>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23"/>
                <w:szCs w:val="23"/>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23"/>
                <w:szCs w:val="23"/>
                <w:color w:val="auto"/>
              </w:rPr>
            </w:pPr>
          </w:p>
        </w:tc>
        <w:tc>
          <w:tcPr>
            <w:tcW w:w="1560" w:type="dxa"/>
            <w:vAlign w:val="bottom"/>
          </w:tcPr>
          <w:p>
            <w:pPr>
              <w:jc w:val="right"/>
              <w:ind w:right="2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3"/>
                <w:szCs w:val="23"/>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3.9</w:t>
            </w:r>
          </w:p>
        </w:tc>
      </w:tr>
      <w:tr>
        <w:trPr>
          <w:trHeight w:val="208"/>
        </w:trPr>
        <w:tc>
          <w:tcPr>
            <w:tcW w:w="4620" w:type="dxa"/>
            <w:vAlign w:val="bottom"/>
          </w:tcPr>
          <w:p>
            <w:pPr>
              <w:ind w:left="40"/>
              <w:spacing w:after="0"/>
              <w:rPr>
                <w:sz w:val="20"/>
                <w:szCs w:val="20"/>
                <w:color w:val="auto"/>
              </w:rPr>
            </w:pPr>
            <w:r>
              <w:rPr>
                <w:rFonts w:ascii="Arial" w:cs="Arial" w:eastAsia="Arial" w:hAnsi="Arial"/>
                <w:sz w:val="17"/>
                <w:szCs w:val="17"/>
                <w:color w:val="auto"/>
                <w:w w:val="97"/>
              </w:rPr>
              <w:t>Integration costs and acquisition-related compensation paid in</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43"/>
        </w:trPr>
        <w:tc>
          <w:tcPr>
            <w:tcW w:w="4620" w:type="dxa"/>
            <w:vAlign w:val="bottom"/>
          </w:tcPr>
          <w:p>
            <w:pPr>
              <w:ind w:left="180"/>
              <w:spacing w:after="0" w:line="243" w:lineRule="exact"/>
              <w:rPr>
                <w:sz w:val="20"/>
                <w:szCs w:val="20"/>
                <w:color w:val="auto"/>
              </w:rPr>
            </w:pPr>
            <w:r>
              <w:rPr>
                <w:rFonts w:ascii="Arial" w:cs="Arial" w:eastAsia="Arial" w:hAnsi="Arial"/>
                <w:sz w:val="17"/>
                <w:szCs w:val="17"/>
                <w:color w:val="auto"/>
              </w:rPr>
              <w:t>cash</w:t>
            </w:r>
            <w:r>
              <w:rPr>
                <w:rFonts w:ascii="Arial" w:cs="Arial" w:eastAsia="Arial" w:hAnsi="Arial"/>
                <w:sz w:val="24"/>
                <w:szCs w:val="24"/>
                <w:color w:val="auto"/>
                <w:vertAlign w:val="superscript"/>
              </w:rPr>
              <w:t>(b)</w:t>
            </w:r>
          </w:p>
        </w:tc>
        <w:tc>
          <w:tcPr>
            <w:tcW w:w="1580" w:type="dxa"/>
            <w:vAlign w:val="bottom"/>
          </w:tcPr>
          <w:p>
            <w:pPr>
              <w:jc w:val="right"/>
              <w:ind w:right="40"/>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21"/>
                <w:szCs w:val="21"/>
                <w:color w:val="auto"/>
              </w:rPr>
            </w:pPr>
          </w:p>
        </w:tc>
        <w:tc>
          <w:tcPr>
            <w:tcW w:w="1560" w:type="dxa"/>
            <w:vAlign w:val="bottom"/>
          </w:tcPr>
          <w:p>
            <w:pPr>
              <w:jc w:val="right"/>
              <w:ind w:right="2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136130" cy="299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9972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4"/>
          <w:szCs w:val="14"/>
          <w:color w:val="auto"/>
        </w:rPr>
        <w:t>__________________</w:t>
      </w:r>
    </w:p>
    <w:p>
      <w:pPr>
        <w:jc w:val="both"/>
        <w:ind w:left="320" w:hanging="315"/>
        <w:spacing w:after="0" w:line="252" w:lineRule="auto"/>
        <w:tabs>
          <w:tab w:leader="none" w:pos="3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acquisition or disposal activities, including employee severance and termination benefits, contract termination fees and penalties, and other exit or disposal costs. For the year ended December 31, 2019, these payments related primarily to the acquisition of Pre-Acquisition ZI, including professional fees, severance and acceleration of payments for terminated employees, and deferred consideration. For the year ended December 31, 2018, these payments related primarily to Carlyle’s investment in us. For the three months ended March 31, 2020, these payments related primarily to professional fees for the preparation for an initial public offering. For the three months ended March 31, 2019, these payments related primarily to the acquisition of Pre-Acquisition ZI, including professional fees, severance, and acceleration of payments for terminated employees.</w:t>
      </w:r>
    </w:p>
    <w:p>
      <w:pPr>
        <w:spacing w:after="0" w:line="1" w:lineRule="exact"/>
        <w:rPr>
          <w:rFonts w:ascii="Arial" w:cs="Arial" w:eastAsia="Arial" w:hAnsi="Arial"/>
          <w:sz w:val="13"/>
          <w:szCs w:val="13"/>
          <w:color w:val="auto"/>
        </w:rPr>
      </w:pPr>
    </w:p>
    <w:p>
      <w:pPr>
        <w:jc w:val="both"/>
        <w:ind w:left="320" w:hanging="315"/>
        <w:spacing w:after="0" w:line="235" w:lineRule="auto"/>
        <w:tabs>
          <w:tab w:leader="none" w:pos="3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year ended December 31, 2019, these payments related primarily to activities resulting from the acquisition of Pre-Acquisition ZI, including consulting and professional services costs, cash vesting payments (see Note 4 – Business Combinations to our consolidated financial statements included elsewhere in this prospectus), and transaction bonuses and other compensation, as well as payments of retention awards granted upon the Company’s acquisitions of RainKing and NeverBounce. For the year ended December 31, 2018, these payments related primarily to retention awards granted upon our acquisition of RainKing and transaction bonuses paid upon Carlyle’s investment in us. For the three months ended March 31, 2020, these payments related primarily to cash vesting payments from the acquisition of Pre-Acquisition ZI (see Note 4 – Business Combinations to our consolidated financial statements included elsewhere in this prospectus). For the three months ended March 31, 2019, these payments related primarily to activities resulting from the acquisition of Pre-Acquisition ZI, including cash vesting payments (see Note 4 – Business Combinations to our consolidated financial statements included elsewhere in this prospectus) and transaction bonuses, as well as payments of retention awards granted upon the Company’s acquisitions of RainKing.</w:t>
      </w:r>
    </w:p>
    <w:p>
      <w:pPr>
        <w:spacing w:after="0" w:line="147"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(used in) Investing Activities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Cash used in investing activities during the three months ended March 31, 2020 was $4.1 million, as a result of purchases of property and equipment and other assets.</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Cash used in investing activities during the three months ended March 31, 2019 was $708.6 million, primarily as a result of cash payments for the acquisition of Pre-Acquisition ZI of $705.8 million and purchases of property and equipment and other assets of $2.8 million.</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Cash used in investing activities during the year ended December 31, 2019 was $736.7 million, primarily as a result of cash payments for the acquisition of Pre-Acquisition ZI of $723.1 million and purchases of property and equipment and other assets of $13.6 million.</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Cash used in investing activities during the year ended December 31, 2018 was $13.1 million, primarily as a result of cash payments for the acquisition of NeverBounce of $8.5 million and purchases of property and equipment and other assets of $4.6 million.</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we continue to grow and invest in our business, we expect to continue to invest in property and equipment.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240"/>
          </w:cols>
          <w:pgMar w:left="320" w:top="337" w:right="3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i w:val="1"/>
          <w:iCs w:val="1"/>
          <w:color w:val="auto"/>
        </w:rPr>
        <w:t>Cash Flows from (used in) Financing Activities</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Cash used in financing activities during the three months ended March 31, 2020 was $2.6 million, primarily as a result of financing payments of deferred consideration of $24.0 million, payments to repurchase outstanding member equity of $5.5 million, distributions to equity partners of $5.0 million, and principal payments on long-term debt of $2.2 million, largely offset by proceeds from a draw down on our first lien revolving credit facility of $35.0 million.</w:t>
      </w:r>
    </w:p>
    <w:p>
      <w:pPr>
        <w:spacing w:after="0" w:line="10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Cash provided from financing activities during the three months ended March 31, 2019 was $755.0 million, primarily as a result of proceeds from the issuance of new debt of $1.2 billion and the Series A Preferred Unit issuance of $200.2 million, partially offset by payments on long-term debt of $643.3 million.</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Cash provided from financing activities during the year ended December 31, 2019 was $725.8 million, primarily as a result of the issuance of new debt of $1.2 billion and the Series A Preferred Unit issuance of $200.2 million, partially offset by payments on long-term debt of $649.8 million, the payment of debt issuance costs of $16.7 million, and distributions to equity partners of $16.5 million.</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Cash used in financing activities during the year ended December 31, 2018 was $29.9 million, primarily as a result of distributions to equity partners of $93.4 million, partially offset by the issuance of new debt of $67.3 million.</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Refer to Note 7 – Financing Arrangements of our consolidated financial statements included elsewhere in this prospectus for additional information related to each of our borrowings.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Obligations</w:t>
      </w:r>
    </w:p>
    <w:p>
      <w:pPr>
        <w:spacing w:after="0" w:line="171"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5"/>
          <w:szCs w:val="15"/>
          <w:color w:val="auto"/>
        </w:rPr>
        <w:t>In connection with the Zoom Information Acquisition, we repaid our previously outstanding $631.8 million of debt on February 1, 2019 and entered into a new first lien credit agreement and a new second lien credit agreement. Our borrowings under the first lien credit agreement consist of $865.0 million aggregate principal amount of term loans, maturing February 1, 2026, and a $100.0 million revolving credit facility, maturing February 1, 2024. The revolving credit facility was undrawn on February 1, 2019. The second lien credit agreement provides for $370.0 million aggregate principal amount of term loans that mature on February 1, 2027. As of March 31, 2020, we had $856.4 million aggregate principal amount of term loans outstanding under our first lien credit agreement, $370.0 million aggregate principal amount outstanding under our second lien credit agreement, and $35.0 million outstanding under our first lien revolving credit facility. We intend to use a portion of the net proceeds to us from this offering to repay our second lien term loans, including related prepayment penalties, accrued interest, and fees and expenses, and to repay the outstanding borrowings under our first lien revolving credit facility. See “Use of Proceeds.”</w:t>
      </w:r>
    </w:p>
    <w:p>
      <w:pPr>
        <w:spacing w:after="0" w:line="103"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first lien term loans bear interest, at our election, at either 3.00% over a “base rate” (as defined below) or 4.00% over an adjusted London Interbank Offered Rate (“adjusted LIBOR rate”). Upon the consummation of a “qualified IPO,” the applicable margin for the first lien term loans and revolving credit facility will each be reduced by 0.25%. The second lien term loans bear interest, at our election, at either 7.50% over the base rate or 8.50% over an adjusted LIBOR rate. In both the first lien and second lien credit agreements, the base rate is determined by reference to the highest of (i) 0.50% above the federal funds effective rate, (ii) the rate of interest established by the administrative agent as its “prime rate,” (iii) 1.00% above the adjusted LIBOR rate for dollar deposits with a one-month term commencing that date, and (iv) 1.00% per annum.</w:t>
      </w:r>
    </w:p>
    <w:p>
      <w:pPr>
        <w:spacing w:after="0" w:line="129"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first lien credit agreement is payable in equal installments of $2.2 million on the last business day of each of our fiscal quarters. Commencing in 2020, we are required to prepay an amount equal to 50% of the preceding fiscal year’s excess cash flow, as defined in the first lien credit agreement. The required prepayment is reduced to 25% of the preceding year’s excess cash flow if our consolidated first lien net leverage ratio is less than or equal to 4.40 to 1.00. No prepayment is required if such ratio is less than or equal to 3.90 to 1.00. We have not been required to make a prepayment related to our current first lien credit agreement. 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Credit Agreement EBITDA for the 12 months ended March 31, 2020 was $244.8 million. Our consolidated first lien net leverage ratio as of March 31, 2020 was 3.4x.</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240"/>
          </w:cols>
          <w:pgMar w:left="320" w:top="337" w:right="339" w:bottom="1440" w:gutter="0" w:footer="0" w:header="0"/>
        </w:sectPr>
      </w:pPr>
    </w:p>
    <w:bookmarkStart w:id="147" w:name="page148"/>
    <w:bookmarkEnd w:id="147"/>
    <w:p>
      <w:pPr>
        <w:jc w:val="both"/>
        <w:ind w:firstLine="314"/>
        <w:spacing w:after="0" w:line="289"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Amounts borrowed under the revolving credit facility bear interest, at our election, at either 3.0% over the base rate or 4.0% over adjusted LIBOR. These interest rate spreads will decline to 2.75% and 3.75%, respectively, if our consolidated first lien net leverage ratio declines to 4.40 to 1.00 or less. As of March 31, 2020, we had drawn down $35.0 million under our first lien revolving credit facility and $65.0 million remained available. Our first lien credit agreement also provides that, if aggregate borrowings under our revolving credit facility exceed 35% of the total revolving commitment, our consolidated first lien net leverage ratio may not, on the last day of the applicable measurement period, exceed 7.65 to 1.00.</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Certain Indebtedness.”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77"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Capital expenditures increased by $1.3 million, or 46%, to $4.1 million in the three months ended March 31, 2020 compared to the three months ended March 31, 2019. The increase reflects increased capital expenditures to support the larger company and greater capitalization of internal development costs.</w:t>
      </w:r>
    </w:p>
    <w:p>
      <w:pPr>
        <w:spacing w:after="0" w:line="83"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Capital expenditures increased by $9.0 million, or 196%, to $13.6 million in the year ended December 31, 2019 compared to year ended December 31, 2018. The increase reflects increased capital expenditures to support the larger company and greater capitalization of internal development costs.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177" w:lineRule="exact"/>
        <w:rPr>
          <w:sz w:val="20"/>
          <w:szCs w:val="20"/>
          <w:color w:val="auto"/>
        </w:rPr>
      </w:pPr>
    </w:p>
    <w:p>
      <w:pPr>
        <w:jc w:val="both"/>
        <w:ind w:firstLine="314"/>
        <w:spacing w:after="0" w:line="295" w:lineRule="auto"/>
        <w:rPr>
          <w:sz w:val="20"/>
          <w:szCs w:val="20"/>
          <w:color w:val="auto"/>
        </w:rPr>
      </w:pPr>
      <w:r>
        <w:rPr>
          <w:rFonts w:ascii="Arial" w:cs="Arial" w:eastAsia="Arial" w:hAnsi="Arial"/>
          <w:sz w:val="15"/>
          <w:szCs w:val="15"/>
          <w:color w:val="auto"/>
        </w:rPr>
        <w:t>Prior to the completion of this offering, we will enter into two tax receivable agreements. We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this offering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240"/>
          </w:cols>
          <w:pgMar w:left="320" w:top="336" w:right="339" w:bottom="1440" w:gutter="0" w:footer="0" w:header="0"/>
        </w:sectPr>
      </w:pPr>
    </w:p>
    <w:bookmarkStart w:id="148" w:name="page149"/>
    <w:bookmarkEnd w:id="148"/>
    <w:p>
      <w:pPr>
        <w:jc w:val="both"/>
        <w:spacing w:after="0" w:line="276" w:lineRule="auto"/>
        <w:rPr>
          <w:sz w:val="20"/>
          <w:szCs w:val="20"/>
          <w:color w:val="auto"/>
        </w:rPr>
      </w:pPr>
      <w:r>
        <w:rPr>
          <w:rFonts w:ascii="Arial" w:cs="Arial" w:eastAsia="Arial" w:hAnsi="Arial"/>
          <w:sz w:val="16"/>
          <w:szCs w:val="16"/>
          <w:color w:val="auto"/>
        </w:rPr>
        <w:t>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2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We expect that as a result of the size of the ZoomInfo Tax Group’s allocable share of existing tax basis acquired in this offering,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excluding the Blocker Companies exchange their OpCo Units (together with a corresponding number of shares of Class B common stock) for shares of Class A common stock on the date of this offering) is approximately $352.2 million. The payments under the tax receivable agreements are not conditioned upon continued ownership of us by the exchanging holders of OpCo Units. See “Certain Relationships and Related Person Transactions—Tax Receivable Agreements.”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material contractual obligations as of December 31, 2019 and the years in which these obligations are due: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Less than one year</w:t>
            </w:r>
          </w:p>
        </w:tc>
        <w:tc>
          <w:tcPr>
            <w:tcW w:w="1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One to three years</w:t>
            </w:r>
          </w:p>
        </w:tc>
        <w:tc>
          <w:tcPr>
            <w:tcW w:w="1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to five years</w:t>
            </w:r>
          </w:p>
        </w:tc>
        <w:tc>
          <w:tcPr>
            <w:tcW w:w="140" w:type="dxa"/>
            <w:vAlign w:val="bottom"/>
          </w:tcPr>
          <w:p>
            <w:pPr>
              <w:spacing w:after="0"/>
              <w:rPr>
                <w:sz w:val="12"/>
                <w:szCs w:val="12"/>
                <w:color w:val="auto"/>
              </w:rPr>
            </w:pPr>
          </w:p>
        </w:tc>
        <w:tc>
          <w:tcPr>
            <w:tcW w:w="1200" w:type="dxa"/>
            <w:vAlign w:val="bottom"/>
          </w:tcPr>
          <w:p>
            <w:pPr>
              <w:jc w:val="right"/>
              <w:ind w:right="79"/>
              <w:spacing w:after="0" w:line="146" w:lineRule="exact"/>
              <w:rPr>
                <w:sz w:val="20"/>
                <w:szCs w:val="20"/>
                <w:color w:val="auto"/>
              </w:rPr>
            </w:pPr>
            <w:r>
              <w:rPr>
                <w:rFonts w:ascii="Arial" w:cs="Arial" w:eastAsia="Arial" w:hAnsi="Arial"/>
                <w:sz w:val="14"/>
                <w:szCs w:val="14"/>
                <w:b w:val="1"/>
                <w:bCs w:val="1"/>
                <w:color w:val="auto"/>
                <w:w w:val="91"/>
              </w:rPr>
              <w:t>Greater than five</w:t>
            </w:r>
          </w:p>
        </w:tc>
        <w:tc>
          <w:tcPr>
            <w:tcW w:w="0" w:type="dxa"/>
            <w:vAlign w:val="bottom"/>
          </w:tcPr>
          <w:p>
            <w:pPr>
              <w:spacing w:after="0"/>
              <w:rPr>
                <w:sz w:val="1"/>
                <w:szCs w:val="1"/>
                <w:color w:val="auto"/>
              </w:rPr>
            </w:pPr>
          </w:p>
        </w:tc>
      </w:tr>
      <w:tr>
        <w:trPr>
          <w:trHeight w:val="188"/>
        </w:trPr>
        <w:tc>
          <w:tcPr>
            <w:tcW w:w="4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419"/>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60"/>
        </w:trPr>
        <w:tc>
          <w:tcPr>
            <w:tcW w:w="4060" w:type="dxa"/>
            <w:vAlign w:val="bottom"/>
            <w:tcBorders>
              <w:top w:val="single" w:sz="8" w:color="CCEEFF"/>
            </w:tcBorders>
            <w:shd w:val="clear" w:color="auto" w:fill="CCEEFF"/>
          </w:tcPr>
          <w:p>
            <w:pPr>
              <w:ind w:left="40"/>
              <w:spacing w:after="0" w:line="260" w:lineRule="exact"/>
              <w:rPr>
                <w:sz w:val="20"/>
                <w:szCs w:val="20"/>
                <w:color w:val="auto"/>
              </w:rPr>
            </w:pPr>
            <w:r>
              <w:rPr>
                <w:rFonts w:ascii="Arial" w:cs="Arial" w:eastAsia="Arial" w:hAnsi="Arial"/>
                <w:sz w:val="17"/>
                <w:szCs w:val="17"/>
                <w:color w:val="auto"/>
              </w:rPr>
              <w:t>Long-term indebtedness</w:t>
            </w:r>
            <w:r>
              <w:rPr>
                <w:rFonts w:ascii="Arial" w:cs="Arial" w:eastAsia="Arial" w:hAnsi="Arial"/>
                <w:sz w:val="24"/>
                <w:szCs w:val="24"/>
                <w:color w:val="auto"/>
                <w:vertAlign w:val="superscript"/>
              </w:rPr>
              <w:t>(1)</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1,228.3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8.7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17.3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17.3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1,185.0</w:t>
            </w:r>
          </w:p>
        </w:tc>
        <w:tc>
          <w:tcPr>
            <w:tcW w:w="0" w:type="dxa"/>
            <w:vAlign w:val="bottom"/>
          </w:tcPr>
          <w:p>
            <w:pPr>
              <w:spacing w:after="0"/>
              <w:rPr>
                <w:sz w:val="1"/>
                <w:szCs w:val="1"/>
                <w:color w:val="auto"/>
              </w:rPr>
            </w:pPr>
          </w:p>
        </w:tc>
      </w:tr>
      <w:tr>
        <w:trPr>
          <w:trHeight w:val="262"/>
        </w:trPr>
        <w:tc>
          <w:tcPr>
            <w:tcW w:w="4060" w:type="dxa"/>
            <w:vAlign w:val="bottom"/>
          </w:tcPr>
          <w:p>
            <w:pPr>
              <w:ind w:left="40"/>
              <w:spacing w:after="0" w:line="262" w:lineRule="exact"/>
              <w:rPr>
                <w:sz w:val="20"/>
                <w:szCs w:val="20"/>
                <w:color w:val="auto"/>
              </w:rPr>
            </w:pPr>
            <w:r>
              <w:rPr>
                <w:rFonts w:ascii="Arial" w:cs="Arial" w:eastAsia="Arial" w:hAnsi="Arial"/>
                <w:sz w:val="17"/>
                <w:szCs w:val="17"/>
                <w:color w:val="auto"/>
              </w:rPr>
              <w:t>Operating leases</w:t>
            </w:r>
            <w:r>
              <w:rPr>
                <w:rFonts w:ascii="Arial" w:cs="Arial" w:eastAsia="Arial" w:hAnsi="Arial"/>
                <w:sz w:val="24"/>
                <w:szCs w:val="24"/>
                <w:color w:val="auto"/>
                <w:vertAlign w:val="superscript"/>
              </w:rPr>
              <w:t>(2)</w:t>
            </w:r>
          </w:p>
        </w:tc>
        <w:tc>
          <w:tcPr>
            <w:tcW w:w="320" w:type="dxa"/>
            <w:vAlign w:val="bottom"/>
          </w:tcPr>
          <w:p>
            <w:pPr>
              <w:spacing w:after="0"/>
              <w:rPr>
                <w:sz w:val="22"/>
                <w:szCs w:val="22"/>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6"/>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62"/>
        </w:trPr>
        <w:tc>
          <w:tcPr>
            <w:tcW w:w="4060" w:type="dxa"/>
            <w:vAlign w:val="bottom"/>
            <w:shd w:val="clear" w:color="auto" w:fill="CCEEFF"/>
          </w:tcPr>
          <w:p>
            <w:pPr>
              <w:ind w:left="40"/>
              <w:spacing w:after="0" w:line="262" w:lineRule="exact"/>
              <w:rPr>
                <w:sz w:val="20"/>
                <w:szCs w:val="20"/>
                <w:color w:val="auto"/>
              </w:rPr>
            </w:pPr>
            <w:r>
              <w:rPr>
                <w:rFonts w:ascii="Arial" w:cs="Arial" w:eastAsia="Arial" w:hAnsi="Arial"/>
                <w:sz w:val="17"/>
                <w:szCs w:val="17"/>
                <w:color w:val="auto"/>
              </w:rPr>
              <w:t>Deferred or contingent consideration</w:t>
            </w:r>
            <w:r>
              <w:rPr>
                <w:rFonts w:ascii="Arial" w:cs="Arial" w:eastAsia="Arial" w:hAnsi="Arial"/>
                <w:sz w:val="24"/>
                <w:szCs w:val="24"/>
                <w:color w:val="auto"/>
                <w:vertAlign w:val="superscript"/>
              </w:rPr>
              <w:t>(3)</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8"/>
        </w:trPr>
        <w:tc>
          <w:tcPr>
            <w:tcW w:w="4060" w:type="dxa"/>
            <w:vAlign w:val="bottom"/>
          </w:tcPr>
          <w:p>
            <w:pPr>
              <w:ind w:left="4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1,322.7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1,207.7</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320" w:hanging="315"/>
        <w:spacing w:after="0" w:line="273" w:lineRule="auto"/>
        <w:tabs>
          <w:tab w:leader="none" w:pos="3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Includes future principal payments on long-term indebtedness through the scheduled maturity dates thereof. Indebtedness is discussed in Note 7 – Financing Arrangements to our consolidated financial statements included elsewhere in this prospectus.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ind w:left="320" w:hanging="315"/>
        <w:spacing w:after="0" w:line="234" w:lineRule="auto"/>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Represents future payments on existing operating leases through the scheduled expiration dates thereof.</w:t>
      </w:r>
    </w:p>
    <w:p>
      <w:pPr>
        <w:jc w:val="both"/>
        <w:ind w:left="320" w:hanging="315"/>
        <w:spacing w:after="0" w:line="265" w:lineRule="auto"/>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Includes deferred consideration related to the Zoom Information Acquisition and contingent consideration related to the NeverBounce and Komiko acquisitions at non-discounted, currently estimated payout amounts. Acquisitions and related deferred or contingent consideration are discussed in Note 4 – Business Combinations to our consolidated financial statements included elsewhere in this prospectus. Estimated contingent consideration is subject to change depending on results of factors each is based 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240"/>
          </w:cols>
          <w:pgMar w:left="320" w:top="337" w:right="339" w:bottom="1440" w:gutter="0" w:footer="0" w:header="0"/>
        </w:sectPr>
      </w:pPr>
    </w:p>
    <w:bookmarkStart w:id="149" w:name="page150"/>
    <w:bookmarkEnd w:id="149"/>
    <w:p>
      <w:pPr>
        <w:jc w:val="both"/>
        <w:ind w:firstLine="314"/>
        <w:spacing w:after="0" w:line="265" w:lineRule="auto"/>
        <w:rPr>
          <w:sz w:val="20"/>
          <w:szCs w:val="20"/>
          <w:color w:val="auto"/>
        </w:rPr>
      </w:pPr>
      <w:r>
        <w:rPr>
          <w:rFonts w:ascii="Arial" w:cs="Arial" w:eastAsia="Arial" w:hAnsi="Arial"/>
          <w:sz w:val="17"/>
          <w:szCs w:val="17"/>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payments that we may be required to make under the tax receivable agreements that we will enter into prior to the completion of this offering may be significant and are not reflected in the contractual obligations tables set forth above, as we are currently unable to estimate the amounts and timing of the payments that may be due thereunder.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2020, there were “no off-balance sheet arrangements,” as defined in Item 303(a)(4)(ii) of Regulation S-K.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prepare our financial statements in accordance with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GAAP with no need for the application of judgment.</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certain circumstances, however, the preparation of consolidated financial statements in conformity with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While our significant accounting policies are more fully described in Note 2 – Basis of Presentation and Summary of Significant Accounting Policies of our consolidated financial statements included elsewhere in this prospectus, we believe the following topics reflect our critical accounting policies and our more significant judgment and estimates used in the preparation of our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that can be accessed. Our subscriptions contracts typically have a term of one to three years and are non-cancellable. We typically bill for services annually in advance or quarterly installment periods.</w:t>
      </w:r>
    </w:p>
    <w:p>
      <w:pPr>
        <w:spacing w:after="0" w:line="12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We analyze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0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generally recognize revenue for subscription contracts on a ratable basis over the contract term, beginning on the date that our service is made available to the customer. Unearned revenue results from amounts billed to customers in advance or cash received from customers in advance of the satisfaction of performance obligations.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Effective January 1, 2018, we adopted the requirements of Topic 606 using the full retrospective method of adoption.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Equity instruments issued in exchange for services performed by officers, employees, and directors of the Company are accounted for using a fair-value based method, and the fair value of such equity instruments are recognized 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240"/>
          </w:cols>
          <w:pgMar w:left="320" w:top="336" w:right="339" w:bottom="1440" w:gutter="0" w:footer="0" w:header="0"/>
        </w:sectPr>
      </w:pPr>
    </w:p>
    <w:bookmarkStart w:id="150" w:name="page151"/>
    <w:bookmarkEnd w:id="150"/>
    <w:p>
      <w:pPr>
        <w:jc w:val="both"/>
        <w:spacing w:after="0" w:line="289" w:lineRule="auto"/>
        <w:rPr>
          <w:sz w:val="20"/>
          <w:szCs w:val="20"/>
          <w:color w:val="auto"/>
        </w:rPr>
      </w:pPr>
      <w:r>
        <w:rPr>
          <w:rFonts w:ascii="Arial" w:cs="Arial" w:eastAsia="Arial" w:hAnsi="Arial"/>
          <w:sz w:val="17"/>
          <w:szCs w:val="17"/>
          <w:color w:val="auto"/>
        </w:rPr>
        <w:t>expense in the consolidated statements of operations. Typically, the Company issues profits interests to employees and officers with a return threshold that is set based on the fair value of the Company, as determined by the board of directors.</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Equity-based compensation expense is measured at the grant date of the equity-based awards that vest over set time periods. Compensation expense is recognized on a straight-line basis over the requisite services period. For profits interests, fair value is estimated using the Black-Scholes option-pricing model. We determine the assumptions for the option-pricing model as follows:</w:t>
      </w:r>
    </w:p>
    <w:p>
      <w:pPr>
        <w:spacing w:after="0" w:line="119" w:lineRule="exact"/>
        <w:rPr>
          <w:sz w:val="20"/>
          <w:szCs w:val="20"/>
          <w:color w:val="auto"/>
        </w:rPr>
      </w:pPr>
    </w:p>
    <w:p>
      <w:pPr>
        <w:ind w:left="640" w:hanging="321"/>
        <w:spacing w:after="0" w:line="289" w:lineRule="auto"/>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Risk-free interest rate - The risk-free interest rate is based on the U.S. Treasury yield curve in effect at the date closest to the grant date for zero-coupon U.S. Treasury notes with maturities approximately equal to the expected life of the equity grants.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Expected life - The expected life represents the period of time that the equity-based awards are expected to remain outstanding, giving consideration to vesting schedules and forfeiture patterns.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Volatility - The volatility is based on the historical volatility of the stock prices for comparable companies with a look-back period consistent with the expected life.</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Dividend yield - The dividend yield is assumed to be zero.</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Equity-based compensation that vests based on a performance event, such as a liquidity event, begins to be recognized at the date that the performance event becomes probable, and compensation expense is recognized on a straight-line basis over any remaining service period. As of January 1, 2019, the Company adopted ASU 2018-07 and upon the adoption, the Company determined the fair value of outstanding non-vested, non-employee awards and will recognize expense in the same periods and in the same manner as if the Company were to pay cash to the recipient in lieu of the non-employee award. Performance vesting programs are primarily payable in cash from an upper-tier holder of Company equity units based on the appreciation of such units. These awards were modified in December 2019 to add an alternative performance and time vesting condition and to also permit settlement through exchange into the Company’s shares in addition to the existing cash-settlement option. The Company re-determined the fair value of these outstanding non-vested, non-employee awards at the time of the modification in December 2019. The modified fair value of these incentive units is based on the Company’s underlying common unit equivalent.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Business Combinations</w:t>
      </w:r>
    </w:p>
    <w:p>
      <w:pPr>
        <w:spacing w:after="0" w:line="171"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240"/>
          </w:cols>
          <w:pgMar w:left="320" w:top="336" w:right="3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Goodwill is calculated as the excess of the purchase consideration paid in a business combination over the fair value of the assets acquired less liabilities assumed. Goodwill is not amortized, but instead is assigned to each of the Company’s reporting units and is tested for impairment at least annually or when events and circumstances indicate that fair value of a reporting unit may be below its carrying value. ZoomInfo OpCo has one reporting unit.</w:t>
      </w:r>
    </w:p>
    <w:p>
      <w:pPr>
        <w:spacing w:after="0" w:line="10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3" w:lineRule="exact"/>
        <w:rPr>
          <w:sz w:val="20"/>
          <w:szCs w:val="20"/>
          <w:color w:val="auto"/>
        </w:rPr>
      </w:pPr>
    </w:p>
    <w:p>
      <w:pPr>
        <w:jc w:val="both"/>
        <w:ind w:firstLine="314"/>
        <w:spacing w:after="0" w:line="314" w:lineRule="auto"/>
        <w:rPr>
          <w:sz w:val="20"/>
          <w:szCs w:val="20"/>
          <w:color w:val="auto"/>
        </w:rPr>
      </w:pPr>
      <w:r>
        <w:rPr>
          <w:rFonts w:ascii="Arial" w:cs="Arial" w:eastAsia="Arial" w:hAnsi="Arial"/>
          <w:sz w:val="15"/>
          <w:szCs w:val="15"/>
          <w:color w:val="auto"/>
        </w:rPr>
        <w:t>Acquired technology, customer lists, trade names or brand portfolios, and other intangible assets are related to previous acquisitions. Acquired intangible assets determined to have definite lives are amortized on a straight-line basis over the estimated period over which we expect to realize economic value related to the intangible asset. The amortization periods range from two years to 15 years. Acquired intangible assets determined to have indefinite lives are not amortized, but rather tested for impairment annually, or more often if and when events or circumstances indicate that the carrying value may not be recoverable.</w:t>
      </w:r>
    </w:p>
    <w:p>
      <w:pPr>
        <w:spacing w:after="0" w:line="9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Our most recent impairment assessment in 2018 determined that our goodwill and intangible assets were not impaired as the estimated fair value of our reporting unit substantially exceeded the carrying value.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ZoomInfo OpCo is comprised of two limited liability companies that are treated as partnerships for federal U.S. tax purposes, 10 limited liability companies that are treated as disregarded entities for federal U.S. tax purposes, two corporations that are C corporations, and two foreign entities.</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ZoomInfo OpCo is responsible for making payments directly to the relevant tax authority.</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that will be in effect when such differences are expected to reverse. Such temporary differences are reflected as other assets and deferred tax liabilities on the consolidated balance sheets. A deferred tax asset is recognized if it is more likely than not that a tax benefit will be accepted by a taxing authority.</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recognize the tax benefit from entity-level uncertain tax positions if it is more likely than not that the tax position will be sustained on examination by the tax authorities, based on technical merits of the position. The tax</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240"/>
          </w:cols>
          <w:pgMar w:left="320" w:top="337" w:right="339" w:bottom="1440" w:gutter="0" w:footer="0" w:header="0"/>
        </w:sectPr>
      </w:pPr>
    </w:p>
    <w:bookmarkStart w:id="152" w:name="page153"/>
    <w:bookmarkEnd w:id="152"/>
    <w:p>
      <w:pPr>
        <w:spacing w:after="0"/>
        <w:rPr>
          <w:sz w:val="20"/>
          <w:szCs w:val="20"/>
          <w:color w:val="auto"/>
        </w:rPr>
      </w:pPr>
      <w:r>
        <w:rPr>
          <w:rFonts w:ascii="Arial" w:cs="Arial" w:eastAsia="Arial" w:hAnsi="Arial"/>
          <w:sz w:val="17"/>
          <w:szCs w:val="17"/>
          <w:color w:val="auto"/>
        </w:rPr>
        <w:t>benefit is measured based on the largest benefit that has a greater than 50% likelihood of being realized upon ultimate settlement.</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After consummation of this offering, we will become subject to U.S. federal income taxes with respect to our allocable share of any U.S. taxable income of ZoomInfo OpCo and will be taxed at the prevailing U.S. corporate tax rates. We will be treated as a U.S. corporation and a regarded entity for U.S. federal, state, and local income taxes. Accordingly, a provision will be recorded for the anticipated tax consequences of our reported results of operations for U.S. federal, state, and foreign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Refer to Note 2 – Basis of Presentation and Summary of Significant Accounting Policies of our consolidated financial statements included elsewhere in this prospectus regarding recently issued accounting pronouncements which we adopted and have not yet adopted and the impact on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operations in the United States and internationally, and we are exposed to market risk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had significant debt commitments outstanding as of December 31, 2019. These on-balance sheet financial instruments, to the extent they accrue interest at variable interest rates, expose us to interest rate risk. We seek to manage interest rate risk by entering into interest rate swap and interest rate cap agreements with financial institutions. A hypothetical 1.0% increase or decrease in the interest rate associated with our secured credit facilities would have resulted in a $9.4 million impact to interest expense for the year ended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240"/>
          </w:cols>
          <w:pgMar w:left="320" w:top="337"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240"/>
          </w:cols>
          <w:pgMar w:left="320" w:top="337" w:right="33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222250</wp:posOffset>
            </wp:positionV>
            <wp:extent cx="6778625" cy="8783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778625" cy="878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9019"/>
          </w:cols>
          <w:pgMar w:left="1440" w:top="1440" w:right="1440"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222250</wp:posOffset>
            </wp:positionV>
            <wp:extent cx="6778625" cy="8783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778625" cy="878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221615</wp:posOffset>
            </wp:positionV>
            <wp:extent cx="6778625" cy="8783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778625" cy="878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9019"/>
          </w:cols>
          <w:pgMar w:left="1440" w:top="1440" w:right="1440"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222250</wp:posOffset>
            </wp:positionV>
            <wp:extent cx="6778625" cy="8783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6778625" cy="878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9019"/>
          </w:cols>
          <w:pgMar w:left="1440" w:top="1440"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mission is to unlock actionable business information and insights to make organizations more successful.</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ZoomInfo is a leading go-to-market intelligence platform for sales and marketing teams. Our cloud-based platform provides highly accurate and comprehensive information on the organizations and professionals they target. This “360-degree view” enables sellers and marketers to shorten sales cycles and increase win rates by delivering the right message, to the right person, at the right time, to hit their number.</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Every business needs to sell effectively to thrive. Today, sales and marketing is inherently inefficient. Sales representatives spend only a third of their time actually selling, in large part because they must spend so much of their time researching, curating, and organizing data, which is often of poor quality. Sales and marketing teams often lack scalable and actionable go-to-market intelligence to engage their customers and prospects. All organizations that sell to other businesses can use ZoomInfo to sell more, in a smarter, better, and faster way.</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Today, approximately 202,000 paid users leverage our platform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1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To enable this, our go-to-market intelligence platform delivers comprehensive and high-quality intelligence and analytics on approximately 14 million companies and over 120 million professionals. We combine that breadth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&amp; marketing automation systems. Our intelligence is kept up to date in real time.</w:t>
      </w:r>
    </w:p>
    <w:p>
      <w:pPr>
        <w:spacing w:after="0" w:line="1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By leveraging AI and ML, the ZoomInfo platform is able to process billions of raw data events and refine them into unique and actionable insights. To create these insights, our platform continuously collects, enriches, curates, and verifies the data from millions of proprietary and public sources, including our contributory network, which captures data on approximately 50 million contact record events daily from our free Community Edition users and many of our paying customers.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240"/>
          </w:cols>
          <w:pgMar w:left="320" w:top="331" w:right="339" w:bottom="1440" w:gutter="0" w:footer="0" w:header="0"/>
        </w:sectPr>
      </w:pPr>
    </w:p>
    <w:bookmarkStart w:id="159" w:name="page160"/>
    <w:bookmarkEnd w:id="159"/>
    <w:p>
      <w:pPr>
        <w:jc w:val="both"/>
        <w:ind w:firstLine="314"/>
        <w:spacing w:after="0" w:line="263" w:lineRule="auto"/>
        <w:rPr>
          <w:sz w:val="20"/>
          <w:szCs w:val="20"/>
          <w:color w:val="auto"/>
        </w:rPr>
      </w:pPr>
      <w:r>
        <w:rPr>
          <w:rFonts w:ascii="Arial" w:cs="Arial" w:eastAsia="Arial" w:hAnsi="Arial"/>
          <w:sz w:val="17"/>
          <w:szCs w:val="17"/>
          <w:color w:val="auto"/>
        </w:rPr>
        <w:t>Our software, insights, and data enable over 15,000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and range from the largest global enterprises, to mid-market companies, down to small businesses. As customers continue their journey with us, we help them move up the go-to-market maturity curve from basic go-to-market operations, such as finding target accounts and contacts, to more sophisticated motions, such as prioritizing accounts, automating workflows and campaigns, crafting nuanced pitches, and monitoring deal momentum. Our robust suite of software and insights supports every step along that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90170</wp:posOffset>
            </wp:positionV>
            <wp:extent cx="5189855" cy="2844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89855" cy="284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Independent of size or industry, we believe our platform can make almost any sales and marketing team more effective and more efficient. This broad applicability drives our TAM of approximately $24 billion, according to our estimates. Using the ZoomInfo platform, we have identified over 740,000 global businesses that sell to other businesses and have more than ten employees, which represent our potential customers. Our current customer base of over 15,000 implies penetration of approximately 2%.</w:t>
      </w:r>
    </w:p>
    <w:p>
      <w:pPr>
        <w:spacing w:after="0" w:line="126"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Internally, we use the ZoomInfo platform to drive our own highly effective and efficient go-to-market motion. We have developed a high-velocity lead generation engine and invested in tech-enabled processes, such as lead scoring and lead routing, fueled by our data and insights. When combined with our investments in onboarding, training and sales enablement, this results in an optimized go-to-market motion. For the 12 months ended March 31, 2020, our median new business sales cycle from opportunity creation to close was less than 30 days, and our average LTV compared to our average CAC was over 10x. Our focus on customer adoption, success, and expansion helps us to deliver continued value and creates opportunities for increased usage. Today, over 630 of our customers spend more than $100,000 in ACV, with 15 customers spending over $1,000,000 in ACV.</w:t>
      </w:r>
    </w:p>
    <w:p>
      <w:pPr>
        <w:spacing w:after="0" w:line="11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Subsequently, the combined business has been re-branded as ZoomInfo. We and Pre-Acquisition ZI generated revenue of $144.3 million and $72.5 million in 2018, respectively, and $293.3 million in 2019 and $9.7 million for the one month ended January 31, 2019, respectively. We generated revenue of $54.6 million and $102.2 million for the three months ended March 31, 2019 and March 31, 2020, respectively. We and Pre-Acquisition ZI generated net income (loss) of $(28.6) million and $(27.5) million in 2018, respectively, and $(78.0) million in 2019</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240"/>
          </w:cols>
          <w:pgMar w:left="320" w:top="337" w:right="339" w:bottom="1440" w:gutter="0" w:footer="0" w:header="0"/>
        </w:sectPr>
      </w:pPr>
    </w:p>
    <w:bookmarkStart w:id="160" w:name="page161"/>
    <w:bookmarkEnd w:id="160"/>
    <w:p>
      <w:pPr>
        <w:jc w:val="both"/>
        <w:spacing w:after="0" w:line="267" w:lineRule="auto"/>
        <w:rPr>
          <w:sz w:val="20"/>
          <w:szCs w:val="20"/>
          <w:color w:val="auto"/>
        </w:rPr>
      </w:pPr>
      <w:r>
        <w:rPr>
          <w:rFonts w:ascii="Arial" w:cs="Arial" w:eastAsia="Arial" w:hAnsi="Arial"/>
          <w:sz w:val="17"/>
          <w:szCs w:val="17"/>
          <w:color w:val="auto"/>
        </w:rPr>
        <w:t>and $0.8 million for the one month ended January 31, 2019, respectively. We generated net income (loss) of $(40.2) million and $(5.9) million for the three months ended March 31, 2019 and March 31, 2020, respectively. We generated Adjusted Operating Income of $83.6 million and $167.1 million in 2018 and 2019, respectively. We generated Adjusted Operating Income of $31.7 million and $49.1 million for the three months ended March 31, 2019 and March 31, 2020,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is Fundamental to Every Business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For every company, sales and marketing is a fundamental function that defines its success. As a result, businesses—from the largest enterprises to the smallest companies—typically spend significantly on sales and marketing activities. For example, Forbes Global 2000 companies collectively spent over $2 trillion on sales and marketing activities alone in 2018 according to Capital IQ. These sales and marketing activities span numerous teams, including demand generation, sales development, account executives, sales engineers, sales operations, sales enablement, product marketing, account management, customer success, customer marketing, managers, and executives. Alignment of these teams, combined with platforms and content to execute effective strategies, is critical to their success.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Business-to-Business (“B2B”) Sales and Marketing has Changed</w:t>
      </w:r>
    </w:p>
    <w:p>
      <w:pPr>
        <w:spacing w:after="0" w:line="171" w:lineRule="exact"/>
        <w:rPr>
          <w:sz w:val="20"/>
          <w:szCs w:val="20"/>
          <w:color w:val="auto"/>
        </w:rPr>
      </w:pPr>
    </w:p>
    <w:p>
      <w:pPr>
        <w:jc w:val="both"/>
        <w:ind w:firstLine="314"/>
        <w:spacing w:after="0" w:line="302" w:lineRule="auto"/>
        <w:rPr>
          <w:sz w:val="20"/>
          <w:szCs w:val="20"/>
          <w:color w:val="auto"/>
        </w:rPr>
      </w:pPr>
      <w:r>
        <w:rPr>
          <w:rFonts w:ascii="Arial" w:cs="Arial" w:eastAsia="Arial" w:hAnsi="Arial"/>
          <w:sz w:val="15"/>
          <w:szCs w:val="15"/>
          <w:color w:val="auto"/>
        </w:rPr>
        <w:t>Prior to the advent of sales and marketing technologies, businesses that sold to other businesses operated in an analog world, relying on field sales representatives to gather customer information and navigate sales processes. Sales representatives gathered data through in-person meetings and stored this information in their rolodexes. This process was manual, expensive, and inefficient. The data gathered was limited in depth, breadth, and accuracy, and began decaying as soon as it was captured. As a result, many sales representatives focused on existing customers, without effective methods to identify new accounts to target in a scalable, repeatable way. Additionally, information was often trapped inside the heads or spreadsheets of individual sales representatives and was often not shared with others in their organization. When sales representatives departed for another organization, they took their rolodexes and customer intelligence with them. Businesses lacked scalable systems to capture, disseminate, and leverage data and insights across their organizations.</w:t>
      </w:r>
    </w:p>
    <w:p>
      <w:pPr>
        <w:spacing w:after="0" w:line="105"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To address these problems, businesses invested in new technologies to digitally transform the way they sell and market. They adopted CRM systems, primarily to manage the sales process. These CRM systems also provided functionality to digitize sales representatives’ rolodexes and centralize information to be made available throughout an organization. Businesses also invested in marketing automation systems and new forms of customer engagement to automate different go-to-market tasks. As the recession hit in 2008, the focus on efficiency accelerated. The CRM market grew from $12 billion in 2009 to $42 billion in 2018, representing a nearly 250% increase, according to a 2019 Global Industry Analysts, Inc. report. In addition, the average percentage of full time sales employees allocated to inside sales representatives, the primary users of these CRM technologies, grew from 9% in 2014 to 16% in 2019 for B2B mid-sized organizations, and, for larger organizations, inside sales becomes a bigger component of the overall sales organization, according to SiriusDecisions.</w:t>
      </w:r>
    </w:p>
    <w:p>
      <w:pPr>
        <w:spacing w:after="0" w:line="11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Despite these investments, businesses still rely largely on manual processes to gather intelligence to drive these systems. Consequently, the data that supports CRM and sales &amp; marketing automation systems and workflows is frequently stale, inaccurate, incomplete, and limited in depth and breadth, making these systems and their impact on the businesses suboptimal and less valuable.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 is Still Inefficient</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According to Salesforce.com, sales representatives spend only a third of their time actually selling, in large part because they must spend so much of their time researching and organizing data, which is often of poor quality. This inefficiency is manifested in three main ways:</w:t>
      </w:r>
    </w:p>
    <w:p>
      <w:pPr>
        <w:spacing w:after="0" w:line="100" w:lineRule="exact"/>
        <w:rPr>
          <w:sz w:val="20"/>
          <w:szCs w:val="20"/>
          <w:color w:val="auto"/>
        </w:rPr>
      </w:pPr>
    </w:p>
    <w:p>
      <w:pPr>
        <w:jc w:val="both"/>
        <w:ind w:left="640" w:hanging="321"/>
        <w:spacing w:after="0" w:line="277" w:lineRule="auto"/>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It’s hard to find and engage with decision makers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Inaccurate or missing contact information plagues efforts to engage with a broad set of targets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quickly and efficiently. 30% to 50% of data in customers’ CRM and enterprise resource planning systems is incorrect at any given time. A Forrester survey we commissioned in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240"/>
          </w:cols>
          <w:pgMar w:left="320" w:top="336" w:right="339" w:bottom="1440" w:gutter="0" w:footer="0" w:header="0"/>
        </w:sectPr>
      </w:pPr>
    </w:p>
    <w:bookmarkStart w:id="161" w:name="page162"/>
    <w:bookmarkEnd w:id="161"/>
    <w:p>
      <w:pPr>
        <w:jc w:val="both"/>
        <w:ind w:left="640"/>
        <w:spacing w:after="0" w:line="289" w:lineRule="auto"/>
        <w:rPr>
          <w:sz w:val="20"/>
          <w:szCs w:val="20"/>
          <w:color w:val="auto"/>
        </w:rPr>
      </w:pPr>
      <w:r>
        <w:rPr>
          <w:rFonts w:ascii="Arial" w:cs="Arial" w:eastAsia="Arial" w:hAnsi="Arial"/>
          <w:sz w:val="16"/>
          <w:szCs w:val="16"/>
          <w:color w:val="auto"/>
        </w:rPr>
        <w:t>August 2019 reinforces these findings—only 8% of sales and marketing professionals said that their sales and marketing data is sufficiently accurate (greater than 90% accuracy). As a result, sales and marketing professionals find it difficult to connect with the right person in a specific organization, leading to countless manual one-off efforts to reach prospects, such as guessing email addresses or blindly calling mainline telephone numbers, which often get blocked. Ultimately, once they find the correct information, the data immediately begins to decay.</w:t>
      </w:r>
    </w:p>
    <w:p>
      <w:pPr>
        <w:spacing w:after="0" w:line="109" w:lineRule="exact"/>
        <w:rPr>
          <w:sz w:val="20"/>
          <w:szCs w:val="20"/>
          <w:color w:val="auto"/>
        </w:rPr>
      </w:pPr>
    </w:p>
    <w:p>
      <w:pPr>
        <w:jc w:val="both"/>
        <w:ind w:left="640" w:hanging="321"/>
        <w:spacing w:after="0" w:line="289" w:lineRule="auto"/>
        <w:tabs>
          <w:tab w:leader="none" w:pos="64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It’s hard to know when to engage. </w:t>
      </w:r>
      <w:r>
        <w:rPr>
          <w:rFonts w:ascii="Arial" w:cs="Arial" w:eastAsia="Arial" w:hAnsi="Arial"/>
          <w:sz w:val="16"/>
          <w:szCs w:val="16"/>
          <w:color w:val="auto"/>
        </w:rPr>
        <w:t>Sales and marketing professionals are much better positioned to land a sale when they have insights into when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intends to make a purchase. The earlier they know this, the better. Intent can be signaled by job postings, recent hires, press releases, technology usage, web activity, and buying behaviors. Manually gathering this information across a broad universe of prospects is not feasible, as it requires significant ongoing technology investment and innovation to gather the information at scale and ensure accuracy.</w:t>
      </w:r>
    </w:p>
    <w:p>
      <w:pPr>
        <w:spacing w:after="0" w:line="103" w:lineRule="exact"/>
        <w:rPr>
          <w:rFonts w:ascii="Arial" w:cs="Arial" w:eastAsia="Arial" w:hAnsi="Arial"/>
          <w:sz w:val="16"/>
          <w:szCs w:val="16"/>
          <w:color w:val="auto"/>
        </w:rPr>
      </w:pPr>
    </w:p>
    <w:p>
      <w:pPr>
        <w:jc w:val="both"/>
        <w:ind w:left="640" w:hanging="321"/>
        <w:spacing w:after="0" w:line="267" w:lineRule="auto"/>
        <w:tabs>
          <w:tab w:leader="none" w:pos="64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No data-driven way to prioritize targets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Prioritization decisions for sales and marketing resources are often made based on intuition, random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gathering, and instinct, instead of data. When companies do use data, it tends to be static and siloed, and does not reflect changes that happen in businesses every day. In order to properly prioritize accounts, companies need data-driven models to define what an attractive customer looks like and real-time intelligence to assess these targets. High-quality intelligence needs to be programmatically ingested, merged, and evaluated each day to make the sales and marketing process effective.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a Need for a Comprehensive Go-to-Market Intelligence Solution</w:t>
      </w:r>
    </w:p>
    <w:p>
      <w:pPr>
        <w:spacing w:after="0" w:line="171"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Sales and marketing teams need go-to-market intelligence to engage the right people, at the right companies, with the right message, at the right time. Go-to-market intelligence provides a “360-degree view,” aggregating all the information and intelligence gathered from numerous sources that together paint a comprehensive dynamic picture of target customers, their organizational structure, corporate hierarchy, decision-makers, and methods of contact. This all needs to be updated in real time and integrated into workflows through CRM and sales &amp; marketing automation systems—the systems nearly every company uses to manage its sales and marketing processes. This 360-degree view enables sales and marketing professionals to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w:t>
      </w:r>
    </w:p>
    <w:p>
      <w:pPr>
        <w:spacing w:after="0" w:line="11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Today, point solutions exist to aid in go-to-market intelligence efforts, but they only address a fraction of the 360-degree view of the customer, and often lack the accuracy required to be effective. These solutions may include contact lists, company databases, technology surveillance providers, buying intent monitors, and news aggregators.</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Companies that have implemented some B2B intelligence practices and technology, even at limited levels of maturity, have realized 35% more leads and 45% higher-quality leads, leading to higher revenue and faster growth, according to a Forrester survey we commissioned. The same report found that only 1.2% of companies have mature B2B intelligence practices and technology, indicating that today the market is still in the very early days for adoption of these solutions.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ZoomInfo Platform</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ZoomInfo is the go-to-market intelligence platform for over 15,000 sales and marketing teams worldwide as of March 31, 2020. Our cloud-based platform gives sales and marketing professionals highly accurate and comprehensive information and insights on the organizations and professionals they target. This 360-degree view provides detailed understanding, and coupled with our analytics, shortens sales cycles and increases win rates by enabling sellers and marketers to deliver the right message, to the right person, at the right time, to hit their number.</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had approximately 202,000 paid users using our paid platform as of March 31, 2020 with additional free users on our Community Edition product. Our platform helps users identify the best target customers, pinpoint the right decision makers, obtain continually updated predictive lead and company scoring, monitor buying signals and other attributes of target companies, craft the right message, engage via automated sales tools, and track progress through the deal cycle. Our users work in our platform on a daily basis. Our insights are also integrated into their workflows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240"/>
          </w:cols>
          <w:pgMar w:left="320" w:top="337" w:right="339" w:bottom="1440" w:gutter="0" w:footer="0" w:header="0"/>
        </w:sectPr>
      </w:pPr>
    </w:p>
    <w:bookmarkStart w:id="162" w:name="page163"/>
    <w:bookmarkEnd w:id="162"/>
    <w:p>
      <w:pPr>
        <w:jc w:val="both"/>
        <w:spacing w:after="0" w:line="289" w:lineRule="auto"/>
        <w:rPr>
          <w:sz w:val="20"/>
          <w:szCs w:val="20"/>
          <w:color w:val="auto"/>
        </w:rPr>
      </w:pPr>
      <w:r>
        <w:rPr>
          <w:rFonts w:ascii="Arial" w:cs="Arial" w:eastAsia="Arial" w:hAnsi="Arial"/>
          <w:sz w:val="17"/>
          <w:szCs w:val="17"/>
          <w:color w:val="auto"/>
        </w:rPr>
        <w:t>and CRM and sales &amp; marketing automation systems, including Salesforce, Marketo, HubSpot, Microsoft Dynamics, Oracle Sales Cloud, Bullhorn, Act-On, and a variety of other commonly used tools.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360-Degree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116840</wp:posOffset>
            </wp:positionV>
            <wp:extent cx="5189855" cy="2794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8985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March 31, 2020, our go-to-market platform delivered comprehensive intelligence and analytics on approximately 14 million companies and over 120 million professionals. We enhance these records with curated insights, such as personnel moves, pain points or planned investments, technologies used by companies, intent signals, advanced attributes (such as time series growth, granular department and location information, and employee trends), organizational charts, news and events, hierarchy information, locations, and funding details.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intelligence is kept up to date in real time. This enables us to provide our customers with a contractual guarantee that at least 95% of the employment information they access will be current. This is accomplished through a combination of robust systems and processes leveraging AI, ML and our proprietary human-in-the-loop approach.</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Furthermore, we also integrate our customer’s first-party data with our platform to deliver unique insights. As an example, customers can upload their historic win/loss data into our platform and determine which of our 50,000+ attributes best predicts success for future opportunities. Our go-to-market intelligence platform then identifies the highest-ranked targets across the 14 million companies in our platform.</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With ZoomInfo, the sales and marketing process becomes more streamlined and efficient, as demonstrated through the following examples:</w:t>
      </w:r>
    </w:p>
    <w:p>
      <w:pPr>
        <w:spacing w:after="0" w:line="165" w:lineRule="exact"/>
        <w:rPr>
          <w:sz w:val="20"/>
          <w:szCs w:val="20"/>
          <w:color w:val="auto"/>
        </w:rPr>
      </w:pPr>
    </w:p>
    <w:p>
      <w:pPr>
        <w:ind w:left="640" w:hanging="321"/>
        <w:spacing w:after="0" w:line="296" w:lineRule="auto"/>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One of the world’s largest </w:t>
      </w:r>
      <w:r>
        <w:rPr>
          <w:rFonts w:ascii="Arial" w:cs="Arial" w:eastAsia="Arial" w:hAnsi="Arial"/>
          <w:sz w:val="17"/>
          <w:szCs w:val="17"/>
          <w:b w:val="1"/>
          <w:bCs w:val="1"/>
          <w:color w:val="auto"/>
        </w:rPr>
        <w:t>banks</w:t>
      </w:r>
      <w:r>
        <w:rPr>
          <w:rFonts w:ascii="Arial" w:cs="Arial" w:eastAsia="Arial" w:hAnsi="Arial"/>
          <w:sz w:val="17"/>
          <w:szCs w:val="17"/>
          <w:color w:val="auto"/>
        </w:rPr>
        <w:t xml:space="preserve"> uses ZoomInfo to provide their newly hired financial advisors a global network of senior professionals to target from which they can build their books of business.</w:t>
      </w:r>
    </w:p>
    <w:p>
      <w:pPr>
        <w:spacing w:after="0" w:line="94" w:lineRule="exact"/>
        <w:rPr>
          <w:rFonts w:ascii="Arial" w:cs="Arial" w:eastAsia="Arial" w:hAnsi="Arial"/>
          <w:sz w:val="17"/>
          <w:szCs w:val="17"/>
          <w:color w:val="auto"/>
        </w:rPr>
      </w:pPr>
    </w:p>
    <w:p>
      <w:pPr>
        <w:jc w:val="both"/>
        <w:ind w:left="640" w:hanging="321"/>
        <w:spacing w:after="0" w:line="277" w:lineRule="auto"/>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telecom giant</w:t>
      </w:r>
      <w:r>
        <w:rPr>
          <w:rFonts w:ascii="Arial" w:cs="Arial" w:eastAsia="Arial" w:hAnsi="Arial"/>
          <w:sz w:val="17"/>
          <w:szCs w:val="17"/>
          <w:color w:val="auto"/>
        </w:rPr>
        <w:t xml:space="preserve"> uses the ZoomInfo application programming interface (“API”) to import all of our intelligence into its data lake—combining insights, such as tenants at a particular location and competitor technologies installed, with first-party insights, such as buildings with fiber—to enable their team of thousands of sellers.</w:t>
      </w:r>
    </w:p>
    <w:p>
      <w:pPr>
        <w:spacing w:after="0" w:line="109" w:lineRule="exact"/>
        <w:rPr>
          <w:rFonts w:ascii="Arial" w:cs="Arial" w:eastAsia="Arial" w:hAnsi="Arial"/>
          <w:sz w:val="17"/>
          <w:szCs w:val="17"/>
          <w:color w:val="auto"/>
        </w:rPr>
      </w:pPr>
    </w:p>
    <w:p>
      <w:pPr>
        <w:ind w:left="640" w:hanging="321"/>
        <w:spacing w:after="0" w:line="330" w:lineRule="auto"/>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auto"/>
        </w:rPr>
        <w:t>enterprise software</w:t>
      </w:r>
      <w:r>
        <w:rPr>
          <w:rFonts w:ascii="Arial" w:cs="Arial" w:eastAsia="Arial" w:hAnsi="Arial"/>
          <w:sz w:val="16"/>
          <w:szCs w:val="16"/>
          <w:color w:val="auto"/>
        </w:rPr>
        <w:t xml:space="preserve"> company uses ZoomInfo insights, such as the number of cyber security professionals employed and security technologies used at an organization, to conduct third-party vendor risk assessments for its customers, enabling them to make informed selection decisions.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240"/>
          </w:cols>
          <w:pgMar w:left="320" w:top="337" w:right="339" w:bottom="1440" w:gutter="0" w:footer="0" w:header="0"/>
        </w:sectPr>
      </w:pPr>
    </w:p>
    <w:bookmarkStart w:id="163" w:name="page164"/>
    <w:bookmarkEnd w:id="163"/>
    <w:p>
      <w:pPr>
        <w:ind w:left="640" w:hanging="321"/>
        <w:spacing w:after="0" w:line="296"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 Fortune 500 </w:t>
      </w:r>
      <w:r>
        <w:rPr>
          <w:rFonts w:ascii="Arial" w:cs="Arial" w:eastAsia="Arial" w:hAnsi="Arial"/>
          <w:sz w:val="17"/>
          <w:szCs w:val="17"/>
          <w:b w:val="1"/>
          <w:bCs w:val="1"/>
          <w:color w:val="auto"/>
        </w:rPr>
        <w:t>transportation and logistics</w:t>
      </w:r>
      <w:r>
        <w:rPr>
          <w:rFonts w:ascii="Arial" w:cs="Arial" w:eastAsia="Arial" w:hAnsi="Arial"/>
          <w:sz w:val="17"/>
          <w:szCs w:val="17"/>
          <w:color w:val="auto"/>
        </w:rPr>
        <w:t xml:space="preserve"> company uses ZoomInfo predictive intent data to identify potential prospects who are conducting online research on “high-volume printing” and “commercial printing solutions.”</w:t>
      </w:r>
    </w:p>
    <w:p>
      <w:pPr>
        <w:spacing w:after="0" w:line="94"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healthcare company</w:t>
      </w:r>
      <w:r>
        <w:rPr>
          <w:rFonts w:ascii="Arial" w:cs="Arial" w:eastAsia="Arial" w:hAnsi="Arial"/>
          <w:sz w:val="17"/>
          <w:szCs w:val="17"/>
          <w:color w:val="auto"/>
        </w:rPr>
        <w:t xml:space="preserve"> combats diabetes, hypertension, and high cholesterol by using ZoomInfo organizational charts to identify the top human resources contacts at large employers able to roll out programs companywide and better lives quickly and efficiently.</w:t>
      </w:r>
    </w:p>
    <w:p>
      <w:pPr>
        <w:spacing w:after="0" w:line="94" w:lineRule="exact"/>
        <w:rPr>
          <w:rFonts w:ascii="Arial" w:cs="Arial" w:eastAsia="Arial" w:hAnsi="Arial"/>
          <w:sz w:val="17"/>
          <w:szCs w:val="17"/>
          <w:color w:val="auto"/>
        </w:rPr>
      </w:pPr>
    </w:p>
    <w:p>
      <w:pPr>
        <w:ind w:left="640" w:hanging="321"/>
        <w:spacing w:after="0"/>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One of the largest </w:t>
      </w:r>
      <w:r>
        <w:rPr>
          <w:rFonts w:ascii="Arial" w:cs="Arial" w:eastAsia="Arial" w:hAnsi="Arial"/>
          <w:sz w:val="17"/>
          <w:szCs w:val="17"/>
          <w:b w:val="1"/>
          <w:bCs w:val="1"/>
          <w:color w:val="auto"/>
        </w:rPr>
        <w:t>management consulting</w:t>
      </w:r>
      <w:r>
        <w:rPr>
          <w:rFonts w:ascii="Arial" w:cs="Arial" w:eastAsia="Arial" w:hAnsi="Arial"/>
          <w:sz w:val="17"/>
          <w:szCs w:val="17"/>
          <w:color w:val="auto"/>
        </w:rPr>
        <w:t xml:space="preserve"> firms uses ZoomInfo to conduct targeted market research on behalf of its clients.</w:t>
      </w:r>
    </w:p>
    <w:p>
      <w:pPr>
        <w:spacing w:after="0" w:line="171"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 championship-winning </w:t>
      </w:r>
      <w:r>
        <w:rPr>
          <w:rFonts w:ascii="Arial" w:cs="Arial" w:eastAsia="Arial" w:hAnsi="Arial"/>
          <w:sz w:val="17"/>
          <w:szCs w:val="17"/>
          <w:b w:val="1"/>
          <w:bCs w:val="1"/>
          <w:color w:val="auto"/>
        </w:rPr>
        <w:t>professional basketball franchise</w:t>
      </w:r>
      <w:r>
        <w:rPr>
          <w:rFonts w:ascii="Arial" w:cs="Arial" w:eastAsia="Arial" w:hAnsi="Arial"/>
          <w:sz w:val="17"/>
          <w:szCs w:val="17"/>
          <w:color w:val="auto"/>
        </w:rPr>
        <w:t xml:space="preserve"> uses ZoomInfo to identify local businesses to purchase suites and human resources executives to develop employee engagement and perks programs.</w:t>
      </w:r>
    </w:p>
    <w:p>
      <w:pPr>
        <w:spacing w:after="0" w:line="94"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An </w:t>
      </w:r>
      <w:r>
        <w:rPr>
          <w:rFonts w:ascii="Arial" w:cs="Arial" w:eastAsia="Arial" w:hAnsi="Arial"/>
          <w:sz w:val="17"/>
          <w:szCs w:val="17"/>
          <w:b w:val="1"/>
          <w:bCs w:val="1"/>
          <w:color w:val="auto"/>
        </w:rPr>
        <w:t>HVAC and electrical company</w:t>
      </w:r>
      <w:r>
        <w:rPr>
          <w:rFonts w:ascii="Arial" w:cs="Arial" w:eastAsia="Arial" w:hAnsi="Arial"/>
          <w:sz w:val="17"/>
          <w:szCs w:val="17"/>
          <w:color w:val="auto"/>
        </w:rPr>
        <w:t xml:space="preserve"> uses ZoomInfo for address and location data so its sellers no longer have to drive around downtown areas looking for potential customers.</w:t>
      </w:r>
    </w:p>
    <w:p>
      <w:pPr>
        <w:spacing w:after="0" w:line="94" w:lineRule="exact"/>
        <w:rPr>
          <w:rFonts w:ascii="Arial" w:cs="Arial" w:eastAsia="Arial" w:hAnsi="Arial"/>
          <w:sz w:val="17"/>
          <w:szCs w:val="17"/>
          <w:color w:val="auto"/>
        </w:rPr>
      </w:pPr>
    </w:p>
    <w:p>
      <w:pPr>
        <w:ind w:left="640" w:hanging="321"/>
        <w:spacing w:after="0"/>
        <w:tabs>
          <w:tab w:leader="none" w:pos="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One of the world’s largest </w:t>
      </w:r>
      <w:r>
        <w:rPr>
          <w:rFonts w:ascii="Arial" w:cs="Arial" w:eastAsia="Arial" w:hAnsi="Arial"/>
          <w:sz w:val="17"/>
          <w:szCs w:val="17"/>
          <w:b w:val="1"/>
          <w:bCs w:val="1"/>
          <w:color w:val="auto"/>
        </w:rPr>
        <w:t>beauty product retailers</w:t>
      </w:r>
      <w:r>
        <w:rPr>
          <w:rFonts w:ascii="Arial" w:cs="Arial" w:eastAsia="Arial" w:hAnsi="Arial"/>
          <w:sz w:val="17"/>
          <w:szCs w:val="17"/>
          <w:color w:val="auto"/>
        </w:rPr>
        <w:t xml:space="preserve"> uses ZoomInfo to power its recruiting efforts by identifying and sourcing talent.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Data Engine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Machine Learning and Artificial Intelligence Technologies</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We are able to deliver high-quality intelligence at scale by leveraging an AI- and ML-powered engine that gathers data from millions of sources and standardizes, matches to entities, verifies, cleans, and applies the processed data to companies and people at scale to generate insights. To do this, we aggregate and extract distinct types of data, such as revenue, locations, technologies, keywords, contact information, including email addresses, titles, and phone numbers, and many others, from millions of public and proprietary sources, as detailed below. Our evidence-based ML algorithm scores, ranks, and makes determinations about these billions of data points each day. To help train our AI and ML technologies and augment our contributory network, we have a team of 300 research analysts and 40 data scientists with deep expertise in cleaning B2B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Examples of how the data engine works include:</w:t>
      </w:r>
    </w:p>
    <w:p>
      <w:pPr>
        <w:spacing w:after="0" w:line="171" w:lineRule="exact"/>
        <w:rPr>
          <w:sz w:val="20"/>
          <w:szCs w:val="20"/>
          <w:color w:val="auto"/>
        </w:rPr>
      </w:pPr>
    </w:p>
    <w:p>
      <w:pPr>
        <w:jc w:val="both"/>
        <w:ind w:left="640" w:hanging="321"/>
        <w:spacing w:after="0" w:line="273"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collected 72 pieces of data related to a professional’s contact information over a three-year period, including seven unique email addresses and four unique phone numbers. Our algorithm factors in source count, source reliability, recency, and other attributes to accurately identify the professional’s contact information and publish that information in our platform.</w:t>
      </w:r>
    </w:p>
    <w:p>
      <w:pPr>
        <w:spacing w:after="0" w:line="118"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We receive an email signature from Jane Doe through the contributory network, indicating her role is VP of Application Security at Alpha Corp., we compare that to prior data indicating her job title was Senior Director, and we publish her promotion to our platform.</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VP of Marketing at a retail company responds to one of our automated surveys, indicating he plans to hire a new digital advertising agency within the next 12 months, which is published as a scoop on our platform.</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Our AI technology reads an agenda for a software company’s conference and identifies that the CEO of Omega Corp. is a keynote speaker at the conference, creating a piece of evidence that Omega Corp. is likely a customer.</w:t>
      </w:r>
    </w:p>
    <w:p>
      <w:pPr>
        <w:spacing w:after="0" w:line="105" w:lineRule="exact"/>
        <w:rPr>
          <w:rFonts w:ascii="Arial" w:cs="Arial" w:eastAsia="Arial" w:hAnsi="Arial"/>
          <w:sz w:val="17"/>
          <w:szCs w:val="17"/>
          <w:color w:val="auto"/>
        </w:rPr>
      </w:pPr>
    </w:p>
    <w:p>
      <w:pPr>
        <w:ind w:left="640" w:hanging="321"/>
        <w:spacing w:after="0" w:line="322" w:lineRule="auto"/>
        <w:tabs>
          <w:tab w:leader="none" w:pos="6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Our human-in-the-loop AI system detects potentially new C-Level hires and surfaces them to research analysts for acceptance or rejection in a review queue. The aggregated feedback from human researchers is used to make decisions about automatically rejecting or accepting future cases.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240"/>
          </w:cols>
          <w:pgMar w:left="320" w:top="331" w:right="3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b w:val="1"/>
          <w:bCs w:val="1"/>
          <w:color w:val="auto"/>
        </w:rPr>
        <w:t>Our Data Sources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have a number of data sources, including proprietary sources, that enrich our platform as detailed below.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Contributory Network</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Our free users and many of our paying customers contribute data that enhances our platform. Many of our paying customers participate in our contributory network to improve the quality of the data within their CRM and sales &amp; marketing automation systems. Similarly, all of our free Community Edition users participate in our contributory network to get access to data. Our contributory network captures data on approximately 50 million email signatures, email deliverability and contact update records daily. We obtain email signatures, which are rich sources of data, through integrations with email systems, and also obtain unattributed data through integrations with our customers’ CRM and sales &amp; marketing automation systems. This gives us visibility into hundreds of millions of confirmatory and disqualifying signals each month, allowing us to keep our data and our customers’ data cleaned in real time and create accuracy scores for the content. In addition to enriching our existing data, these types of records often provide us with additional data and actionable insights, such as professionals getting promoted, changing jobs or leaving companies.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Unstructured Public Information</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patented and proprietary technologies extract and parse unstructured information found on webpages, newsfeeds, blogs, and other public sources, and then match that information with entities that we have previously identified. The conversion of unstructured data to actionable insights at massive scale is highly valuable to our customers. We monitor over 45 million web domains.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Training Lab</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We have developed hundreds of processes, largely automated, to gather information from sources, such as PBX directories, website traffic and source code, and proprietary surveys. Our researchers develop proprietary libraries that map raw data points to additional information to generate useful insights. For example, we enhance technology to gather a telephone number extension at a particular company and location by leveraging our library to generate a full direct dial phone number, by appending the correct area code and prefix. Combining these libraries with the wealth of information we gather from our contributory network and unstructured public and generally available information allows us to provide proprietary data points for customers.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Generally Available Information</w:t>
      </w:r>
    </w:p>
    <w:p>
      <w:pPr>
        <w:spacing w:after="0" w:line="171"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We purchase a limited amount of data from third-party vendors (</w:t>
      </w:r>
      <w:r>
        <w:rPr>
          <w:rFonts w:ascii="Arial" w:cs="Arial" w:eastAsia="Arial" w:hAnsi="Arial"/>
          <w:sz w:val="16"/>
          <w:szCs w:val="16"/>
          <w:i w:val="1"/>
          <w:iCs w:val="1"/>
          <w:color w:val="auto"/>
        </w:rPr>
        <w:t>e.g.</w:t>
      </w:r>
      <w:r>
        <w:rPr>
          <w:rFonts w:ascii="Arial" w:cs="Arial" w:eastAsia="Arial" w:hAnsi="Arial"/>
          <w:sz w:val="16"/>
          <w:szCs w:val="16"/>
          <w:color w:val="auto"/>
        </w:rPr>
        <w:t>, other data brokers) to be used in our platform. Our technology typically adds value to this data by combining it with our proprietary insights. In 2019, we spent less than $3 million on such data, with spend decreasing year over year.</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Benefits of Our Platform</w:t>
      </w:r>
    </w:p>
    <w:p>
      <w:pPr>
        <w:spacing w:after="0" w:line="177" w:lineRule="exact"/>
        <w:rPr>
          <w:sz w:val="20"/>
          <w:szCs w:val="20"/>
          <w:color w:val="auto"/>
        </w:rPr>
      </w:pPr>
    </w:p>
    <w:p>
      <w:pPr>
        <w:jc w:val="both"/>
        <w:ind w:left="640" w:hanging="321"/>
        <w:spacing w:after="0" w:line="301" w:lineRule="auto"/>
        <w:tabs>
          <w:tab w:leader="none" w:pos="640"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Significant and Measurable Revenue Improvement. </w:t>
      </w:r>
      <w:r>
        <w:rPr>
          <w:rFonts w:ascii="Arial" w:cs="Arial" w:eastAsia="Arial" w:hAnsi="Arial"/>
          <w:sz w:val="15"/>
          <w:szCs w:val="15"/>
          <w:color w:val="auto"/>
        </w:rPr>
        <w:t>The highly accurate and deep intelligence on existing and prospective customers, coupled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analytics and prioritization engines that we provide, increases revenue for our customers. Proving this to our customers is easy, because we integrate with the systems that they use to attribute revenue at the end of each month, quarter, and year. In some cases, the ROI that we generate can exceed 100 times the annual spend on the ZoomInfo platform. For example, a tier 1 global bank with initial spend of approximately $17,000 in 2006, expanded to approximately 1,000 licenses and increased spend to approximately $1.4 million annually as of March 31, 2020 after thirteen of their top users generated approximately $46 million in net new money in the first 12 months of use. Similarly, a telecom giant that uses the ZoomInfo platform to empower its salesforce with attribute insights had initial spend of approximately $6,000 in 2017, grew to spend of approximately $1.1 million as of March 31, 2020 and used the ZoomInfo platform to drive approximately $43 million in closed business attributable to ZoomInfo in 24 months.</w:t>
      </w:r>
    </w:p>
    <w:p>
      <w:pPr>
        <w:spacing w:after="0" w:line="103" w:lineRule="exact"/>
        <w:rPr>
          <w:rFonts w:ascii="Arial" w:cs="Arial" w:eastAsia="Arial" w:hAnsi="Arial"/>
          <w:sz w:val="15"/>
          <w:szCs w:val="15"/>
          <w:color w:val="auto"/>
        </w:rPr>
      </w:pPr>
    </w:p>
    <w:p>
      <w:pPr>
        <w:jc w:val="both"/>
        <w:ind w:left="640" w:hanging="321"/>
        <w:spacing w:after="0" w:line="273" w:lineRule="auto"/>
        <w:tabs>
          <w:tab w:leader="none" w:pos="64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Unmatched Accuracy, Depth, and Coverage of Data. </w:t>
      </w:r>
      <w:r>
        <w:rPr>
          <w:rFonts w:ascii="Arial" w:cs="Arial" w:eastAsia="Arial" w:hAnsi="Arial"/>
          <w:sz w:val="17"/>
          <w:szCs w:val="17"/>
          <w:color w:val="auto"/>
        </w:rPr>
        <w:t>We gather data from millions of sources to power our AI- and ML-driven platform. We are 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provide a guarantee of 95%+ accuracy as a result of our focus on quality, coupled with proprietary methods to extract, parse, match, and clean data. Our data accuracy also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240"/>
          </w:cols>
          <w:pgMar w:left="320" w:top="331" w:right="339" w:bottom="1440" w:gutter="0" w:footer="0" w:header="0"/>
        </w:sectPr>
      </w:pPr>
    </w:p>
    <w:bookmarkStart w:id="165" w:name="page166"/>
    <w:bookmarkEnd w:id="165"/>
    <w:p>
      <w:pPr>
        <w:jc w:val="both"/>
        <w:ind w:left="640"/>
        <w:spacing w:after="0" w:line="273" w:lineRule="auto"/>
        <w:rPr>
          <w:sz w:val="20"/>
          <w:szCs w:val="20"/>
          <w:color w:val="auto"/>
        </w:rPr>
      </w:pPr>
      <w:r>
        <w:rPr>
          <w:rFonts w:ascii="Arial" w:cs="Arial" w:eastAsia="Arial" w:hAnsi="Arial"/>
          <w:sz w:val="17"/>
          <w:szCs w:val="17"/>
          <w:color w:val="auto"/>
        </w:rPr>
        <w:t>allows sales and marketing professionals to realize the value promised by their CRM and sales &amp; marketing automation systems. We do not believe that any other solution provides the depth and breadth of data that we provide on approximately 14 million companies and over 120 million professionals.</w:t>
      </w:r>
    </w:p>
    <w:p>
      <w:pPr>
        <w:spacing w:after="0" w:line="119" w:lineRule="exact"/>
        <w:rPr>
          <w:sz w:val="20"/>
          <w:szCs w:val="20"/>
          <w:color w:val="auto"/>
        </w:rPr>
      </w:pPr>
    </w:p>
    <w:p>
      <w:pPr>
        <w:jc w:val="both"/>
        <w:ind w:left="640" w:hanging="321"/>
        <w:spacing w:after="0" w:line="265" w:lineRule="auto"/>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Data Points Drive Valuable Insights. </w:t>
      </w:r>
      <w:r>
        <w:rPr>
          <w:rFonts w:ascii="Arial" w:cs="Arial" w:eastAsia="Arial" w:hAnsi="Arial"/>
          <w:sz w:val="17"/>
          <w:szCs w:val="17"/>
          <w:color w:val="auto"/>
        </w:rPr>
        <w:t>Leveraging our unique data asset, we are able to provide sales and marketing professionals with a 360-degree view of their target customers. We integrate unique data points that are proprietary to ZoomInfo with our customers’ data to enrich their information and develop unique insights. An example of this is our ability to shorten online inbound marketing forms to increase the probability of their completion. We do this by taking only a single data point provided by a prospect, such as an email address, and we enrich the record with additional relevant information that we have such as title, job function, size of organization and more.</w:t>
      </w:r>
    </w:p>
    <w:p>
      <w:pPr>
        <w:spacing w:after="0" w:line="119"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b w:val="1"/>
          <w:bCs w:val="1"/>
          <w:i w:val="1"/>
          <w:iCs w:val="1"/>
          <w:color w:val="auto"/>
        </w:rPr>
        <w:t>Integrated and Automated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cloud-based platform is available to our customers wherever needed and can be accessed from any device,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anywhere in the world, in a secure manner. Our insights can also be delivered directly into our customers’ workflows and supporting infrastructure, including Salesforce, Marketo, HubSpot, Microsoft Dynamics, Oracle Sales Cloud, and a variety of other commonly used platforms. The vast majority of our customers integrate ZoomInfo with their most-used CRM or sales &amp; marketing automation system. We make all of these systems better because of the accurate data and insights that we provide.</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177" w:lineRule="exact"/>
        <w:rPr>
          <w:sz w:val="20"/>
          <w:szCs w:val="20"/>
          <w:color w:val="auto"/>
        </w:rPr>
      </w:pPr>
    </w:p>
    <w:p>
      <w:pPr>
        <w:jc w:val="both"/>
        <w:ind w:left="640" w:hanging="321"/>
        <w:spacing w:after="0" w:line="283" w:lineRule="auto"/>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Leader with a Comprehensive Go-to-Market Intelligence Platform. </w:t>
      </w:r>
      <w:r>
        <w:rPr>
          <w:rFonts w:ascii="Arial" w:cs="Arial" w:eastAsia="Arial" w:hAnsi="Arial"/>
          <w:sz w:val="16"/>
          <w:szCs w:val="16"/>
          <w:color w:val="auto"/>
        </w:rPr>
        <w:t>We provide the most accurate and comprehensive go-to-market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platform available. Customers leverage our complete view of their target customers and prospects to drive effectiveness and efficiency. Our platform covered 4.6 million U.S. companies with at least one employee (compared to 5.28 million U.S. companies with at least one employee identified by the U.S. Bureau of Labor Statistics) with a contractual guarantee that at least 95% of the employment information they access will be current. We do all these things at scale and in real time, and integrate into our customers’ workflows and systems. Our market leadership enables us to drive greater customer adoption based on our leading reputation, users that move among companies, and word of mouth.</w:t>
      </w:r>
    </w:p>
    <w:p>
      <w:pPr>
        <w:spacing w:after="0" w:line="112" w:lineRule="exact"/>
        <w:rPr>
          <w:rFonts w:ascii="Arial" w:cs="Arial" w:eastAsia="Arial" w:hAnsi="Arial"/>
          <w:sz w:val="16"/>
          <w:szCs w:val="16"/>
          <w:color w:val="auto"/>
        </w:rPr>
      </w:pPr>
    </w:p>
    <w:p>
      <w:pPr>
        <w:jc w:val="both"/>
        <w:ind w:left="640" w:hanging="321"/>
        <w:spacing w:after="0" w:line="285" w:lineRule="auto"/>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Finely Tuned Go-to-Market Model. </w:t>
      </w:r>
      <w:r>
        <w:rPr>
          <w:rFonts w:ascii="Arial" w:cs="Arial" w:eastAsia="Arial" w:hAnsi="Arial"/>
          <w:sz w:val="16"/>
          <w:szCs w:val="16"/>
          <w:color w:val="auto"/>
        </w:rPr>
        <w:t>We utilize the ZoomInfo platform to power our efficient go-to-market motion. Our median new business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cycle from opportunity creation to close was less than 30 days for the year ended December 31, 2019. For the same period, our average LTV to average CAC was over 10x. We achieve this efficiency while sourcing 40% of our sales from our outbound sales motions, meaning that we generate sales from customers that did not proactively ask for a demo or fill out a form on our website. The ZoomInfo platform, with its accurate insights combined with a predominantly inside-sales model that is efficient and scalable, has capacity to sell additional products and services.</w:t>
      </w:r>
    </w:p>
    <w:p>
      <w:pPr>
        <w:spacing w:after="0" w:line="112" w:lineRule="exact"/>
        <w:rPr>
          <w:rFonts w:ascii="Arial" w:cs="Arial" w:eastAsia="Arial" w:hAnsi="Arial"/>
          <w:sz w:val="16"/>
          <w:szCs w:val="16"/>
          <w:color w:val="auto"/>
        </w:rPr>
      </w:pPr>
    </w:p>
    <w:p>
      <w:pPr>
        <w:jc w:val="both"/>
        <w:ind w:left="640" w:hanging="321"/>
        <w:spacing w:after="0" w:line="263" w:lineRule="auto"/>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High-Velocity Software Development. </w:t>
      </w:r>
      <w:r>
        <w:rPr>
          <w:rFonts w:ascii="Arial" w:cs="Arial" w:eastAsia="Arial" w:hAnsi="Arial"/>
          <w:sz w:val="17"/>
          <w:szCs w:val="17"/>
          <w:color w:val="auto"/>
        </w:rPr>
        <w:t>We foster an innovative, fast-paced engineering culture that enabled the development, launch, and adoption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112 product features and services in 2019, including a new platform bringing together the best features and intelligence of DiscoverOrg and Pre-Acquisition ZI into a single offering. Our own go-to-market engine relies on our platform and serves as a laboratory environment to continually experiment and test new approaches to drive sales effectiveness, and innovate our product. Our team delivers new features in less than two weeks and fixes many deficiencies in our platform in under an hour. We deliver this speed by relentlessly focusing on the visibility, efficiency and predictability of our engineering team.</w:t>
      </w:r>
    </w:p>
    <w:p>
      <w:pPr>
        <w:spacing w:after="0" w:line="129" w:lineRule="exact"/>
        <w:rPr>
          <w:rFonts w:ascii="Arial" w:cs="Arial" w:eastAsia="Arial" w:hAnsi="Arial"/>
          <w:sz w:val="17"/>
          <w:szCs w:val="17"/>
          <w:color w:val="auto"/>
        </w:rPr>
      </w:pPr>
    </w:p>
    <w:p>
      <w:pPr>
        <w:jc w:val="both"/>
        <w:ind w:left="640" w:hanging="321"/>
        <w:spacing w:after="0" w:line="265" w:lineRule="auto"/>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Enthusiasm Driven by Our Base of “Fanatic Users.” </w:t>
      </w:r>
      <w:r>
        <w:rPr>
          <w:rFonts w:ascii="Arial" w:cs="Arial" w:eastAsia="Arial" w:hAnsi="Arial"/>
          <w:sz w:val="17"/>
          <w:szCs w:val="17"/>
          <w:color w:val="auto"/>
        </w:rPr>
        <w:t>We have approximately 82,000 “Fanatic Users,” which we define as users with over 100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such as searches, exports, record views, and list match requests, among others, on the platform per month, which represents approximately 41% of our paid user base. We believe our Fanatic Users drive viral adoption of our platform through word of mouth amongst the influencer community within sales and marketing and within their organizations. Additionally, we have won new customers through former users that joined a new company and encouraged their new company to become a customer.</w:t>
      </w:r>
    </w:p>
    <w:p>
      <w:pPr>
        <w:spacing w:after="0" w:line="12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and Significant Network Effects. </w:t>
      </w:r>
      <w:r>
        <w:rPr>
          <w:rFonts w:ascii="Arial" w:cs="Arial" w:eastAsia="Arial" w:hAnsi="Arial"/>
          <w:sz w:val="17"/>
          <w:szCs w:val="17"/>
          <w:color w:val="auto"/>
        </w:rPr>
        <w:t>Driven by growth in our contributory network, the number of records we receive from our network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grown to approximately 50 million per day. As our contributory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240"/>
          </w:cols>
          <w:pgMar w:left="320" w:top="337" w:right="339" w:bottom="1440" w:gutter="0" w:footer="0" w:header="0"/>
        </w:sectPr>
      </w:pPr>
    </w:p>
    <w:bookmarkStart w:id="166" w:name="page167"/>
    <w:bookmarkEnd w:id="166"/>
    <w:p>
      <w:pPr>
        <w:ind w:left="640"/>
        <w:spacing w:after="0" w:line="289" w:lineRule="auto"/>
        <w:rPr>
          <w:sz w:val="20"/>
          <w:szCs w:val="20"/>
          <w:color w:val="auto"/>
        </w:rPr>
      </w:pPr>
      <w:r>
        <w:rPr>
          <w:rFonts w:ascii="Arial" w:cs="Arial" w:eastAsia="Arial" w:hAnsi="Arial"/>
          <w:sz w:val="17"/>
          <w:szCs w:val="17"/>
          <w:color w:val="auto"/>
        </w:rPr>
        <w:t>network grows, so does the data we receive, which drives the accuracy and coverage of the intelligence we provide. This growth in data, and thus go-to-market intelligence, provides greater value to our customers, who benefit with the addition of each incremental user.</w:t>
      </w:r>
    </w:p>
    <w:p>
      <w:pPr>
        <w:spacing w:after="0" w:line="106" w:lineRule="exact"/>
        <w:rPr>
          <w:sz w:val="20"/>
          <w:szCs w:val="20"/>
          <w:color w:val="auto"/>
        </w:rPr>
      </w:pPr>
    </w:p>
    <w:p>
      <w:pPr>
        <w:jc w:val="both"/>
        <w:ind w:left="640" w:hanging="321"/>
        <w:spacing w:after="0" w:line="273" w:lineRule="auto"/>
        <w:tabs>
          <w:tab w:leader="none" w:pos="640" w:val="left"/>
        </w:tabs>
        <w:numPr>
          <w:ilvl w:val="0"/>
          <w:numId w:val="1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t>
      </w:r>
      <w:r>
        <w:rPr>
          <w:rFonts w:ascii="Arial" w:cs="Arial" w:eastAsia="Arial" w:hAnsi="Arial"/>
          <w:sz w:val="17"/>
          <w:szCs w:val="17"/>
          <w:color w:val="auto"/>
        </w:rPr>
        <w:t>Our co-founder and CEO, Henry Schuck, pioneered the category of go-to-market intelligence and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force behind our vision, mission, and culture. Our highly talented, customer-centric senior leadership enables us to rapidly develop new products, move more quickly than our competition, and build our fast-paced, execution-oriented culture.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 Opportunity</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believe that companies of all sizes and across all industries will invest in go-to-market intelligence systems given the critical role sales and marketing play for all companies, the high ROI that successful adoption can bring, and the requirement for all businesses to keep up with their competitors. As such, we estimate the TAM for our platform to be approximately $24 billion, based on data as of March 31, 2020.</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calculate our TAM by estimating the total number of companies by employee size for companies with 1,000 or more employees, companies with 100 to 999 employees, and companies with 10 to 99 employees and applying the ACV to each respective company using internally generated data of actual customer spend by company size. The aggregate calculated value represents our estimated TAM. Data for numbers of companies by employee count is from our ZoomInfo platform that we have identified as relevant prospects for our platform.</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ACV applied to the specifically identified number of companies by employee size is calculated by leveraging internal company data on current customer spend, which is concentrated on sales and marketing use cases today. For our companies with 1,000 or more employees, we have applied the average ACV of our top quartile of customers with 1,000 or more employees, who we believe have achieved broader implementation of our platform across their organizations. For companies with 100 to 999 employees and companies with 10 to 99 employees, we have applied an average ACV based on current spend for our customers in these bands.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Strategy</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intend to drive the growth of our business through the following strategies:</w:t>
      </w:r>
    </w:p>
    <w:p>
      <w:pPr>
        <w:spacing w:after="0" w:line="171" w:lineRule="exact"/>
        <w:rPr>
          <w:sz w:val="20"/>
          <w:szCs w:val="20"/>
          <w:color w:val="auto"/>
        </w:rPr>
      </w:pPr>
    </w:p>
    <w:p>
      <w:pPr>
        <w:jc w:val="both"/>
        <w:ind w:left="640" w:hanging="321"/>
        <w:spacing w:after="0" w:line="267"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Acquire New Customers. </w:t>
      </w:r>
      <w:r>
        <w:rPr>
          <w:rFonts w:ascii="Arial" w:cs="Arial" w:eastAsia="Arial" w:hAnsi="Arial"/>
          <w:sz w:val="17"/>
          <w:szCs w:val="17"/>
          <w:color w:val="auto"/>
        </w:rPr>
        <w:t>Using the ZoomInfo platform, we have identified over 740,000 global businesses that sell to other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have more than 10 employees, which represent our potential customers. Our current customer base of over 15,000 implies penetration of approximately 2%. We won approximately $101 million of ACV across approximately 5,500 new customers in the year ended December 31, 2019. We plan to continue to acquire new customers with our efficient and scalable go-to-market engine.</w:t>
      </w:r>
    </w:p>
    <w:p>
      <w:pPr>
        <w:spacing w:after="0" w:line="125" w:lineRule="exact"/>
        <w:rPr>
          <w:rFonts w:ascii="Arial" w:cs="Arial" w:eastAsia="Arial" w:hAnsi="Arial"/>
          <w:sz w:val="17"/>
          <w:szCs w:val="17"/>
          <w:color w:val="auto"/>
        </w:rPr>
      </w:pPr>
    </w:p>
    <w:p>
      <w:pPr>
        <w:jc w:val="both"/>
        <w:ind w:left="640" w:hanging="321"/>
        <w:spacing w:after="0" w:line="297" w:lineRule="auto"/>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Additional High-Value Solutions to Our Existing Customers. </w:t>
      </w:r>
      <w:r>
        <w:rPr>
          <w:rFonts w:ascii="Arial" w:cs="Arial" w:eastAsia="Arial" w:hAnsi="Arial"/>
          <w:sz w:val="16"/>
          <w:szCs w:val="16"/>
          <w:color w:val="auto"/>
        </w:rPr>
        <w:t>We often expand within existing customers as they realize the value of using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and identify opportunities to drive more sales in two ways: customers upgrade their platform or purchase additional services. In the year ended December 31, 2019, customers upgraded their platform or purchased additional services almost 6,000 times.</w:t>
      </w:r>
    </w:p>
    <w:p>
      <w:pPr>
        <w:spacing w:after="0" w:line="102" w:lineRule="exact"/>
        <w:rPr>
          <w:rFonts w:ascii="Arial" w:cs="Arial" w:eastAsia="Arial" w:hAnsi="Arial"/>
          <w:sz w:val="16"/>
          <w:szCs w:val="16"/>
          <w:color w:val="auto"/>
        </w:rPr>
      </w:pPr>
    </w:p>
    <w:p>
      <w:pPr>
        <w:jc w:val="both"/>
        <w:ind w:left="640" w:hanging="321"/>
        <w:spacing w:after="0" w:line="267"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Incremental Penetration Within Enterprises. </w:t>
      </w:r>
      <w:r>
        <w:rPr>
          <w:rFonts w:ascii="Arial" w:cs="Arial" w:eastAsia="Arial" w:hAnsi="Arial"/>
          <w:sz w:val="17"/>
          <w:szCs w:val="17"/>
          <w:color w:val="auto"/>
        </w:rPr>
        <w:t>We believe we are underpenetrated in the enterprise market and that, within many of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enterprise customers, we have significant room to expand use cases and users. We will expand our dedicated enterprise-focused inside sales team to focus our efforts on this opportunity. We already have traction expanding within our larger accounts: our segment of customers with over $100,000 of ACV as of December 31, 2019 experienced 65% ACV growth during the prior 12 months.</w:t>
      </w:r>
    </w:p>
    <w:p>
      <w:pPr>
        <w:spacing w:after="0" w:line="125" w:lineRule="exact"/>
        <w:rPr>
          <w:rFonts w:ascii="Arial" w:cs="Arial" w:eastAsia="Arial" w:hAnsi="Arial"/>
          <w:sz w:val="17"/>
          <w:szCs w:val="17"/>
          <w:color w:val="auto"/>
        </w:rPr>
      </w:pPr>
    </w:p>
    <w:p>
      <w:pPr>
        <w:jc w:val="both"/>
        <w:ind w:left="640" w:hanging="321"/>
        <w:spacing w:after="0" w:line="289" w:lineRule="auto"/>
        <w:tabs>
          <w:tab w:leader="none" w:pos="64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Platform for Adjacent Use Cases such as Recruiting. </w:t>
      </w:r>
      <w:r>
        <w:rPr>
          <w:rFonts w:ascii="Arial" w:cs="Arial" w:eastAsia="Arial" w:hAnsi="Arial"/>
          <w:sz w:val="16"/>
          <w:szCs w:val="16"/>
          <w:color w:val="auto"/>
        </w:rPr>
        <w:t>Customers are organically adopting our existing platform for new use cases,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recruiting, investing, market research, compliance and collections. We have a significant opportunity to tune the front end of our platform to create new offerings that squarely meet the needs of these new use cases and expand our TAM. For example, we intend to build our recruiting offering by developing recruiting-specific features, analytics and front-end tools that leverage our existing data, insights and platform.</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240"/>
          </w:cols>
          <w:pgMar w:left="320" w:top="337" w:right="339" w:bottom="1440" w:gutter="0" w:footer="0" w:header="0"/>
        </w:sectPr>
      </w:pPr>
    </w:p>
    <w:bookmarkStart w:id="167" w:name="page168"/>
    <w:bookmarkEnd w:id="167"/>
    <w:p>
      <w:pPr>
        <w:jc w:val="both"/>
        <w:ind w:left="640" w:hanging="321"/>
        <w:spacing w:after="0" w:line="289" w:lineRule="auto"/>
        <w:tabs>
          <w:tab w:leader="none" w:pos="640"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to International Markets. </w:t>
      </w:r>
      <w:r>
        <w:rPr>
          <w:rFonts w:ascii="Arial" w:cs="Arial" w:eastAsia="Arial" w:hAnsi="Arial"/>
          <w:sz w:val="16"/>
          <w:szCs w:val="16"/>
          <w:color w:val="auto"/>
        </w:rPr>
        <w:t>We believe adoption of sales and marketing intelligence in international markets is still nascent. Our go-to-market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efforts are currently focused on the U.S. market with less than 10% of our revenue generated from international customers. We currently profile international businesses; approximately half of the 14 million companies on our platform are headquartered outside the United States. We believe there is a compelling opportunity to bring our offering to more English-speaking countries with minimal platform investment.</w:t>
      </w:r>
    </w:p>
    <w:p>
      <w:pPr>
        <w:spacing w:after="0" w:line="109" w:lineRule="exact"/>
        <w:rPr>
          <w:rFonts w:ascii="Arial" w:cs="Arial" w:eastAsia="Arial" w:hAnsi="Arial"/>
          <w:sz w:val="16"/>
          <w:szCs w:val="16"/>
          <w:color w:val="auto"/>
        </w:rPr>
      </w:pPr>
    </w:p>
    <w:p>
      <w:pPr>
        <w:jc w:val="both"/>
        <w:ind w:left="640" w:hanging="321"/>
        <w:spacing w:after="0" w:line="281" w:lineRule="auto"/>
        <w:tabs>
          <w:tab w:leader="none" w:pos="640"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 Acquisitions to Complement Our Platform. </w:t>
      </w:r>
      <w:r>
        <w:rPr>
          <w:rFonts w:ascii="Arial" w:cs="Arial" w:eastAsia="Arial" w:hAnsi="Arial"/>
          <w:sz w:val="16"/>
          <w:szCs w:val="16"/>
          <w:color w:val="auto"/>
        </w:rPr>
        <w:t>We will continue to evaluate opportunities to make acquisitions that expand our platform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solve new use cases for customers. We believe we can add significant value to businesses we acquire in three ways: integrating our high-quality data, leveraging our go-to-market infrastructure and selling into our large customer base, which is hungry to further improve their go-to-market motions with additional data-driven technologies. Our management team has deep experience successfully integrating acquisitions, having successfully acquired and integrated six acquisitions, including technology tuck-ins like NeverBounce, which provides email delivery confirmation technology, and Komiko, which provides a unique relationship mapping technology, as well as executing larger-scale transactions, such as DiscoverOrg’s acquisition of RainKing in August 2017 and Pre-Acquisition ZI in February 2019.</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Today, we sell our ZoomInfo platform. We developed this new platform by combining the best features from the original DiscoverOrg platform and the acquired Pre-Acquisition ZI platform. Certain existing customers continue to renew their subscriptions to the original Pre-Acquisition ZI or DiscoverOrg platform, which we continue to support.</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original DiscoverOrg platform provides depth on a limited number of companies, while the Pre-Acquisition ZI platform provides more limited information on a broader set of companies. The combined platform capitalizes on a greater depth of data across a broader set of companies, complemented by additional features and insights not available on the prior platforms.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 Functionality</w:t>
      </w:r>
    </w:p>
    <w:p>
      <w:pPr>
        <w:spacing w:after="0" w:line="171" w:lineRule="exact"/>
        <w:rPr>
          <w:sz w:val="20"/>
          <w:szCs w:val="20"/>
          <w:color w:val="auto"/>
        </w:rPr>
      </w:pPr>
    </w:p>
    <w:p>
      <w:pPr>
        <w:ind w:left="640" w:hanging="32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Company and Contact Profiles. </w:t>
      </w:r>
      <w:r>
        <w:rPr>
          <w:rFonts w:ascii="Arial" w:cs="Arial" w:eastAsia="Arial" w:hAnsi="Arial"/>
          <w:sz w:val="17"/>
          <w:szCs w:val="17"/>
          <w:color w:val="auto"/>
        </w:rPr>
        <w:t>View consolidated go-to-market intelligence available on companies and contacts.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Dashboard. </w:t>
      </w:r>
      <w:r>
        <w:rPr>
          <w:rFonts w:ascii="Arial" w:cs="Arial" w:eastAsia="Arial" w:hAnsi="Arial"/>
          <w:sz w:val="17"/>
          <w:szCs w:val="17"/>
          <w:color w:val="auto"/>
        </w:rPr>
        <w:t>Customizable landing pages to help users organize workflow around actionable insights.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Search. </w:t>
      </w:r>
      <w:r>
        <w:rPr>
          <w:rFonts w:ascii="Arial" w:cs="Arial" w:eastAsia="Arial" w:hAnsi="Arial"/>
          <w:sz w:val="17"/>
          <w:szCs w:val="17"/>
          <w:color w:val="auto"/>
        </w:rPr>
        <w:t>Use 60+ filters and thousands of keywords and attributes to build hyper-targeted lists of companies, contacts, scoops and intent, or to look up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 record.</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Enhance. </w:t>
      </w:r>
      <w:r>
        <w:rPr>
          <w:rFonts w:ascii="Arial" w:cs="Arial" w:eastAsia="Arial" w:hAnsi="Arial"/>
          <w:sz w:val="17"/>
          <w:szCs w:val="17"/>
          <w:color w:val="auto"/>
        </w:rPr>
        <w:t>Upload first-party company and contact lists, match to our records and fill in data gaps.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Alerts. </w:t>
      </w:r>
      <w:r>
        <w:rPr>
          <w:rFonts w:ascii="Arial" w:cs="Arial" w:eastAsia="Arial" w:hAnsi="Arial"/>
          <w:sz w:val="17"/>
          <w:szCs w:val="17"/>
          <w:color w:val="auto"/>
        </w:rPr>
        <w:t>Get notifications when actionable intel surfaces on a company or contact that a user follows.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Prioritize. </w:t>
      </w:r>
      <w:r>
        <w:rPr>
          <w:rFonts w:ascii="Arial" w:cs="Arial" w:eastAsia="Arial" w:hAnsi="Arial"/>
          <w:sz w:val="17"/>
          <w:szCs w:val="17"/>
          <w:color w:val="auto"/>
        </w:rPr>
        <w:t>Score records on fit, context, and actionable intel based on target profiles.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Orchestrate. </w:t>
      </w:r>
      <w:r>
        <w:rPr>
          <w:rFonts w:ascii="Arial" w:cs="Arial" w:eastAsia="Arial" w:hAnsi="Arial"/>
          <w:sz w:val="17"/>
          <w:szCs w:val="17"/>
          <w:color w:val="auto"/>
        </w:rPr>
        <w:t>Create custom rules driven by intelligence to automate workflows.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 </w:t>
      </w:r>
      <w:r>
        <w:rPr>
          <w:rFonts w:ascii="Arial" w:cs="Arial" w:eastAsia="Arial" w:hAnsi="Arial"/>
          <w:sz w:val="17"/>
          <w:szCs w:val="17"/>
          <w:color w:val="auto"/>
        </w:rPr>
        <w:t>Connect and export directly to CRM and sales &amp; marketing automation systems and continually update exported records on an ongoing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Identity Resolution. </w:t>
      </w:r>
      <w:r>
        <w:rPr>
          <w:rFonts w:ascii="Arial" w:cs="Arial" w:eastAsia="Arial" w:hAnsi="Arial"/>
          <w:sz w:val="17"/>
          <w:szCs w:val="17"/>
          <w:color w:val="auto"/>
        </w:rPr>
        <w:t>Identify the companies represented by anonymous website visitors.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Email Verification. </w:t>
      </w:r>
      <w:r>
        <w:rPr>
          <w:rFonts w:ascii="Arial" w:cs="Arial" w:eastAsia="Arial" w:hAnsi="Arial"/>
          <w:sz w:val="17"/>
          <w:szCs w:val="17"/>
          <w:color w:val="auto"/>
        </w:rPr>
        <w:t>Verify email addresses before running a campaign to lower bounce rates.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Browser Intelligence. </w:t>
      </w:r>
      <w:r>
        <w:rPr>
          <w:rFonts w:ascii="Arial" w:cs="Arial" w:eastAsia="Arial" w:hAnsi="Arial"/>
          <w:sz w:val="17"/>
          <w:szCs w:val="17"/>
          <w:color w:val="auto"/>
        </w:rPr>
        <w:t>ZoomInfo’s Google Chrome Extension,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ReachOut</w:t>
      </w:r>
      <w:r>
        <w:rPr>
          <w:rFonts w:ascii="Arial" w:cs="Arial" w:eastAsia="Arial" w:hAnsi="Arial"/>
          <w:sz w:val="17"/>
          <w:szCs w:val="17"/>
          <w:color w:val="auto"/>
        </w:rPr>
        <w:t>, delivers company and contact intelligence on screen as users view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and LinkedIn profiles.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240"/>
          </w:cols>
          <w:pgMar w:left="320" w:top="337" w:right="33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1179195</wp:posOffset>
            </wp:positionH>
            <wp:positionV relativeFrom="page">
              <wp:posOffset>221615</wp:posOffset>
            </wp:positionV>
            <wp:extent cx="5189855" cy="266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189855" cy="266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Go-to-Market Intelligence</w:t>
      </w:r>
    </w:p>
    <w:p>
      <w:pPr>
        <w:spacing w:after="0" w:line="171" w:lineRule="exact"/>
        <w:rPr>
          <w:sz w:val="20"/>
          <w:szCs w:val="20"/>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14 Million Companies. </w:t>
      </w:r>
      <w:r>
        <w:rPr>
          <w:rFonts w:ascii="Arial" w:cs="Arial" w:eastAsia="Arial" w:hAnsi="Arial"/>
          <w:sz w:val="17"/>
          <w:szCs w:val="17"/>
          <w:color w:val="auto"/>
        </w:rPr>
        <w:t>Includes description, location, industry, revenue and employees.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Over 120 Million Contacts. </w:t>
      </w:r>
      <w:r>
        <w:rPr>
          <w:rFonts w:ascii="Arial" w:cs="Arial" w:eastAsia="Arial" w:hAnsi="Arial"/>
          <w:sz w:val="17"/>
          <w:szCs w:val="17"/>
          <w:color w:val="auto"/>
        </w:rPr>
        <w:t>Includes role, location, verified email and direct dial phone numbers.</w:t>
      </w:r>
    </w:p>
    <w:p>
      <w:pPr>
        <w:spacing w:after="0" w:line="165"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Scoops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Curated insights, such as personnel moves, pain points or planned investments.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Technologies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stack of technologies used by companies.</w:t>
      </w:r>
    </w:p>
    <w:p>
      <w:pPr>
        <w:spacing w:after="0" w:line="177"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Intent. </w:t>
      </w:r>
      <w:r>
        <w:rPr>
          <w:rFonts w:ascii="Arial" w:cs="Arial" w:eastAsia="Arial" w:hAnsi="Arial"/>
          <w:sz w:val="17"/>
          <w:szCs w:val="17"/>
          <w:color w:val="auto"/>
        </w:rPr>
        <w:t>Reveals companies signaling intent to buy through research on products or related topics.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Attributes</w:t>
      </w:r>
      <w:r>
        <w:rPr>
          <w:rFonts w:ascii="Arial" w:cs="Arial" w:eastAsia="Arial" w:hAnsi="Arial"/>
          <w:sz w:val="17"/>
          <w:szCs w:val="17"/>
          <w:color w:val="auto"/>
        </w:rPr>
        <w:t>. Enables granular targeting on categories of attributes, such as location, job function and company rankings. Examples include: “Has a call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 “Has a mobile application,” “Has 100+ locations,” and “Has a data scientist.”</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Organizational Charts. </w:t>
      </w:r>
      <w:r>
        <w:rPr>
          <w:rFonts w:ascii="Arial" w:cs="Arial" w:eastAsia="Arial" w:hAnsi="Arial"/>
          <w:sz w:val="17"/>
          <w:szCs w:val="17"/>
          <w:color w:val="auto"/>
        </w:rPr>
        <w:t>Displays the organizational hierarchy of a company and helps identify decision makers.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News &amp; Events. </w:t>
      </w:r>
      <w:r>
        <w:rPr>
          <w:rFonts w:ascii="Arial" w:cs="Arial" w:eastAsia="Arial" w:hAnsi="Arial"/>
          <w:sz w:val="17"/>
          <w:szCs w:val="17"/>
          <w:color w:val="auto"/>
        </w:rPr>
        <w:t>Links to relevant news articles and events including press releases.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Corporate Structure and Hierarchy. </w:t>
      </w:r>
      <w:r>
        <w:rPr>
          <w:rFonts w:ascii="Arial" w:cs="Arial" w:eastAsia="Arial" w:hAnsi="Arial"/>
          <w:sz w:val="17"/>
          <w:szCs w:val="17"/>
          <w:color w:val="auto"/>
        </w:rPr>
        <w:t>Illustrates the relationships between parent companies, subsidiaries, and acquisitions.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Locations. </w:t>
      </w:r>
      <w:r>
        <w:rPr>
          <w:rFonts w:ascii="Arial" w:cs="Arial" w:eastAsia="Arial" w:hAnsi="Arial"/>
          <w:sz w:val="17"/>
          <w:szCs w:val="17"/>
          <w:color w:val="auto"/>
        </w:rPr>
        <w:t>Identifies all known company sites and contacts located at each location.</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Funding and Acquisition Announcements</w:t>
      </w:r>
      <w:r>
        <w:rPr>
          <w:rFonts w:ascii="Arial" w:cs="Arial" w:eastAsia="Arial" w:hAnsi="Arial"/>
          <w:sz w:val="17"/>
          <w:szCs w:val="17"/>
          <w:color w:val="auto"/>
        </w:rPr>
        <w:t>. Timely alerts on funding rounds and merger and acquisition activities.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240"/>
          </w:cols>
          <w:pgMar w:left="320" w:top="1440" w:right="339" w:bottom="1440" w:gutter="0" w:footer="0" w:header="0"/>
        </w:sectPr>
      </w:pPr>
    </w:p>
    <w:bookmarkStart w:id="169" w:name="page170"/>
    <w:bookmarkEnd w:id="169"/>
    <w:p>
      <w:pPr>
        <w:ind w:left="320"/>
        <w:spacing w:after="0"/>
        <w:rPr>
          <w:sz w:val="20"/>
          <w:szCs w:val="20"/>
          <w:color w:val="auto"/>
        </w:rPr>
      </w:pPr>
      <w:r>
        <w:rPr>
          <w:rFonts w:ascii="Arial" w:cs="Arial" w:eastAsia="Arial" w:hAnsi="Arial"/>
          <w:sz w:val="17"/>
          <w:szCs w:val="17"/>
          <w:color w:val="auto"/>
        </w:rPr>
        <w:t>We offer four editions: Elite, Advance, Professional, and Community, ranging from the most complete functionality to the least.</w:t>
      </w:r>
    </w:p>
    <w:p>
      <w:pPr>
        <w:spacing w:after="0" w:line="171"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Incremental to these editions, customers can benefit from additional functionality through add-ons or standalone products that serve a specific business need. Select examples of these include:</w:t>
      </w:r>
    </w:p>
    <w:p>
      <w:pPr>
        <w:spacing w:after="0" w:line="106" w:lineRule="exact"/>
        <w:rPr>
          <w:sz w:val="20"/>
          <w:szCs w:val="20"/>
          <w:color w:val="auto"/>
        </w:rPr>
      </w:pPr>
    </w:p>
    <w:p>
      <w:pPr>
        <w:jc w:val="both"/>
        <w:ind w:left="640" w:hanging="321"/>
        <w:spacing w:after="0" w:line="297" w:lineRule="auto"/>
        <w:tabs>
          <w:tab w:leader="none" w:pos="64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Record Subscriptions. </w:t>
      </w:r>
      <w:r>
        <w:rPr>
          <w:rFonts w:ascii="Arial" w:cs="Arial" w:eastAsia="Arial" w:hAnsi="Arial"/>
          <w:sz w:val="16"/>
          <w:szCs w:val="16"/>
          <w:color w:val="auto"/>
        </w:rPr>
        <w:t>Each product edition comes with an allowable number of records per user sufficient for typical sales use cases.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Records are contact or company information that is exported from the ZoomInfo platform via an integration or to Excel. When a customer is using the platform for more data-intensive use cases, the customer can purchase additional record subscriptions typically sold on a 12-month term.</w:t>
      </w:r>
    </w:p>
    <w:p>
      <w:pPr>
        <w:spacing w:after="0" w:line="102" w:lineRule="exact"/>
        <w:rPr>
          <w:rFonts w:ascii="Arial" w:cs="Arial" w:eastAsia="Arial" w:hAnsi="Arial"/>
          <w:sz w:val="16"/>
          <w:szCs w:val="16"/>
          <w:color w:val="auto"/>
        </w:rPr>
      </w:pPr>
    </w:p>
    <w:p>
      <w:pPr>
        <w:ind w:left="640" w:hanging="321"/>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European Dataset. </w:t>
      </w:r>
      <w:r>
        <w:rPr>
          <w:rFonts w:ascii="Arial" w:cs="Arial" w:eastAsia="Arial" w:hAnsi="Arial"/>
          <w:sz w:val="17"/>
          <w:szCs w:val="17"/>
          <w:color w:val="auto"/>
        </w:rPr>
        <w:t>Gain access to contact and other data for businesses throughout Europe.</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Enrich. </w:t>
      </w:r>
      <w:r>
        <w:rPr>
          <w:rFonts w:ascii="Arial" w:cs="Arial" w:eastAsia="Arial" w:hAnsi="Arial"/>
          <w:sz w:val="17"/>
          <w:szCs w:val="17"/>
          <w:color w:val="auto"/>
        </w:rPr>
        <w:t>Fills in data gaps and maintains the accuracy and completeness of data in customers’ go-to-market systems. Automatically cleans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appends new records generated in these go-to-market systems, in real time.</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Engage. </w:t>
      </w:r>
      <w:r>
        <w:rPr>
          <w:rFonts w:ascii="Arial" w:cs="Arial" w:eastAsia="Arial" w:hAnsi="Arial"/>
          <w:sz w:val="17"/>
          <w:szCs w:val="17"/>
          <w:color w:val="auto"/>
        </w:rPr>
        <w:t>A sales engagement solution that enables direct outreach to prospects and customers. Functionality includes a dialer, email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orchestration and templates, chat, custom multi-touch engagement sequences and activity syncing with go-to-market systems.</w:t>
      </w:r>
    </w:p>
    <w:p>
      <w:pPr>
        <w:spacing w:after="0" w:line="99" w:lineRule="exact"/>
        <w:rPr>
          <w:rFonts w:ascii="Arial" w:cs="Arial" w:eastAsia="Arial" w:hAnsi="Arial"/>
          <w:sz w:val="17"/>
          <w:szCs w:val="17"/>
          <w:color w:val="auto"/>
        </w:rPr>
      </w:pPr>
    </w:p>
    <w:p>
      <w:pPr>
        <w:ind w:left="640" w:hanging="321"/>
        <w:spacing w:after="0" w:line="296"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ZoomInfo InboxAI</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Mines email and calendar systems for contacts and activity, automatically synchronizing them with Salesforce. It also generates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AI-powered insights and recommendations to help teams manage opportunities and renewals.</w:t>
      </w:r>
    </w:p>
    <w:p>
      <w:pPr>
        <w:spacing w:after="0" w:line="100" w:lineRule="exact"/>
        <w:rPr>
          <w:rFonts w:ascii="Arial" w:cs="Arial" w:eastAsia="Arial" w:hAnsi="Arial"/>
          <w:sz w:val="17"/>
          <w:szCs w:val="17"/>
          <w:color w:val="auto"/>
        </w:rPr>
      </w:pPr>
    </w:p>
    <w:p>
      <w:pPr>
        <w:ind w:left="320" w:right="160" w:hanging="1"/>
        <w:spacing w:after="0" w:line="446" w:lineRule="auto"/>
        <w:tabs>
          <w:tab w:leader="none" w:pos="634"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Compliance API. </w:t>
      </w:r>
      <w:r>
        <w:rPr>
          <w:rFonts w:ascii="Arial" w:cs="Arial" w:eastAsia="Arial" w:hAnsi="Arial"/>
          <w:sz w:val="17"/>
          <w:szCs w:val="17"/>
          <w:color w:val="auto"/>
        </w:rPr>
        <w:t>Helps customers identify pertinent information, such as physical locations and other known aliases, for opt-out requests.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pricing is based on the edition, number of users and add-on functionality of our platform that is purchased.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Technology</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platform is architected and built to be innovative, scalable, reliable and secure. Our platform is a multi-tenant, single code-based, globally available SaaS delivered through web browsers or mobile applications. The architecture, design, deployment and management of our platform are centered on the following areas:</w:t>
      </w:r>
    </w:p>
    <w:p>
      <w:pPr>
        <w:spacing w:after="0" w:line="119" w:lineRule="exact"/>
        <w:rPr>
          <w:sz w:val="20"/>
          <w:szCs w:val="20"/>
          <w:color w:val="auto"/>
        </w:rPr>
      </w:pPr>
    </w:p>
    <w:p>
      <w:pPr>
        <w:jc w:val="both"/>
        <w:ind w:left="640" w:hanging="321"/>
        <w:spacing w:after="0" w:line="267"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w:t>
      </w:r>
      <w:r>
        <w:rPr>
          <w:rFonts w:ascii="Arial" w:cs="Arial" w:eastAsia="Arial" w:hAnsi="Arial"/>
          <w:sz w:val="17"/>
          <w:szCs w:val="17"/>
          <w:color w:val="auto"/>
        </w:rPr>
        <w:t>We foster an innovative, fast-paced engineering culture that enabled the release of 112 product features and services in 2019, including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platform bringing together the best features and intelligence of DiscoverOrg and Pre-Acquisition ZI into a single offering. Our team often delivers new features in less than two weeks and fixes many deficiencies in our platform in under an hour. We deliver this speed by relentlessly focusing on the visibility, efficiency and predictability of our engineering team.</w:t>
      </w:r>
    </w:p>
    <w:p>
      <w:pPr>
        <w:spacing w:after="0" w:line="12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Scalability. </w:t>
      </w:r>
      <w:r>
        <w:rPr>
          <w:rFonts w:ascii="Arial" w:cs="Arial" w:eastAsia="Arial" w:hAnsi="Arial"/>
          <w:sz w:val="17"/>
          <w:szCs w:val="17"/>
          <w:color w:val="auto"/>
        </w:rPr>
        <w:t>By leveraging leading cloud infrastructure providers, including the Google Cloud Platform, Amazon Web Services and Microsoft Azure,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along with our automated technology stack, we are able to scale workloads of varying sizes at any time. This allows us to process billions of data points each day from millions of data sources in our proprietary data engine.</w:t>
      </w:r>
    </w:p>
    <w:p>
      <w:pPr>
        <w:spacing w:after="0" w:line="118"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Reliability. </w:t>
      </w:r>
      <w:r>
        <w:rPr>
          <w:rFonts w:ascii="Arial" w:cs="Arial" w:eastAsia="Arial" w:hAnsi="Arial"/>
          <w:sz w:val="17"/>
          <w:szCs w:val="17"/>
          <w:color w:val="auto"/>
        </w:rPr>
        <w:t>Each of our application components is deployed redundantly across multiple data centers, and most of our software today runs on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infrastructure platform that provides automatic recovery from failures and auto-scaling to handle load spikes. We have also taken the first steps toward providing redundancy for cloud provider failures across our most critical applications. Employing these and many other strategies, we have achieved 99.99% uptime for the ZoomInfo platform from its launch to March 31, 2020.</w:t>
      </w:r>
    </w:p>
    <w:p>
      <w:pPr>
        <w:spacing w:after="0" w:line="12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Security. </w:t>
      </w:r>
      <w:r>
        <w:rPr>
          <w:rFonts w:ascii="Arial" w:cs="Arial" w:eastAsia="Arial" w:hAnsi="Arial"/>
          <w:sz w:val="17"/>
          <w:szCs w:val="17"/>
          <w:color w:val="auto"/>
        </w:rPr>
        <w:t>We encrypt all traffic, employ Zero Trust authentication wherever feasible, scan our code and dependencies for vulnerabilities and undergo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regular pen-testing. In addition, all user passwords are centrally managed.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240"/>
          </w:cols>
          <w:pgMar w:left="320" w:top="336" w:right="339" w:bottom="1440" w:gutter="0" w:footer="0" w:header="0"/>
        </w:sectPr>
      </w:pPr>
    </w:p>
    <w:bookmarkStart w:id="170" w:name="page171"/>
    <w:bookmarkEnd w:id="170"/>
    <w:p>
      <w:pPr>
        <w:jc w:val="both"/>
        <w:ind w:firstLine="314"/>
        <w:spacing w:after="0" w:line="267" w:lineRule="auto"/>
        <w:rPr>
          <w:sz w:val="20"/>
          <w:szCs w:val="20"/>
          <w:color w:val="auto"/>
        </w:rPr>
      </w:pPr>
      <w:r>
        <w:rPr>
          <w:rFonts w:ascii="Arial" w:cs="Arial" w:eastAsia="Arial" w:hAnsi="Arial"/>
          <w:sz w:val="17"/>
          <w:szCs w:val="17"/>
          <w:color w:val="auto"/>
        </w:rPr>
        <w:t>Finally, our integrations with our customers’ CRM and sales &amp; marketing automation systems are enabled by 11 out-of-the-box integrations, along with webhooks and custom code-run so any customer can build their own export functionality. In addition, customers can use the ZoomInfo API to build customized solutions within their existing workflows. The combination of the out-of-the-box features and integrations, enterprise-level API and webhooks give our customers the ability to build any logic, in any place.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Our large and diversified customer base consists of over 15,000 customers spanning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As of March 31, 2020, we had over 630 customers with more than $100,000 of ACV, with 15 customers spend over $1,000,000 in ACV annually. No single customer contributed more than 1% of revenue.</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case studies below illustrate the results our customers have achieved by using our platform.</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Enterprise (1,000 or more employees)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DocuSign</w:t>
      </w:r>
    </w:p>
    <w:p>
      <w:pPr>
        <w:spacing w:after="0" w:line="171" w:lineRule="exact"/>
        <w:rPr>
          <w:sz w:val="20"/>
          <w:szCs w:val="20"/>
          <w:color w:val="auto"/>
        </w:rPr>
      </w:pPr>
    </w:p>
    <w:p>
      <w:pPr>
        <w:jc w:val="both"/>
        <w:ind w:left="640" w:hanging="321"/>
        <w:spacing w:after="0" w:line="267" w:lineRule="auto"/>
        <w:tabs>
          <w:tab w:leader="none" w:pos="640" w:val="left"/>
        </w:tabs>
        <w:numPr>
          <w:ilvl w:val="0"/>
          <w:numId w:val="11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DocuSign helps organizations connect and automate how they prepare, sign, act on, and manage agreements. As part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DocuSign Agreement Cloud, DocuSign offers eSignature: the world’s number one way to sign electronically on practically any device, from almost anywhere, at any time. Today, more than 500,000 customers and hundreds of millions of users in over 180 countries use DocuSign to accelerate the process of doing business and to simplify people’s lives.</w:t>
      </w:r>
    </w:p>
    <w:p>
      <w:pPr>
        <w:spacing w:after="0" w:line="125" w:lineRule="exact"/>
        <w:rPr>
          <w:rFonts w:ascii="Arial" w:cs="Arial" w:eastAsia="Arial" w:hAnsi="Arial"/>
          <w:sz w:val="17"/>
          <w:szCs w:val="17"/>
          <w:i w:val="1"/>
          <w:iCs w:val="1"/>
          <w:color w:val="auto"/>
        </w:rPr>
      </w:pPr>
    </w:p>
    <w:p>
      <w:pPr>
        <w:jc w:val="both"/>
        <w:ind w:left="640" w:hanging="321"/>
        <w:spacing w:after="0" w:line="265" w:lineRule="auto"/>
        <w:tabs>
          <w:tab w:leader="none" w:pos="640" w:val="left"/>
        </w:tabs>
        <w:numPr>
          <w:ilvl w:val="0"/>
          <w:numId w:val="11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DocuSign was seeking to increase the efficiency and effectiveness of its inbound and outbound pipeline generation and selling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DocuSign saw process improvement opportunities in the following three areas: (1) market development representatives (“MDRs”) were spending a significant amount of time each week searching for contacts and manually entering them into their CRM system; (2) sellers needed information and insights on buyers (including leaders from other departments and business units); and (3) inbound leads from web forms often contained incomplete or inaccurate information making follow-ups challenging and unproductive.</w:t>
      </w:r>
    </w:p>
    <w:p>
      <w:pPr>
        <w:spacing w:after="0" w:line="125" w:lineRule="exact"/>
        <w:rPr>
          <w:rFonts w:ascii="Arial" w:cs="Arial" w:eastAsia="Arial" w:hAnsi="Arial"/>
          <w:sz w:val="17"/>
          <w:szCs w:val="17"/>
          <w:i w:val="1"/>
          <w:iCs w:val="1"/>
          <w:color w:val="auto"/>
        </w:rPr>
      </w:pPr>
    </w:p>
    <w:p>
      <w:pPr>
        <w:jc w:val="both"/>
        <w:ind w:left="640" w:hanging="321"/>
        <w:spacing w:after="0" w:line="273" w:lineRule="auto"/>
        <w:tabs>
          <w:tab w:leader="none" w:pos="640" w:val="left"/>
        </w:tabs>
        <w:numPr>
          <w:ilvl w:val="0"/>
          <w:numId w:val="11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Since implementing ZoomInfo, DocuSign can automatically find and add contacts to target accounts in Salesforce, gain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 insight on buyers across departments and functions, and access phone and email contact information easily. DocuSign can also enrich inbound leads with additional intelligence, giving its sales team a more complete profile of the lead before they engage.</w:t>
      </w:r>
    </w:p>
    <w:p>
      <w:pPr>
        <w:spacing w:after="0" w:line="118"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19"/>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With ZoomInfo, DocuSign MDRs spend less time on research and data entry, and the marketing email bounce rate has dropped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10%. The Data Ops team has delivered more contacts to the sales team, leading to more closed deals across a broader product portfolio. Overall, ZoomInfo has made DocuSign’s sales and marketing teams more productive and effective, and it has become a foundational element in the outbound sales motion.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SAP</w:t>
      </w:r>
    </w:p>
    <w:p>
      <w:pPr>
        <w:spacing w:after="0" w:line="171" w:lineRule="exact"/>
        <w:rPr>
          <w:sz w:val="20"/>
          <w:szCs w:val="20"/>
          <w:color w:val="auto"/>
        </w:rPr>
      </w:pPr>
    </w:p>
    <w:p>
      <w:pPr>
        <w:ind w:left="640" w:hanging="321"/>
        <w:spacing w:after="0"/>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SAP is a leading provider of enterprise application software, analytics, and business intelligence.</w:t>
      </w:r>
    </w:p>
    <w:p>
      <w:pPr>
        <w:spacing w:after="0" w:line="171"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SAP has increased focus on growing its cloud business, which has led to an increased focus on selling to medium-sized businesses.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SAP to accelerate its cloud go-to-market, the sales team needed an intelligence platform with reliable business contact information to identify and connect with prospects.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240"/>
          </w:cols>
          <w:pgMar w:left="320" w:top="337" w:right="339" w:bottom="1440" w:gutter="0" w:footer="0" w:header="0"/>
        </w:sectPr>
      </w:pPr>
    </w:p>
    <w:bookmarkStart w:id="171" w:name="page172"/>
    <w:bookmarkEnd w:id="171"/>
    <w:p>
      <w:pPr>
        <w:jc w:val="both"/>
        <w:ind w:left="640" w:hanging="321"/>
        <w:spacing w:after="0" w:line="273" w:lineRule="auto"/>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SAP adopted the ZoomInfo platform to help its sales team grow the cloud business. The sales team uses the ZoomInfo platform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help manage sales territories, organize and route leads using ZoomInfo’s advanced filtering capabilities, and enable its sales representatives to conduct outreach with a sophisticated level of personalization.</w:t>
      </w:r>
    </w:p>
    <w:p>
      <w:pPr>
        <w:spacing w:after="0" w:line="118"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The ZoomInfo platform enabled SAP to expedite and streamline its outbound sales process, provide the right leads to the right sales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representatives, and continue growing the cloud business.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Zoom Video Communications</w:t>
      </w:r>
    </w:p>
    <w:p>
      <w:pPr>
        <w:spacing w:after="0" w:line="171" w:lineRule="exact"/>
        <w:rPr>
          <w:sz w:val="20"/>
          <w:szCs w:val="20"/>
          <w:color w:val="auto"/>
        </w:rPr>
      </w:pPr>
    </w:p>
    <w:p>
      <w:pPr>
        <w:jc w:val="both"/>
        <w:ind w:left="640" w:hanging="321"/>
        <w:spacing w:after="0" w:line="273" w:lineRule="auto"/>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Zoom Video Communications (“Zoom Video”) is the leader in enterprise video communications with a reliable, easy-to-use,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cloud-based platform for video and audio conferencing, voice, chat, and content-sharing across mobile devices, desktops, telephones, and room systems.</w:t>
      </w:r>
    </w:p>
    <w:p>
      <w:pPr>
        <w:spacing w:after="0" w:line="118"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Tasked with aggressive revenue growth targets, the Zoom Video sales team tried to increase penetration of target accounts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expand their influence within these accounts. This was challenging to do without key details on decision-makers, organizational hierarchy, and information on real-time needs of the target accounts. Zoom Video looked for a solution that would help them identify the right people in the right departments with technology needs to increase penetration and expansion.</w:t>
      </w:r>
    </w:p>
    <w:p>
      <w:pPr>
        <w:spacing w:after="0" w:line="12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Zoom Video chose the ZoomInfo platform for the level of depth and granularity of the data as well as real time insights. Using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ZoomInfo platform, Zoom Video is able to identify the right people in the right department with minimal effort, build a strong pipeline, get real-time insights, and close deals more quickly.</w:t>
      </w:r>
    </w:p>
    <w:p>
      <w:pPr>
        <w:spacing w:after="0" w:line="118"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Within the first year that Zoom Video deployed ZoomInfo, Zoom Video’s revenue grew by 300%. ZoomInfo has become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essential tool for Zoom Video’s sales representatives to penetrate new and international markets, and today 90% of the Zoom Video sales team uses the ZoomInfo platform. Within the first year of deployment, Zoom Video increased its number of ZoomInfo licenses by 1,050%, and today licenses are up by 5,900% since the first deployment.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Mid-Market (100 to 999 employees)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Brainshark</w:t>
      </w:r>
    </w:p>
    <w:p>
      <w:pPr>
        <w:spacing w:after="0" w:line="171" w:lineRule="exact"/>
        <w:rPr>
          <w:sz w:val="20"/>
          <w:szCs w:val="20"/>
          <w:color w:val="auto"/>
        </w:rPr>
      </w:pPr>
    </w:p>
    <w:p>
      <w:pPr>
        <w:ind w:left="640" w:hanging="321"/>
        <w:spacing w:after="0" w:line="289" w:lineRule="auto"/>
        <w:tabs>
          <w:tab w:leader="none" w:pos="640" w:val="left"/>
        </w:tabs>
        <w:numPr>
          <w:ilvl w:val="0"/>
          <w:numId w:val="123"/>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Founded in 1999, Brainshark provides a data-driven sales readiness platform that helps companies improve sales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solutions for content authoring, training, coaching, scorecards, and more.</w:t>
      </w:r>
    </w:p>
    <w:p>
      <w:pPr>
        <w:spacing w:after="0" w:line="105"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3"/>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The Brainshark marketing team spent a lot of time and effort on generating leads for the sales team, but the leads came in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incomplete and inaccurate information. As a result, the sales team needed to spend a lot of time researching contact and background information. Since the sales team did not have access to direct dial phone numbers, its connect rates suffered. Furthermore, the marketing team did not have a full picture of prospects to allow it to effectively fuel the sales funnel with new, targeted contacts.</w:t>
      </w:r>
    </w:p>
    <w:p>
      <w:pPr>
        <w:spacing w:after="0" w:line="125"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3"/>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The ZoomInfo platform provided a self-service portal and CRM and marketing automation integration which became an integral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of Brainshark’s strategy. Using ZoomInfo, the Brainshark marketing team was able to append the missing pieces of data onto the leads before passing them to sales. Brainshark is also able to build out targeted campaigns based on its buyer personas and refresh contacts, as well as fuel its funnel with new targeted contacts on a regular basis.</w:t>
      </w:r>
    </w:p>
    <w:p>
      <w:pPr>
        <w:spacing w:after="0" w:line="125" w:lineRule="exact"/>
        <w:rPr>
          <w:rFonts w:ascii="Arial" w:cs="Arial" w:eastAsia="Arial" w:hAnsi="Arial"/>
          <w:sz w:val="17"/>
          <w:szCs w:val="17"/>
          <w:i w:val="1"/>
          <w:iCs w:val="1"/>
          <w:color w:val="auto"/>
        </w:rPr>
      </w:pPr>
    </w:p>
    <w:p>
      <w:pPr>
        <w:jc w:val="both"/>
        <w:ind w:left="640" w:hanging="321"/>
        <w:spacing w:after="0" w:line="297" w:lineRule="auto"/>
        <w:tabs>
          <w:tab w:leader="none" w:pos="640" w:val="left"/>
        </w:tabs>
        <w:numPr>
          <w:ilvl w:val="0"/>
          <w:numId w:val="123"/>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Customer Impact. </w:t>
      </w:r>
      <w:r>
        <w:rPr>
          <w:rFonts w:ascii="Arial" w:cs="Arial" w:eastAsia="Arial" w:hAnsi="Arial"/>
          <w:sz w:val="16"/>
          <w:szCs w:val="16"/>
          <w:color w:val="auto"/>
        </w:rPr>
        <w:t>Since partnering with ZoomInfo, Brainshark’s revenue generation process evolved into a robust and dynamic system where data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constantly being refreshed, allowing the sales force to go after the right prospects with the most accurate information at their disposal. As a result, Brainshark has been able to shorten lead follow-up, reaching decision makers four times faster and boosting connect rates by 30%.</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240"/>
          </w:cols>
          <w:pgMar w:left="320" w:top="337" w:right="3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i w:val="1"/>
          <w:iCs w:val="1"/>
          <w:color w:val="auto"/>
        </w:rPr>
        <w:t>Novo Group</w:t>
      </w:r>
    </w:p>
    <w:p>
      <w:pPr>
        <w:spacing w:after="0" w:line="167" w:lineRule="exact"/>
        <w:rPr>
          <w:sz w:val="20"/>
          <w:szCs w:val="20"/>
          <w:color w:val="auto"/>
        </w:rPr>
      </w:pPr>
    </w:p>
    <w:p>
      <w:pPr>
        <w:jc w:val="both"/>
        <w:ind w:left="640" w:hanging="321"/>
        <w:spacing w:after="0" w:line="270" w:lineRule="auto"/>
        <w:tabs>
          <w:tab w:leader="none" w:pos="640" w:val="left"/>
        </w:tabs>
        <w:numPr>
          <w:ilvl w:val="0"/>
          <w:numId w:val="124"/>
        </w:numPr>
        <w:rPr>
          <w:rFonts w:ascii="Arial" w:cs="Arial" w:eastAsia="Arial" w:hAnsi="Arial"/>
          <w:sz w:val="19"/>
          <w:szCs w:val="19"/>
          <w:i w:val="1"/>
          <w:iCs w:val="1"/>
          <w:color w:val="auto"/>
        </w:rPr>
      </w:pPr>
      <w:r>
        <w:rPr>
          <w:rFonts w:ascii="Arial" w:cs="Arial" w:eastAsia="Arial" w:hAnsi="Arial"/>
          <w:sz w:val="19"/>
          <w:szCs w:val="19"/>
          <w:b w:val="1"/>
          <w:bCs w:val="1"/>
          <w:i w:val="1"/>
          <w:iCs w:val="1"/>
          <w:color w:val="auto"/>
        </w:rPr>
        <w:t xml:space="preserve">Company Description. </w:t>
      </w:r>
      <w:r>
        <w:rPr>
          <w:rFonts w:ascii="Arial" w:cs="Arial" w:eastAsia="Arial" w:hAnsi="Arial"/>
          <w:sz w:val="17"/>
          <w:szCs w:val="17"/>
          <w:color w:val="auto"/>
        </w:rPr>
        <w:t>Novo Group (“Novo”) offers talent acquisition solutions such as candidate pipelining and sourcing, recruiting project</w:t>
      </w:r>
      <w:r>
        <w:rPr>
          <w:rFonts w:ascii="Arial" w:cs="Arial" w:eastAsia="Arial" w:hAnsi="Arial"/>
          <w:sz w:val="19"/>
          <w:szCs w:val="19"/>
          <w:b w:val="1"/>
          <w:bCs w:val="1"/>
          <w:i w:val="1"/>
          <w:iCs w:val="1"/>
          <w:color w:val="auto"/>
        </w:rPr>
        <w:t xml:space="preserve"> </w:t>
      </w:r>
      <w:r>
        <w:rPr>
          <w:rFonts w:ascii="Arial" w:cs="Arial" w:eastAsia="Arial" w:hAnsi="Arial"/>
          <w:sz w:val="17"/>
          <w:szCs w:val="17"/>
          <w:color w:val="auto"/>
        </w:rPr>
        <w:t>support, and fully outsourced recruitment programs. Novo also offers assessment tools, coaching, talent development, and organizational effectiveness consulting.</w:t>
      </w:r>
    </w:p>
    <w:p>
      <w:pPr>
        <w:spacing w:after="0" w:line="118" w:lineRule="exact"/>
        <w:rPr>
          <w:rFonts w:ascii="Arial" w:cs="Arial" w:eastAsia="Arial" w:hAnsi="Arial"/>
          <w:sz w:val="19"/>
          <w:szCs w:val="19"/>
          <w:i w:val="1"/>
          <w:iCs w:val="1"/>
          <w:color w:val="auto"/>
        </w:rPr>
      </w:pPr>
    </w:p>
    <w:p>
      <w:pPr>
        <w:jc w:val="both"/>
        <w:ind w:left="640" w:hanging="321"/>
        <w:spacing w:after="0" w:line="267" w:lineRule="auto"/>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Novo’s recruiters spent large amounts of time looking through countless sources in order to identify passive candidates and obtain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contact information and market intelligence that was up-to-date and reliable. Novo had difficulty efficiently finding the information that it needed to maintain its industry leading passive candidate fill rate. In an effort to maximize operational efficiencies, Novo sought to find a partner that would help streamline its candidate sourcing and market research efforts.</w:t>
      </w:r>
    </w:p>
    <w:p>
      <w:pPr>
        <w:spacing w:after="0" w:line="12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Novo uses the ZoomInfo platform to continuously identify passive candidates and obtain contact information for the candidates,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career data, and market intelligence. Novo chose ZoomInfo to allow it to better leverage its existing resources to maintain its reputation and passive candidate fill rate across all the industries and clients it serves.</w:t>
      </w:r>
    </w:p>
    <w:p>
      <w:pPr>
        <w:spacing w:after="0" w:line="118" w:lineRule="exact"/>
        <w:rPr>
          <w:rFonts w:ascii="Arial" w:cs="Arial" w:eastAsia="Arial" w:hAnsi="Arial"/>
          <w:sz w:val="17"/>
          <w:szCs w:val="17"/>
          <w:color w:val="auto"/>
        </w:rPr>
      </w:pPr>
    </w:p>
    <w:p>
      <w:pPr>
        <w:jc w:val="both"/>
        <w:ind w:left="640" w:hanging="321"/>
        <w:spacing w:after="0" w:line="267" w:lineRule="auto"/>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Novo saw almost immediate improved efficiencies since partnering with ZoomInfo. ZoomInfo’s industry information,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 contact information is readily available and more accurate and up-to-date than what other sources provide. Novo bolstered its talent pipeline with over 2,000 new candidates identified in only four months. A portion of the new candidates filled positions within months of being identified, as well.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Small Businesses (10 to 99 employees)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Deal IQ</w:t>
      </w:r>
    </w:p>
    <w:p>
      <w:pPr>
        <w:spacing w:after="0" w:line="171" w:lineRule="exact"/>
        <w:rPr>
          <w:sz w:val="20"/>
          <w:szCs w:val="20"/>
          <w:color w:val="auto"/>
        </w:rPr>
      </w:pPr>
    </w:p>
    <w:p>
      <w:pPr>
        <w:jc w:val="both"/>
        <w:ind w:left="640" w:hanging="321"/>
        <w:spacing w:after="0" w:line="273" w:lineRule="auto"/>
        <w:tabs>
          <w:tab w:leader="none" w:pos="640" w:val="left"/>
        </w:tabs>
        <w:numPr>
          <w:ilvl w:val="0"/>
          <w:numId w:val="125"/>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Company Description. </w:t>
      </w:r>
      <w:r>
        <w:rPr>
          <w:rFonts w:ascii="Arial" w:cs="Arial" w:eastAsia="Arial" w:hAnsi="Arial"/>
          <w:sz w:val="17"/>
          <w:szCs w:val="17"/>
          <w:color w:val="auto"/>
        </w:rPr>
        <w:t>Deal IQ is a Toronto-based purchase process consultation company that delivers cost savings and visibility into purchase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pricing negotiations for businesses of all sizes. Leveraging process knowledge and negotiation skills, Deal IQ conducts high-profile negotiations for technology purchases on behalf of its clients including the world’s leading brands.</w:t>
      </w:r>
    </w:p>
    <w:p>
      <w:pPr>
        <w:spacing w:after="0" w:line="118"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5"/>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Because Deal IQ offers solution for purchase and pricing negotiations, the ability to correctly identify potential new clients 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 time - just as they prepare to acquire new technology—was absolutely crucial to its success—so was the ability to engage key decision makers. With its sales representatives spending hours to manually identify opportunities and losing out on countless other deals in the process, Deal IQ was looking for ways to identify target customers at the right time, and pinpoint the right decision makers.</w:t>
      </w:r>
    </w:p>
    <w:p>
      <w:pPr>
        <w:spacing w:after="0" w:line="125"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5"/>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Deal IQ uses the ZoomInfo platform to gain access to a suite of powerful search and targeting tools and up-to-date prospecting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Through alerts and scoops, Deal IQ monitors buying signals of potential clients such as a request-for-proposal or an increased research time into a particular solution. Leveraging the reliable, accurate contact data and organization charts, Deal IQ pinpoints the right decision makers and engages them at the right time in their buying journey.</w:t>
      </w:r>
    </w:p>
    <w:p>
      <w:pPr>
        <w:spacing w:after="0" w:line="125"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5"/>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Since partnering with ZoomInfo, Deal IQ saw not only time savings for sales representatives, but also significant improvement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key performance indicators. With automated search and alerts and scoops, one sales team has saved over 28 hours of productivity each week, which had previously been spent on manual research for potential clients. More importantly, Deal IQ has increased its client portfolio by six times, its number of C-Suite meetings by eight times, and annual revenue by more than 1,900%.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TTN Fleet Solutions</w:t>
      </w:r>
    </w:p>
    <w:p>
      <w:pPr>
        <w:spacing w:after="0" w:line="171" w:lineRule="exact"/>
        <w:rPr>
          <w:sz w:val="20"/>
          <w:szCs w:val="20"/>
          <w:color w:val="auto"/>
        </w:rPr>
      </w:pPr>
    </w:p>
    <w:p>
      <w:pPr>
        <w:ind w:left="640" w:hanging="321"/>
        <w:spacing w:after="0" w:line="322" w:lineRule="auto"/>
        <w:tabs>
          <w:tab w:leader="none" w:pos="640" w:val="left"/>
        </w:tabs>
        <w:numPr>
          <w:ilvl w:val="0"/>
          <w:numId w:val="126"/>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Company Description. </w:t>
      </w:r>
      <w:r>
        <w:rPr>
          <w:rFonts w:ascii="Arial" w:cs="Arial" w:eastAsia="Arial" w:hAnsi="Arial"/>
          <w:sz w:val="16"/>
          <w:szCs w:val="16"/>
          <w:color w:val="auto"/>
        </w:rPr>
        <w:t>TTN Fleet Solutions (“TTN”) offers transportation maintenance solutions in the U.S. and Canada. TTN has managed over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breakdowns for fleets in the trucking industry and has built an over 80,000 vendor network covering North America 24/7, 365 days a year.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240"/>
          </w:cols>
          <w:pgMar w:left="320" w:top="337" w:right="339" w:bottom="1440" w:gutter="0" w:footer="0" w:header="0"/>
        </w:sectPr>
      </w:pPr>
    </w:p>
    <w:bookmarkStart w:id="173" w:name="page174"/>
    <w:bookmarkEnd w:id="173"/>
    <w:p>
      <w:pPr>
        <w:jc w:val="both"/>
        <w:ind w:left="640" w:hanging="321"/>
        <w:spacing w:after="0" w:line="267" w:lineRule="auto"/>
        <w:tabs>
          <w:tab w:leader="none" w:pos="640" w:val="left"/>
        </w:tabs>
        <w:numPr>
          <w:ilvl w:val="0"/>
          <w:numId w:val="12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Problem. </w:t>
      </w:r>
      <w:r>
        <w:rPr>
          <w:rFonts w:ascii="Arial" w:cs="Arial" w:eastAsia="Arial" w:hAnsi="Arial"/>
          <w:sz w:val="17"/>
          <w:szCs w:val="17"/>
          <w:color w:val="auto"/>
        </w:rPr>
        <w:t>TTN needed to build a sales and marketing team from the ground up. One major challenge it faced was finding accurate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contact information for companies in the trucking industry. TTN had tried multiple data providers, but kept running into the same issue of outdated and unreliable data, causing sales representatives to be bounced from department to department at prospects, asking ‘Who oversees your fleet maintenance?’ The sales team was wasting time and lost confidence.</w:t>
      </w:r>
    </w:p>
    <w:p>
      <w:pPr>
        <w:spacing w:after="0" w:line="125"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ZoomInfo Solution. </w:t>
      </w:r>
      <w:r>
        <w:rPr>
          <w:rFonts w:ascii="Arial" w:cs="Arial" w:eastAsia="Arial" w:hAnsi="Arial"/>
          <w:sz w:val="17"/>
          <w:szCs w:val="17"/>
          <w:color w:val="auto"/>
        </w:rPr>
        <w:t>ZoomInfo empowered TTN to easily narrow down its target market, accurately locate key decision makers and contact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at key accounts and gain an understanding of their corporate hierarchies. Beyond direct dials and email addresses, ZoomInfo provides comprehensive information on prospects that allows TTN to be much more confident and personal in outreaches. The solution quickly gained credibility with the marketing and sales teams.</w:t>
      </w:r>
    </w:p>
    <w:p>
      <w:pPr>
        <w:spacing w:after="0" w:line="125" w:lineRule="exact"/>
        <w:rPr>
          <w:rFonts w:ascii="Arial" w:cs="Arial" w:eastAsia="Arial" w:hAnsi="Arial"/>
          <w:sz w:val="17"/>
          <w:szCs w:val="17"/>
          <w:i w:val="1"/>
          <w:iCs w:val="1"/>
          <w:color w:val="auto"/>
        </w:rPr>
      </w:pPr>
    </w:p>
    <w:p>
      <w:pPr>
        <w:jc w:val="both"/>
        <w:ind w:left="640" w:hanging="321"/>
        <w:spacing w:after="0" w:line="267" w:lineRule="auto"/>
        <w:tabs>
          <w:tab w:leader="none" w:pos="640" w:val="left"/>
        </w:tabs>
        <w:numPr>
          <w:ilvl w:val="0"/>
          <w:numId w:val="12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Customer Impact. </w:t>
      </w:r>
      <w:r>
        <w:rPr>
          <w:rFonts w:ascii="Arial" w:cs="Arial" w:eastAsia="Arial" w:hAnsi="Arial"/>
          <w:sz w:val="17"/>
          <w:szCs w:val="17"/>
          <w:color w:val="auto"/>
        </w:rPr>
        <w:t>ZoomInfo transformed TTN’s cold calls into ‘purposed calls.’ The sales team is able to make connections with the right people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engaging and valuable conversations. In the first few months of using ZoomInfo, TTN not only increased the number of meetings booked by over 61%, but also shortened its sales cycle from 22 to 13 days. With qualified contact leads fueling its sales team, TTN projected a 35% increase in revenue for 2019, largely in part to ZoomInfo.</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Go-to-Market Strategy</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have built an extremely efficient go-to-market engine. We have integrated our insights and data into an automated engine with defined processes and specialized roles in order to market and sell our services.</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go-to-market motion starts with our high-velocity marketing engine driven by the marketing team. From development to execution and to measurement, we use the ZoomInfo platform as the foundation for our entire marketing strategy, and we utilize data and intelligence from our platform to generate high lead volumes and maximize effectiveness of our marketing programs.</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When a new lead comes in, it is first passed through our proprietary algorithms and scored before being passed to our inbound team. Only high-quality leads, determined by the fit, the likelihood of a win, and the dollar amount associated with the win are passed onto the sales development representatives (“SDRs”). SDRs typically follow up with inbound leads in three minutes or less to set up a demo.</w:t>
      </w:r>
    </w:p>
    <w:p>
      <w:pPr>
        <w:spacing w:after="0" w:line="11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Once a prospect agrees to a demo, we use our proprietary algorithms to select the account executive (“AE”), who is most likely to close a deal with that particular prospect based on attributes such as company size, industry, number of sales professionals, and the go-to-market technologies the prospect uses. We empower our AEs with the ZoomInfo platform by giving them a 360-degree view on the prospect so AEs know what and how to pitch.</w:t>
      </w:r>
    </w:p>
    <w:p>
      <w:pPr>
        <w:spacing w:after="0" w:line="10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For our outbound motion, we leverage our AI Ideal Customer Profile feature to identify companies that have similar characteristics to our best customers. We also feed actionable insights into our data lake and use these insights to prioritize targets for outbound team. In 2019, nearly 40% of all attributable new sales were generated from outbound sales motions.</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unique hiring strategy and sales development plan support these inbound and outbound sales teams and allow us to achieve high velocity to value. We have dedicated onboarding, role specialization, goal setting and performance tracking systems, and as a result, we empower our employees right out of college to generate value under three weeks, and enable them to grow into more complex, high value roles.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As a result of all of our go-to-market processes, we have achieved a median sales cycle of less than 30 days from opportunity creation to close and an average LTV to CAC of over 10x in the year ended December 31, 2019. We are also able to drive same-day close on many opportunities.</w:t>
      </w:r>
    </w:p>
    <w:p>
      <w:pPr>
        <w:spacing w:after="0" w:line="106"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Once an AE closes business, the account gets passed to the learning and development team, who is responsible for onboarding and training new customers. Once on board, the customer success team is responsible for maintaining the account health score, which we define based on the usage of the platform. Finally, our team of account managers is responsible for ACV expansion and renewal. Using our platform, account managers expand their footprint within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240"/>
          </w:cols>
          <w:pgMar w:left="320" w:top="337" w:right="339" w:bottom="1440" w:gutter="0" w:footer="0" w:header="0"/>
        </w:sectPr>
      </w:pPr>
    </w:p>
    <w:bookmarkStart w:id="174" w:name="page175"/>
    <w:bookmarkEnd w:id="174"/>
    <w:p>
      <w:pPr>
        <w:spacing w:after="0" w:line="450" w:lineRule="auto"/>
        <w:rPr>
          <w:sz w:val="20"/>
          <w:szCs w:val="20"/>
          <w:color w:val="auto"/>
        </w:rPr>
      </w:pPr>
      <w:r>
        <w:rPr>
          <w:rFonts w:ascii="Arial" w:cs="Arial" w:eastAsia="Arial" w:hAnsi="Arial"/>
          <w:sz w:val="17"/>
          <w:szCs w:val="17"/>
          <w:color w:val="auto"/>
        </w:rPr>
        <w:t xml:space="preserve">existing customers that have significant potential to grow their relationship with us. In 2019 our net annual retention rate increased to 109% from 102% in 2018. </w:t>
      </w:r>
      <w:r>
        <w:rPr>
          <w:rFonts w:ascii="Arial" w:cs="Arial" w:eastAsia="Arial" w:hAnsi="Arial"/>
          <w:sz w:val="17"/>
          <w:szCs w:val="17"/>
          <w:b w:val="1"/>
          <w:bCs w:val="1"/>
          <w:color w:val="auto"/>
        </w:rPr>
        <w:t>Our People, Culture, and Values</w:t>
      </w:r>
    </w:p>
    <w:p>
      <w:pPr>
        <w:ind w:firstLine="314"/>
        <w:spacing w:after="0" w:line="289" w:lineRule="auto"/>
        <w:rPr>
          <w:sz w:val="20"/>
          <w:szCs w:val="20"/>
          <w:color w:val="auto"/>
        </w:rPr>
      </w:pPr>
      <w:r>
        <w:rPr>
          <w:rFonts w:ascii="Arial" w:cs="Arial" w:eastAsia="Arial" w:hAnsi="Arial"/>
          <w:sz w:val="17"/>
          <w:szCs w:val="17"/>
          <w:color w:val="auto"/>
        </w:rPr>
        <w:t>Our mission is to unlock actionable business information and insights to make organizations more successful. The values we live and work by build the foundation for our award-winning culture.</w:t>
      </w:r>
    </w:p>
    <w:p>
      <w:pPr>
        <w:spacing w:after="0" w:line="106" w:lineRule="exact"/>
        <w:rPr>
          <w:sz w:val="20"/>
          <w:szCs w:val="20"/>
          <w:color w:val="auto"/>
        </w:rPr>
      </w:pPr>
    </w:p>
    <w:p>
      <w:pPr>
        <w:ind w:left="640" w:hanging="321"/>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Winning…Is What Drives Us. </w:t>
      </w:r>
      <w:r>
        <w:rPr>
          <w:rFonts w:ascii="Arial" w:cs="Arial" w:eastAsia="Arial" w:hAnsi="Arial"/>
          <w:sz w:val="16"/>
          <w:szCs w:val="16"/>
          <w:color w:val="auto"/>
        </w:rPr>
        <w:t>We’re focused on stretch goals that we feel good about, and are laser-focused to blow those marks out of the water.</w:t>
      </w:r>
    </w:p>
    <w:p>
      <w:pPr>
        <w:spacing w:after="0" w:line="182" w:lineRule="exact"/>
        <w:rPr>
          <w:rFonts w:ascii="Arial" w:cs="Arial" w:eastAsia="Arial" w:hAnsi="Arial"/>
          <w:sz w:val="16"/>
          <w:szCs w:val="16"/>
          <w:color w:val="auto"/>
        </w:rPr>
      </w:pPr>
    </w:p>
    <w:p>
      <w:pPr>
        <w:ind w:left="640" w:hanging="321"/>
        <w:spacing w:after="0" w:line="289" w:lineRule="auto"/>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We Rapidly Innovate</w:t>
      </w:r>
      <w:r>
        <w:rPr>
          <w:rFonts w:ascii="Arial" w:cs="Arial" w:eastAsia="Arial" w:hAnsi="Arial"/>
          <w:sz w:val="17"/>
          <w:szCs w:val="17"/>
          <w:color w:val="auto"/>
        </w:rPr>
        <w:t>. We believe in challenging the status quo and refuse to stand by the words “that’s the way it has always been done.” We look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beyond to see what is the most innovative, efficient, and effective way each and every day.</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We Are 100% Results Driven</w:t>
      </w:r>
      <w:r>
        <w:rPr>
          <w:rFonts w:ascii="Arial" w:cs="Arial" w:eastAsia="Arial" w:hAnsi="Arial"/>
          <w:sz w:val="17"/>
          <w:szCs w:val="17"/>
          <w:color w:val="auto"/>
        </w:rPr>
        <w:t>. We face obstacles head on and collaborate to overcome them.</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2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We Like to Feel Uncomfortable. </w:t>
      </w:r>
      <w:r>
        <w:rPr>
          <w:rFonts w:ascii="Arial" w:cs="Arial" w:eastAsia="Arial" w:hAnsi="Arial"/>
          <w:sz w:val="17"/>
          <w:szCs w:val="17"/>
          <w:color w:val="auto"/>
        </w:rPr>
        <w:t>If we’re not uncomfortable, we’re not getting better. Discomfort is key to change, change is key to progress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 is the key to winning.</w:t>
      </w:r>
    </w:p>
    <w:p>
      <w:pPr>
        <w:spacing w:after="0" w:line="105" w:lineRule="exact"/>
        <w:rPr>
          <w:rFonts w:ascii="Arial" w:cs="Arial" w:eastAsia="Arial" w:hAnsi="Arial"/>
          <w:sz w:val="17"/>
          <w:szCs w:val="17"/>
          <w:b w:val="1"/>
          <w:bCs w:val="1"/>
          <w:i w:val="1"/>
          <w:iCs w:val="1"/>
          <w:color w:val="auto"/>
        </w:rPr>
      </w:pPr>
    </w:p>
    <w:p>
      <w:pPr>
        <w:ind w:left="640" w:hanging="321"/>
        <w:spacing w:after="0" w:line="289" w:lineRule="auto"/>
        <w:tabs>
          <w:tab w:leader="none" w:pos="64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We Define New Possibles</w:t>
      </w:r>
      <w:r>
        <w:rPr>
          <w:rFonts w:ascii="Arial" w:cs="Arial" w:eastAsia="Arial" w:hAnsi="Arial"/>
          <w:sz w:val="17"/>
          <w:szCs w:val="17"/>
          <w:color w:val="auto"/>
        </w:rPr>
        <w:t>. We don’t just meet our goals, we take pride in going above and beyond whatever the goal may be. And we are always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raising the bar.</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believe wholeheartedly that our employees love working here and like coming to work because they feel that they’re working towards a larger mission.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Our employee culture is showcased by the following notable distinctions:</w:t>
      </w:r>
    </w:p>
    <w:p>
      <w:pPr>
        <w:spacing w:after="0" w:line="159" w:lineRule="exact"/>
        <w:rPr>
          <w:sz w:val="20"/>
          <w:szCs w:val="20"/>
          <w:color w:val="auto"/>
        </w:rPr>
      </w:pPr>
    </w:p>
    <w:p>
      <w:pPr>
        <w:ind w:left="640" w:hanging="321"/>
        <w:spacing w:after="0" w:line="289" w:lineRule="auto"/>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Multiple Workplace Awards. </w:t>
      </w:r>
      <w:r>
        <w:rPr>
          <w:rFonts w:ascii="Arial" w:cs="Arial" w:eastAsia="Arial" w:hAnsi="Arial"/>
          <w:sz w:val="17"/>
          <w:szCs w:val="17"/>
          <w:color w:val="auto"/>
        </w:rPr>
        <w:t>Our strong culture is celebrated by our distinctions in the 2017 Inc. Magazine’s Top Companies to Work for, 2019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Magazine’s Best Workplaces, 2017 Fortune Best Small &amp; Medium Workplaces, and 2019 Fortune 100 Best Medium Workplaces.</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and Recognized Quality Brand. </w:t>
      </w:r>
      <w:r>
        <w:rPr>
          <w:rFonts w:ascii="Arial" w:cs="Arial" w:eastAsia="Arial" w:hAnsi="Arial"/>
          <w:sz w:val="17"/>
          <w:szCs w:val="17"/>
          <w:color w:val="auto"/>
        </w:rPr>
        <w:t>We were awarded the 2018 G2Crowd’s Top 100 best software companies, 2018 Inc. 5000’s Fastest-Growing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Private Companies, and 2015, 2016, 2017, and 2018 Deloitte’s Technology Fast 500. Our renowned brand has helped us garner exceptional talent to help us further our mission of revolutionizing the sales and marketing industry.</w:t>
      </w:r>
    </w:p>
    <w:p>
      <w:pPr>
        <w:spacing w:after="0" w:line="119"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As of March 31, 2020, we had 1,287 employees, consisting of 544 in engineering, product development, research, and customer operations, 513 in sales, 105 in marketing and operations, and 125 in general and administrative.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77"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We believe there are currently no competitors who offer a sales &amp; marketing intelligence platform as comprehensive as ours. Our competitors focus on specific use cases, end markets and/or types of data sets and they can be categorized as follows:</w:t>
      </w:r>
    </w:p>
    <w:p>
      <w:pPr>
        <w:spacing w:after="0" w:line="106" w:lineRule="exact"/>
        <w:rPr>
          <w:sz w:val="20"/>
          <w:szCs w:val="20"/>
          <w:color w:val="auto"/>
        </w:rPr>
      </w:pPr>
    </w:p>
    <w:p>
      <w:pPr>
        <w:ind w:left="640" w:hanging="321"/>
        <w:spacing w:after="0" w:line="289" w:lineRule="auto"/>
        <w:tabs>
          <w:tab w:leader="none" w:pos="6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LinkedIn Sales Navigator, which provides professional information and relationship data but has limited depth of data and limited ability to integrate with customers’ workflow and CRM and sales &amp; marketing automation systems;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legacy data providers, such as D&amp;B Hoovers, which focus on specific types of data sets (</w:t>
      </w:r>
      <w:r>
        <w:rPr>
          <w:rFonts w:ascii="Arial" w:cs="Arial" w:eastAsia="Arial" w:hAnsi="Arial"/>
          <w:sz w:val="17"/>
          <w:szCs w:val="17"/>
          <w:i w:val="1"/>
          <w:iCs w:val="1"/>
          <w:color w:val="auto"/>
        </w:rPr>
        <w:t>e.g.</w:t>
      </w:r>
      <w:r>
        <w:rPr>
          <w:rFonts w:ascii="Arial" w:cs="Arial" w:eastAsia="Arial" w:hAnsi="Arial"/>
          <w:sz w:val="17"/>
          <w:szCs w:val="17"/>
          <w:color w:val="auto"/>
        </w:rPr>
        <w:t>, companies, attributes, or intent) but lack the combination of quality, depth, and coverage;</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niche data providers, such as TechTarget, which focus on specific types of data sets but lack scale, quality, and coverage of data;</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list providers, such as Infogroup, which focus on company profile and business contact information, but lack technology attributes and intent coverage;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240"/>
          </w:cols>
          <w:pgMar w:left="320" w:top="337" w:right="339" w:bottom="1440" w:gutter="0" w:footer="0" w:header="0"/>
        </w:sectPr>
      </w:pPr>
    </w:p>
    <w:bookmarkStart w:id="175" w:name="page176"/>
    <w:bookmarkEnd w:id="175"/>
    <w:p>
      <w:pPr>
        <w:ind w:left="640" w:hanging="321"/>
        <w:spacing w:after="0" w:line="289" w:lineRule="auto"/>
        <w:tabs>
          <w:tab w:leader="none" w:pos="6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startups or less mature competitors who lack the investment, expertise, and resources to manage quality at scale and keep up with the pace of technological advancement.</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the principal factors that drive competition between vendors in the market include:</w:t>
      </w:r>
    </w:p>
    <w:p>
      <w:pPr>
        <w:spacing w:after="0" w:line="171" w:lineRule="exact"/>
        <w:rPr>
          <w:sz w:val="20"/>
          <w:szCs w:val="20"/>
          <w:color w:val="auto"/>
        </w:rPr>
      </w:pPr>
    </w:p>
    <w:p>
      <w:pPr>
        <w:ind w:left="640" w:hanging="321"/>
        <w:spacing w:after="0"/>
        <w:tabs>
          <w:tab w:leader="none" w:pos="6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comprehensive platform offering;</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quality and accuracy of data;</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breadth and depth of data;</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ease of use and deployment;</w:t>
      </w:r>
    </w:p>
    <w:p>
      <w:pPr>
        <w:spacing w:after="0" w:line="171" w:lineRule="exact"/>
        <w:rPr>
          <w:rFonts w:ascii="Arial" w:cs="Arial" w:eastAsia="Arial" w:hAnsi="Arial"/>
          <w:sz w:val="17"/>
          <w:szCs w:val="17"/>
          <w:color w:val="auto"/>
        </w:rPr>
      </w:pPr>
    </w:p>
    <w:p>
      <w:pPr>
        <w:ind w:left="700" w:hanging="381"/>
        <w:spacing w:after="0"/>
        <w:tabs>
          <w:tab w:leader="none" w:pos="7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tangible benefits and ROI for customers;</w:t>
      </w:r>
    </w:p>
    <w:p>
      <w:pPr>
        <w:spacing w:after="0" w:line="171" w:lineRule="exact"/>
        <w:rPr>
          <w:rFonts w:ascii="Arial" w:cs="Arial" w:eastAsia="Arial" w:hAnsi="Arial"/>
          <w:sz w:val="17"/>
          <w:szCs w:val="17"/>
          <w:color w:val="auto"/>
        </w:rPr>
      </w:pPr>
    </w:p>
    <w:p>
      <w:pPr>
        <w:ind w:left="700" w:hanging="381"/>
        <w:spacing w:after="0"/>
        <w:tabs>
          <w:tab w:leader="none" w:pos="7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171" w:lineRule="exact"/>
        <w:rPr>
          <w:rFonts w:ascii="Arial" w:cs="Arial" w:eastAsia="Arial" w:hAnsi="Arial"/>
          <w:sz w:val="17"/>
          <w:szCs w:val="17"/>
          <w:color w:val="auto"/>
        </w:rPr>
      </w:pPr>
    </w:p>
    <w:p>
      <w:pPr>
        <w:ind w:left="700" w:hanging="381"/>
        <w:spacing w:after="0"/>
        <w:tabs>
          <w:tab w:leader="none" w:pos="7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ability to integrate with customers’ CRM and sales &amp; marketing automation systems; and</w:t>
      </w:r>
    </w:p>
    <w:p>
      <w:pPr>
        <w:spacing w:after="0" w:line="171" w:lineRule="exact"/>
        <w:rPr>
          <w:rFonts w:ascii="Arial" w:cs="Arial" w:eastAsia="Arial" w:hAnsi="Arial"/>
          <w:sz w:val="17"/>
          <w:szCs w:val="17"/>
          <w:color w:val="auto"/>
        </w:rPr>
      </w:pPr>
    </w:p>
    <w:p>
      <w:pPr>
        <w:ind w:left="700" w:hanging="381"/>
        <w:spacing w:after="0"/>
        <w:tabs>
          <w:tab w:leader="none" w:pos="7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sophistication of solutions used to manage, maintain and combine intelligence.</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We believe we compete favorably across these factors. For additional information, see the section titled “Risk Factors—Risks Related to Our Business and Industry—We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 and “Risk Factors—Risks Related to our Business and Industry—Larger and more well-funded companies with access to significant resources, large amounts of data or data collection methods, and sophisticated technologies may shift their business model to become competitive with us.”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Privacy and Protection</w:t>
      </w:r>
    </w:p>
    <w:p>
      <w:pPr>
        <w:spacing w:after="0" w:line="177"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The business contact information and other personal data we collect and process are an integral part of our products and services. Our respect for laws and regulations regarding the collection and processing of personal data underlies our strategy to improve our customer experience and build trust.</w:t>
      </w:r>
    </w:p>
    <w:p>
      <w:pPr>
        <w:spacing w:after="0" w:line="8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certain jurisdictions, including the European Union and California, which we plan to expand to our entire database. In addition, we honor opt-out requests across our entire database.</w:t>
      </w:r>
    </w:p>
    <w:p>
      <w:pPr>
        <w:spacing w:after="0" w:line="11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privacy and legal teams are highly focused on any applicable privacy laws and regulations and constantly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As of March 31, 2020, we had six issued patents in the United States, 20 registered trademarks in the United States (including ZOOMINFO and DISCOVERORG, among others) and one registered copyright in the United States. We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240"/>
          </w:cols>
          <w:pgMar w:left="320" w:top="337" w:right="339" w:bottom="1440" w:gutter="0" w:footer="0" w:header="0"/>
        </w:sectPr>
      </w:pPr>
    </w:p>
    <w:bookmarkStart w:id="176" w:name="page177"/>
    <w:bookmarkEnd w:id="176"/>
    <w:p>
      <w:pPr>
        <w:jc w:val="both"/>
        <w:spacing w:after="0" w:line="322" w:lineRule="auto"/>
        <w:rPr>
          <w:sz w:val="20"/>
          <w:szCs w:val="20"/>
          <w:color w:val="auto"/>
        </w:rPr>
      </w:pPr>
      <w:r>
        <w:rPr>
          <w:rFonts w:ascii="Arial" w:cs="Arial" w:eastAsia="Arial" w:hAnsi="Arial"/>
          <w:sz w:val="16"/>
          <w:szCs w:val="16"/>
          <w:color w:val="auto"/>
        </w:rPr>
        <w:t>also have a portfolio of 322 registered domain names for websites that we use in our business. In addition, we generally enter into confidentiality agreements and invention or work product assignment agreements with employees and contractors involved in the development of our proprietary intellectual property.</w:t>
      </w:r>
    </w:p>
    <w:p>
      <w:pPr>
        <w:spacing w:after="0" w:line="83" w:lineRule="exact"/>
        <w:rPr>
          <w:sz w:val="20"/>
          <w:szCs w:val="20"/>
          <w:color w:val="auto"/>
        </w:rPr>
      </w:pPr>
    </w:p>
    <w:p>
      <w:pPr>
        <w:ind w:right="2000" w:firstLine="314"/>
        <w:spacing w:after="0" w:line="450" w:lineRule="auto"/>
        <w:rPr>
          <w:sz w:val="20"/>
          <w:szCs w:val="20"/>
          <w:color w:val="auto"/>
        </w:rPr>
      </w:pPr>
      <w:r>
        <w:rPr>
          <w:rFonts w:ascii="Arial" w:cs="Arial" w:eastAsia="Arial" w:hAnsi="Arial"/>
          <w:sz w:val="17"/>
          <w:szCs w:val="17"/>
          <w:color w:val="auto"/>
        </w:rPr>
        <w:t xml:space="preserve">We intend to pursue additional intellectual property protection to the extent we believe it would be beneficial and cost effective. </w:t>
      </w:r>
      <w:r>
        <w:rPr>
          <w:rFonts w:ascii="Arial" w:cs="Arial" w:eastAsia="Arial" w:hAnsi="Arial"/>
          <w:sz w:val="17"/>
          <w:szCs w:val="17"/>
          <w:b w:val="1"/>
          <w:bCs w:val="1"/>
          <w:color w:val="auto"/>
        </w:rPr>
        <w:t>Facilities</w:t>
      </w:r>
    </w:p>
    <w:p>
      <w:pPr>
        <w:jc w:val="both"/>
        <w:ind w:firstLine="314"/>
        <w:spacing w:after="0" w:line="289" w:lineRule="auto"/>
        <w:rPr>
          <w:sz w:val="20"/>
          <w:szCs w:val="20"/>
          <w:color w:val="auto"/>
        </w:rPr>
      </w:pPr>
      <w:r>
        <w:rPr>
          <w:rFonts w:ascii="Arial" w:cs="Arial" w:eastAsia="Arial" w:hAnsi="Arial"/>
          <w:sz w:val="17"/>
          <w:szCs w:val="17"/>
          <w:color w:val="auto"/>
        </w:rPr>
        <w:t>Our corporate headquarters is located in Vancouver, Washington and consists of 57,576 square feet under a lease agreement that expires on August 31, 2025.</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maintain additional offices in the United States, including in Bethesda, Maryland and Waltham, Massachusetts, as well as in Israel.</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lease all of our facilities and do not own any real property. Our infrastructure operates out of third-party data centers hosted by Google and Amazon Web Services.</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240"/>
          </w:cols>
          <w:pgMar w:left="320" w:top="337"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names, ages, and positions of the directors and executive officers of ZoomInfo Technologies Inc.:</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6"/>
                <w:szCs w:val="16"/>
                <w:color w:val="auto"/>
              </w:rPr>
            </w:pPr>
          </w:p>
        </w:tc>
        <w:tc>
          <w:tcPr>
            <w:tcW w:w="662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Position</w:t>
            </w:r>
          </w:p>
        </w:tc>
      </w:tr>
      <w:tr>
        <w:trPr>
          <w:trHeight w:val="24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Henry Schuck</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Chief Executive Officer and Chairman of the Board of Directors</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Cameron Hyzer</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Chris Hays</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Chief Revenue Officer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Nir Keren</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Todd Crockett</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Mitesh Dhruv</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Keith Enright</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Ashley Evans</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Mark Mader</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Patrick McCarter</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20" w:type="dxa"/>
            <w:vAlign w:val="bottom"/>
          </w:tcPr>
          <w:p>
            <w:pPr>
              <w:spacing w:after="0"/>
              <w:rPr>
                <w:sz w:val="2"/>
                <w:szCs w:val="2"/>
                <w:color w:val="auto"/>
              </w:rPr>
            </w:pPr>
          </w:p>
        </w:tc>
      </w:tr>
      <w:tr>
        <w:trPr>
          <w:trHeight w:val="242"/>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Jason Mironov</w:t>
            </w:r>
          </w:p>
        </w:tc>
        <w:tc>
          <w:tcPr>
            <w:tcW w:w="6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5"/>
        </w:trPr>
        <w:tc>
          <w:tcPr>
            <w:tcW w:w="3840" w:type="dxa"/>
            <w:vAlign w:val="bottom"/>
            <w:gridSpan w:val="2"/>
          </w:tcPr>
          <w:p>
            <w:pPr>
              <w:ind w:left="40"/>
              <w:spacing w:after="0"/>
              <w:rPr>
                <w:sz w:val="20"/>
                <w:szCs w:val="20"/>
                <w:color w:val="auto"/>
              </w:rPr>
            </w:pPr>
            <w:r>
              <w:rPr>
                <w:rFonts w:ascii="Arial" w:cs="Arial" w:eastAsia="Arial" w:hAnsi="Arial"/>
                <w:sz w:val="17"/>
                <w:szCs w:val="17"/>
                <w:color w:val="auto"/>
              </w:rPr>
              <w:t>D. Randall Winn</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7"/>
                <w:szCs w:val="17"/>
                <w:color w:val="auto"/>
              </w:rPr>
              <w:t>Director</w:t>
            </w:r>
          </w:p>
        </w:tc>
      </w:tr>
    </w:tbl>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b w:val="1"/>
          <w:bCs w:val="1"/>
          <w:i w:val="1"/>
          <w:iCs w:val="1"/>
          <w:color w:val="auto"/>
        </w:rPr>
        <w:t xml:space="preserve">Henry Schuck </w:t>
      </w:r>
      <w:r>
        <w:rPr>
          <w:rFonts w:ascii="Arial" w:cs="Arial" w:eastAsia="Arial" w:hAnsi="Arial"/>
          <w:sz w:val="17"/>
          <w:szCs w:val="17"/>
          <w:color w:val="auto"/>
        </w:rPr>
        <w:t>has served as Chief Executive Officer and a director of ZoomInfo Holdings LLC (formerly known as DiscoverOrg Holdings, LLC)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founding it in 2007 and as Chief Executive Officer and a director of ZoomInfo Technologies Inc. since its formation in November 2019. Prior to founding ZoomInfo Holdings LLC, Mr. Schuck was VP of Research &amp; Marketing at iProfile, a sales intelligence firm focused on the IT market. Mr. Schuck is a </w:t>
      </w:r>
      <w:r>
        <w:rPr>
          <w:rFonts w:ascii="Arial" w:cs="Arial" w:eastAsia="Arial" w:hAnsi="Arial"/>
          <w:sz w:val="17"/>
          <w:szCs w:val="17"/>
          <w:i w:val="1"/>
          <w:iCs w:val="1"/>
          <w:color w:val="auto"/>
        </w:rPr>
        <w:t>cum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laude </w:t>
      </w:r>
      <w:r>
        <w:rPr>
          <w:rFonts w:ascii="Arial" w:cs="Arial" w:eastAsia="Arial" w:hAnsi="Arial"/>
          <w:sz w:val="17"/>
          <w:szCs w:val="17"/>
          <w:color w:val="auto"/>
        </w:rPr>
        <w:t>graduate of the University of Nevada, Las Vegas with a B.S. in Business Administration and a B.S. in Hospitality Management and holds a J.D.,</w:t>
      </w:r>
      <w:r>
        <w:rPr>
          <w:rFonts w:ascii="Arial" w:cs="Arial" w:eastAsia="Arial" w:hAnsi="Arial"/>
          <w:sz w:val="17"/>
          <w:szCs w:val="17"/>
          <w:i w:val="1"/>
          <w:iCs w:val="1"/>
          <w:color w:val="auto"/>
        </w:rPr>
        <w:t xml:space="preserve"> cum laude</w:t>
      </w:r>
      <w:r>
        <w:rPr>
          <w:rFonts w:ascii="Arial" w:cs="Arial" w:eastAsia="Arial" w:hAnsi="Arial"/>
          <w:sz w:val="17"/>
          <w:szCs w:val="17"/>
          <w:color w:val="auto"/>
        </w:rPr>
        <w:t>, from The Ohio State University Moritz College of Law.</w:t>
      </w:r>
    </w:p>
    <w:p>
      <w:pPr>
        <w:spacing w:after="0" w:line="126"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b w:val="1"/>
          <w:bCs w:val="1"/>
          <w:i w:val="1"/>
          <w:iCs w:val="1"/>
          <w:color w:val="auto"/>
        </w:rPr>
        <w:t xml:space="preserve">Cameron Hyzer </w:t>
      </w:r>
      <w:r>
        <w:rPr>
          <w:rFonts w:ascii="Arial" w:cs="Arial" w:eastAsia="Arial" w:hAnsi="Arial"/>
          <w:sz w:val="16"/>
          <w:szCs w:val="16"/>
          <w:color w:val="auto"/>
        </w:rPr>
        <w:t>has served as Chief Financial Officer of ZoomInfo Holdings LLC since 2018 and as Chief Financial Officer of ZoomInfo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since its formation in November 2019. Prior to joining ZoomInfo Holdings LLC, Mr. Hyzer served as the Chief Financial Officer and an Executive Managing Director of Eze Software Group LLC, a global provider of order management and investment technology to hedge funds and asset managers, from 2013 to 2018 through its sale to SS&amp;C Technologies, Inc. Prior to that, Mr. Hyzer served as Managing Director, Controller and Treasurer of ConvergEx Group, a provider of global agency brokerage and investment technology, from 2007 to 2013 and Vice President of Finance at Eze Castle Software from 2005 to 2007. Earlier in his career, Mr. Hyzer served in executive and financial roles at other software and information companies, including Thomson Financial and Cramer Systems, and started his career in investment banking and private equity at Broadview International LLC and Broadview Capital Partners, LLC. Mr. Hyzer holds a B.S. in Economics from the University of Pennsylvania Wharton School and a B.S. in Electrical Engineering from the University of Pennsylvania School of Engineering and Applied Science. Mr. Hyzer is also a CFA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charterholder.</w:t>
      </w:r>
    </w:p>
    <w:p>
      <w:pPr>
        <w:spacing w:after="0" w:line="24"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b w:val="1"/>
          <w:bCs w:val="1"/>
          <w:i w:val="1"/>
          <w:iCs w:val="1"/>
          <w:color w:val="auto"/>
        </w:rPr>
        <w:t xml:space="preserve">Chris Hays </w:t>
      </w:r>
      <w:r>
        <w:rPr>
          <w:rFonts w:ascii="Arial" w:cs="Arial" w:eastAsia="Arial" w:hAnsi="Arial"/>
          <w:sz w:val="16"/>
          <w:szCs w:val="16"/>
          <w:color w:val="auto"/>
        </w:rPr>
        <w:t>has served as Chief Revenue Officer of ZoomInfo Holdings LLC since February 2019 and as Chief Marketing Officer of ZoomInfo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Inc. since its formation in November 2019. From 2016 to 2019, Mr. Hays served as Senior Director of Sales &amp; Marketing Operations, VP of Sales Operations and Chief Operating Officer of ZoomInfo Holdings LLC. Prior to joining ZoomInfo OpCo, Mr. Hays co-founded Inside Sales Team, a provider of sales software and lead management, in 2008 and served as Head of Revenue Operations from 2008 to 2015. Prior to founding Inside Sales Team, Mr. Hays served as Director of Services Revenue at Avaya, a company specializing in business communications and services, from 2000 to 2008 and as Enterprise Sales representative of Lucent from 1995 to 2000. Mr. Hays holds a B.A. from the State University of New York Albany.</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b w:val="1"/>
          <w:bCs w:val="1"/>
          <w:i w:val="1"/>
          <w:iCs w:val="1"/>
          <w:color w:val="auto"/>
        </w:rPr>
        <w:t xml:space="preserve">Nir Keren </w:t>
      </w:r>
      <w:r>
        <w:rPr>
          <w:rFonts w:ascii="Arial" w:cs="Arial" w:eastAsia="Arial" w:hAnsi="Arial"/>
          <w:sz w:val="17"/>
          <w:szCs w:val="17"/>
          <w:color w:val="auto"/>
        </w:rPr>
        <w:t>has served as Chief Technology Officer of ZoomInfo Technologies Inc. since 2020, ZoomInfo Holdings LLC since 2019, and at Pre-Acquisition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ZI since 2015. Prior to joining Pre-Acquisition ZI, Mr. Keren founded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240"/>
          </w:cols>
          <w:pgMar w:left="320" w:top="331" w:right="339" w:bottom="1440" w:gutter="0" w:footer="0" w:header="0"/>
        </w:sectPr>
      </w:pPr>
    </w:p>
    <w:bookmarkStart w:id="178" w:name="page179"/>
    <w:bookmarkEnd w:id="178"/>
    <w:p>
      <w:pPr>
        <w:jc w:val="both"/>
        <w:spacing w:after="0" w:line="267" w:lineRule="auto"/>
        <w:rPr>
          <w:sz w:val="20"/>
          <w:szCs w:val="20"/>
          <w:color w:val="auto"/>
        </w:rPr>
      </w:pPr>
      <w:r>
        <w:rPr>
          <w:rFonts w:ascii="Arial" w:cs="Arial" w:eastAsia="Arial" w:hAnsi="Arial"/>
          <w:sz w:val="17"/>
          <w:szCs w:val="17"/>
          <w:color w:val="auto"/>
        </w:rPr>
        <w:t>served as Chief Technology Officer of adSAP, a company specializing in algorithms for Ad Tech, from 2015 to 2016. Prior to founding adSAP, Mr. Keren founded and served as Chief Technology Officer of ONDiGO, a modern-day mobile CRM, from 2012 to 2015. Prior to founding ONDiGO, Mr. Keren was an embedded software engineer for Ceragon Networks in Tel Aviv from 2010 to 2012. Mr. Keren holds a B.Sc. in Electrical and Computer Engineering from Ben-Gurion University.</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b w:val="1"/>
          <w:bCs w:val="1"/>
          <w:i w:val="1"/>
          <w:iCs w:val="1"/>
          <w:color w:val="auto"/>
        </w:rPr>
        <w:t xml:space="preserve">Todd Crockett </w:t>
      </w:r>
      <w:r>
        <w:rPr>
          <w:rFonts w:ascii="Arial" w:cs="Arial" w:eastAsia="Arial" w:hAnsi="Arial"/>
          <w:sz w:val="16"/>
          <w:szCs w:val="16"/>
          <w:color w:val="auto"/>
        </w:rPr>
        <w:t>has served as a director of ZoomInfo Holdings LLC since 2014 and as a member of the board of directors of ZoomInfo Technologies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2020. Mr. Crockett currently serves as a Managing Director of TA Associates, a private equity firm and an affiliate of the Company, which he joined in 1994, and is a member of TA Associates’ Management Committee and Core Investment Committee. Mr. Crockett also currently serves on the boards of several private companies, including MAO Corporation, Orion Adviser Solutions, Procare Software, LLC, Russell Investments, and Wealth Enhancement Group. Mr. Crockett holds a B.A. from Princeton University and a MBA from Harvard Business School.</w:t>
      </w:r>
    </w:p>
    <w:p>
      <w:pPr>
        <w:spacing w:after="0" w:line="113" w:lineRule="exact"/>
        <w:rPr>
          <w:sz w:val="20"/>
          <w:szCs w:val="20"/>
          <w:color w:val="auto"/>
        </w:rPr>
      </w:pPr>
    </w:p>
    <w:p>
      <w:pPr>
        <w:jc w:val="both"/>
        <w:ind w:firstLine="314"/>
        <w:spacing w:after="0" w:line="294" w:lineRule="auto"/>
        <w:rPr>
          <w:sz w:val="20"/>
          <w:szCs w:val="20"/>
          <w:color w:val="auto"/>
        </w:rPr>
      </w:pPr>
      <w:r>
        <w:rPr>
          <w:rFonts w:ascii="Arial" w:cs="Arial" w:eastAsia="Arial" w:hAnsi="Arial"/>
          <w:sz w:val="16"/>
          <w:szCs w:val="16"/>
          <w:b w:val="1"/>
          <w:bCs w:val="1"/>
          <w:i w:val="1"/>
          <w:iCs w:val="1"/>
          <w:color w:val="auto"/>
        </w:rPr>
        <w:t xml:space="preserve">Mitesh Dhruv </w:t>
      </w:r>
      <w:r>
        <w:rPr>
          <w:rFonts w:ascii="Arial" w:cs="Arial" w:eastAsia="Arial" w:hAnsi="Arial"/>
          <w:sz w:val="16"/>
          <w:szCs w:val="16"/>
          <w:color w:val="auto"/>
        </w:rPr>
        <w:t>has served as a director of ZoomInfo Holdings LLC and as a member of the board of directors of ZoomInfo Technologies Inc.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2020. Mr. Dhruv currently serves as Chief Financial Officer of RingCentral, Inc., a cloud-based communications and collaboration solutions provider. Prior to joining RingCentral, Inc. in 2012, Mr. Dhruv worked at Bank of America Merrill Lynch as an equity research analyst and at PricewaterhouseCoopers. Mr. Dhruv is a CPA, Chartered Accountant, and CFA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charterholder, and holds an undergraduate degree in accounting from the University of Mumbai, India.</w:t>
      </w:r>
    </w:p>
    <w:p>
      <w:pPr>
        <w:spacing w:after="0" w:line="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b w:val="1"/>
          <w:bCs w:val="1"/>
          <w:i w:val="1"/>
          <w:iCs w:val="1"/>
          <w:color w:val="auto"/>
        </w:rPr>
        <w:t xml:space="preserve">Keith Enright </w:t>
      </w:r>
      <w:r>
        <w:rPr>
          <w:rFonts w:ascii="Arial" w:cs="Arial" w:eastAsia="Arial" w:hAnsi="Arial"/>
          <w:sz w:val="17"/>
          <w:szCs w:val="17"/>
          <w:color w:val="auto"/>
        </w:rPr>
        <w:t>has served as a director of ZoomInfo Holdings LLC and as a member of the board of directors of ZoomInfo Technologies Inc. since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Mr. Enright currently serves as the Chief Privacy Officer of Google LLC, a multinational technology company that specializes in Internet-related services and products, which include online advertising technologies, a search engine, cloud computing, software, and hardware. Prior to joining Google in 2011, Mr. Enright was the Chief Privacy Officer and Vice President, Privacy of Macy’s Inc. Mr. Enright holds a Bachelor of Arts Degree from the University of Massachusetts at Amherst and a Juris Doctor degree from The George Washington University Law School.</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b w:val="1"/>
          <w:bCs w:val="1"/>
          <w:i w:val="1"/>
          <w:iCs w:val="1"/>
          <w:color w:val="auto"/>
        </w:rPr>
        <w:t xml:space="preserve">Ashley Evans </w:t>
      </w:r>
      <w:r>
        <w:rPr>
          <w:rFonts w:ascii="Arial" w:cs="Arial" w:eastAsia="Arial" w:hAnsi="Arial"/>
          <w:sz w:val="16"/>
          <w:szCs w:val="16"/>
          <w:color w:val="auto"/>
        </w:rPr>
        <w:t>has served as a director of ZoomInfo Holdings LLC since 2018 and as a member of the board of directors of ZoomInfo Technologies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2020. Ms. Evans is a Principal with the U.S. Buyout fund of The Carlyle Group, a private equity firm and an affiliate of the Company, which she joined in 2006. Ms. Evans also currently serves on the board of private companies, including HireVue, Inc. and Veritas Technologies Corporation. Ms. Evans holds an A.B. from Harvard College, a M.Phil from the University of Cambridge, and a MBA from Stanford University.</w:t>
      </w:r>
    </w:p>
    <w:p>
      <w:pPr>
        <w:spacing w:after="0" w:line="10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b w:val="1"/>
          <w:bCs w:val="1"/>
          <w:i w:val="1"/>
          <w:iCs w:val="1"/>
          <w:color w:val="auto"/>
        </w:rPr>
        <w:t xml:space="preserve">Mark Mader </w:t>
      </w:r>
      <w:r>
        <w:rPr>
          <w:rFonts w:ascii="Arial" w:cs="Arial" w:eastAsia="Arial" w:hAnsi="Arial"/>
          <w:sz w:val="16"/>
          <w:szCs w:val="16"/>
          <w:color w:val="auto"/>
        </w:rPr>
        <w:t>has served as a director of ZoomInfo Holdings LLC and as a member of the board of directors of ZoomInfo Technologies Inc. since February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Mr. Mader currently serves as President, Chief Executive Officer and director of Smartsheet Inc., a SaaS collaboration and work management provider. Prior to joining Smartsheet Inc. in 2006, Mr. Mader served in various leadership positions from 1995 to 2005 at Onyx Software Corporation, a customer relationship management software company acquired by M2M Holdings, including as Senior Vice President of Global Services. From 1993 to 1995, Mr. Mader was a senior associate at Greenwich Associates, a financial consulting firm. Mr. Mader holds a B.A. in Geography from Dartmouth College.</w:t>
      </w:r>
    </w:p>
    <w:p>
      <w:pPr>
        <w:spacing w:after="0" w:line="113"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b w:val="1"/>
          <w:bCs w:val="1"/>
          <w:i w:val="1"/>
          <w:iCs w:val="1"/>
          <w:color w:val="auto"/>
        </w:rPr>
        <w:t xml:space="preserve">Patrick McCarter </w:t>
      </w:r>
      <w:r>
        <w:rPr>
          <w:rFonts w:ascii="Arial" w:cs="Arial" w:eastAsia="Arial" w:hAnsi="Arial"/>
          <w:sz w:val="17"/>
          <w:szCs w:val="17"/>
          <w:color w:val="auto"/>
        </w:rPr>
        <w:t>has served as a director of ZoomInfo Holdings LLC since 2018 and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McCarter currently serves as a Managing Director and the head of the Global Technology, Media and Telecommunications group for The Carlyle Group, a private equity firm and an affiliate of the Company, which he joined in 2001. Mr. McCarter serves as a director of CommScope Holding Company, Inc. In addition, Mr. McCarter currently serves on the board of several private companies, including HireVue, Inc., Veritas Technologies Corporation, and Ampere Computing. Mr. McCarter holds a B.S. in Industrial Engineering and Economics from Northwestern University and an MBA from Harvard Business School.</w:t>
      </w:r>
    </w:p>
    <w:p>
      <w:pPr>
        <w:spacing w:after="0" w:line="12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b w:val="1"/>
          <w:bCs w:val="1"/>
          <w:i w:val="1"/>
          <w:iCs w:val="1"/>
          <w:color w:val="auto"/>
        </w:rPr>
        <w:t xml:space="preserve">Jason Mironov </w:t>
      </w:r>
      <w:r>
        <w:rPr>
          <w:rFonts w:ascii="Arial" w:cs="Arial" w:eastAsia="Arial" w:hAnsi="Arial"/>
          <w:sz w:val="16"/>
          <w:szCs w:val="16"/>
          <w:color w:val="auto"/>
        </w:rPr>
        <w:t>has served as a director of ZoomInfo Holdings LLC since 2014 and as a member of the board of directors of ZoomInfo Technologies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2020. Mr. Mironov currently serves as a Director at TA Associates, a private equity firm and an affiliate of the Company, which he joined in 2012. In addition, Mr. Mironov currently serves on the boards of several private companies, including Procare Software, LLC, and Conservice. Mr.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240"/>
          </w:cols>
          <w:pgMar w:left="320" w:top="337" w:right="3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Mironov holds a B.B.A. from the University of Michigan Ross School of Business and a MBA from Harvard Business School.</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b w:val="1"/>
          <w:bCs w:val="1"/>
          <w:i w:val="1"/>
          <w:iCs w:val="1"/>
          <w:color w:val="auto"/>
        </w:rPr>
        <w:t xml:space="preserve">D. Randall Winn </w:t>
      </w:r>
      <w:r>
        <w:rPr>
          <w:rFonts w:ascii="Arial" w:cs="Arial" w:eastAsia="Arial" w:hAnsi="Arial"/>
          <w:sz w:val="17"/>
          <w:szCs w:val="17"/>
          <w:color w:val="auto"/>
        </w:rPr>
        <w:t>has served as a director of ZoomInfo Holdings LLC since 2014 and as a member of the board of directors of ZoomInfo Technologies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February 2020. Mr. Winn currently serves as a Managing Member of 22C Capital, a principal investment firm and an affiliate of the Company, which he founded in 2017. In addition to serving on our board, Mr. Winn currently serves on the boards of private companies, including Definitive Healthcare and Canoe Software. Mr. Winn previously was the non-executive chairman of Dealogic and served on the boards of private companies such as Viteos Fund Services, Merit Software, and eMarketer.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 After this Offering</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consists of nine directors, of whom Messrs. Dhruv, Enright, Mader, and Winn are independent, including for purposes of committee service. The authorized number of directors may be changed by resolution of our board of directors, subject to the terms of the stockholders agreement described in “Certain Relationships and Related Person Transactions— Stockholders Agreement.” In connection with this offering, we will amend and restate our certificate of incorporation to provide for a classified board of directors consisting of three classes of directors, each serving staggered three-year terms, as follows:</w:t>
      </w:r>
    </w:p>
    <w:p>
      <w:pPr>
        <w:spacing w:after="0" w:line="126" w:lineRule="exact"/>
        <w:rPr>
          <w:sz w:val="20"/>
          <w:szCs w:val="20"/>
          <w:color w:val="auto"/>
        </w:rPr>
      </w:pPr>
    </w:p>
    <w:p>
      <w:pPr>
        <w:ind w:left="640" w:hanging="321"/>
        <w:spacing w:after="0" w:line="289" w:lineRule="auto"/>
        <w:tabs>
          <w:tab w:leader="none" w:pos="6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Our Class I directors will be Messrs. Dhruv, Enright, and Schuck with their terms expiring at the first annual meeting of stockholders following the date of this prospectus.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Our Class II directors will be Messrs. Mader, McCarter, and Mironov with their terms expiring at the second annual meeting of stockholders following the date of this prospectus.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Our Class III directors will be Mr. Crockett, Ms. Evans, and Mr. Winn with their terms expiring at the third annual meeting of stockholders following the date of this prospectus.</w:t>
      </w:r>
    </w:p>
    <w:p>
      <w:pPr>
        <w:spacing w:after="0" w:line="106" w:lineRule="exact"/>
        <w:rPr>
          <w:sz w:val="20"/>
          <w:szCs w:val="20"/>
          <w:color w:val="auto"/>
        </w:rPr>
      </w:pPr>
    </w:p>
    <w:p>
      <w:pPr>
        <w:jc w:val="both"/>
        <w:ind w:firstLine="314"/>
        <w:spacing w:after="0" w:line="305" w:lineRule="auto"/>
        <w:rPr>
          <w:sz w:val="20"/>
          <w:szCs w:val="20"/>
          <w:color w:val="auto"/>
        </w:rPr>
      </w:pPr>
      <w:r>
        <w:rPr>
          <w:rFonts w:ascii="Arial" w:cs="Arial" w:eastAsia="Arial" w:hAnsi="Arial"/>
          <w:sz w:val="15"/>
          <w:szCs w:val="15"/>
          <w:color w:val="auto"/>
        </w:rPr>
        <w:t>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Vacancies on our board of directors can be filled by resolution of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Effects of Our Amended and Restated Certificate of Incorporation and Amended and Restated Bylaws and Certain Provisions of Delaware Law—Classified Board of Directors.”</w:t>
      </w:r>
    </w:p>
    <w:p>
      <w:pPr>
        <w:spacing w:after="0" w:line="99"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In addition, we intend to enter into a stockholders agreement with certain affiliates of TA Associates, Carlyle, and our Founders in connection with this offering. This agreement will grant certain affiliates of TA Associates, Carlyle, and our Founders the right to designate nominees to our board of directors subject to the maintenance of certain ownership requirements in us. Ms. Evans and Mr. McCarter will be director nominees of Carlyle, Messrs. Crockett and Mironov will be director nominees of TA Associates, and Mr. Schuck will be a director nominee of the Founders, in each case pursuant to the stockholders agreement to be entered into among us and certain affiliates of TA Associates, Carlyle, and our Founders in connection with this offering. The stockholders agreement will provide that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In the event the number of individuals that TA Associates or Carlyle has the right to designate is decreased to one for such stockholder because of the decrease in its combined voting power, the total authorized number of directors shall be accordingly decreased upon the resignation of the applicable designee. See “Certain Relationships and Related Person Transactions—Stockholders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240"/>
          </w:cols>
          <w:pgMar w:left="320" w:top="337" w:right="3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b w:val="1"/>
          <w:bCs w:val="1"/>
          <w:color w:val="auto"/>
        </w:rPr>
        <w:t>Background and Experience of Directors</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 In particular, the members of our board of directors considered the following important characteristics, among others:</w:t>
      </w:r>
    </w:p>
    <w:p>
      <w:pPr>
        <w:spacing w:after="0" w:line="126" w:lineRule="exact"/>
        <w:rPr>
          <w:sz w:val="20"/>
          <w:szCs w:val="20"/>
          <w:color w:val="auto"/>
        </w:rPr>
      </w:pPr>
    </w:p>
    <w:p>
      <w:pPr>
        <w:ind w:left="640" w:hanging="321"/>
        <w:spacing w:after="0"/>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Schuck – our board of directors considered Mr. Schuck’s perspective and the experience he brings as our co-founder and CEO.</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Crockett – our board of directors considered Mr. Crockett’s extensive core business and leadership skills, including financial and strategic planning, and his significant management experience, including his involvement with TA Associates.</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Dhruv – our board of directors considered Mr. Dhruv’s extensive financial and accounting experience, including as the Chief Financial Officer of RingCentral and his accounting and financial certifications, his knowledge and experience in our industry and with SaaS companies, and his experience in management of a public company.</w:t>
      </w:r>
    </w:p>
    <w:p>
      <w:pPr>
        <w:spacing w:after="0" w:line="118"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Enright – our board of directors considered Mr. Enright’s extensive experience with data privacy, including as Chief Privacy Officer for Google LLC, and his significant core business skills.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Ms. Evans – our board of directors considered Ms. Evans’ significant core business skills, including financial and strategic planning, and her extensive management experience, including her involvement with Carlyle.</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McCarter – our board of directors considered Mr. McCarter’s extensive core business skills, including financial and strategic planning, and many years of management experience at portfolio companies through his involvement with Carlyle.</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Mironov – our board of directors considered Mr. Mironov’s extensive core business skills, including financial and strategic planning, and his extensive management experience with financial services and technology companies, including his involvement with TA Associates.</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Mader – our board of directors considered Mr. Mader’s extensive knowledge and experience in our industry and with SaaS companies, and his experience leading a public company as President, Chief Executive Officer and Director of Smartsheet.</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Mr. Winn – our board of directors considered Mr. Winn’s deep knowledge of our industry, extensive financial and business skills, including strategic planning, and his significant management and leadership experience, including with CapitalIQ.</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Exception</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After the completion of this offering, the parties to our stockholders agreement, described in “Certain Relationships and Related Person Transactions— Stockholders Agreement,” will beneficially own approximately 89.6% of the combined voting power of our Class A, Class B, and Class C common stock (or 89.4% if the underwriters exercise in full their option to purchase additional shares of Class A common stock). As a result, we will be a “controlled company” within the meaning of the Nasdaq corporate governance standards. Under these corporate governance standards, a company of which more than 50% of the voting power for the election of directors is held by an individual, group or other company is a “controlled company” and may elect not to comply with certain corporate governance standards, including the requirements (1) that a majority of our board of directors consist of independent directors, (2) that our board of directors have a compensation committee that consists entirely of independent directors with a written charter addressing the committee’s purpose and responsibilities, and (3) that our director nominations be made, or recommended to our full board of directors, by our independent directors or by a nominations committee that consists entirely of independent directors and that we adopt a written charter or board resolution addressing the nominations process.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240"/>
          </w:cols>
          <w:pgMar w:left="320" w:top="331" w:right="339" w:bottom="1440" w:gutter="0" w:footer="0" w:header="0"/>
        </w:sectPr>
      </w:pPr>
    </w:p>
    <w:bookmarkStart w:id="181" w:name="page182"/>
    <w:bookmarkEnd w:id="181"/>
    <w:p>
      <w:pPr>
        <w:jc w:val="both"/>
        <w:spacing w:after="0" w:line="273" w:lineRule="auto"/>
        <w:rPr>
          <w:sz w:val="20"/>
          <w:szCs w:val="20"/>
          <w:color w:val="auto"/>
        </w:rPr>
      </w:pPr>
      <w:r>
        <w:rPr>
          <w:rFonts w:ascii="Arial" w:cs="Arial" w:eastAsia="Arial" w:hAnsi="Arial"/>
          <w:sz w:val="17"/>
          <w:szCs w:val="17"/>
          <w:color w:val="auto"/>
        </w:rPr>
        <w:t>Accordingly, you will not have the same protections afforded to stockholders of companies that are subject to these corporate governance requirements. In the event that we cease to be a “controlled company” and our shares continue to be listed on the Nasdaq, we will be required to comply with these provisions within the applicable transition periods.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We anticipate that, prior to the completion of this offering, our board of directors will establish the following committees: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 Each of TA Associates and Carlyle will have the right to designate certain members of the committees so long as it has the right to designate at least one director pursuant to the stockholders agreement, subject to certain exceptions. See “Certain Relationships and Related Person Transactions—Stockholders Agreement.”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Upon completion of this offering, we expect our audit committee will consist of Messrs. Dhruv, Mader, and Winn, with Mr. Dhruv serving as chair. Our audit committee will be responsible for, among other things:</w:t>
      </w:r>
    </w:p>
    <w:p>
      <w:pPr>
        <w:spacing w:after="0" w:line="106" w:lineRule="exact"/>
        <w:rPr>
          <w:sz w:val="20"/>
          <w:szCs w:val="20"/>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selecting and hiring our independent auditors and approving the audit and non-audit services to be performed by our independent auditors;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assisting the board of directors in evaluating the qualifications, performance, and independence of our independent auditors;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quality and integrity of our financial statements and our accounting and financial reporting;</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assisting the board of directors in monitoring our compliance with legal and regulatory requirements;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reviewing the adequacy and effectiveness of our internal control over financial reporting processes;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assisting the board of directors in monitoring the performance of our internal audit function;</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reviewing with management and our independent auditors our annual and quarterly financial statements;</w:t>
      </w:r>
    </w:p>
    <w:p>
      <w:pPr>
        <w:spacing w:after="0" w:line="171" w:lineRule="exact"/>
        <w:rPr>
          <w:rFonts w:ascii="Arial" w:cs="Arial" w:eastAsia="Arial" w:hAnsi="Arial"/>
          <w:sz w:val="17"/>
          <w:szCs w:val="17"/>
          <w:color w:val="auto"/>
        </w:rPr>
      </w:pPr>
    </w:p>
    <w:p>
      <w:pPr>
        <w:jc w:val="both"/>
        <w:ind w:left="640" w:hanging="321"/>
        <w:spacing w:after="0" w:line="359" w:lineRule="auto"/>
        <w:tabs>
          <w:tab w:leader="none" w:pos="64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60" w:lineRule="exact"/>
        <w:rPr>
          <w:rFonts w:ascii="Arial" w:cs="Arial" w:eastAsia="Arial" w:hAnsi="Arial"/>
          <w:sz w:val="15"/>
          <w:szCs w:val="15"/>
          <w:color w:val="auto"/>
        </w:rPr>
      </w:pPr>
    </w:p>
    <w:p>
      <w:pPr>
        <w:ind w:left="640" w:hanging="321"/>
        <w:spacing w:after="0"/>
        <w:tabs>
          <w:tab w:leader="none" w:pos="6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preparing the audit committee report that the rules and regulations of the SEC require to be included in our annual proxy statement.</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SEC rules and the Nasdaq rules require us to have one independent audit committee member upon the listing of our Class A common stock on the Nasdaq, a majority of independent directors within 90 days of the effective date of the registration statement, and all independent audit committee members within one year of the effective date of the registration statement. Messrs. Dhruv, Mader, and Winn qualify as independent directors under the Nasdaq listing standards and the independence standards of Rule 10A-3 of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Upon completion of this offering, we expect our compensation committee will consist of Messrs. Crockett, McCarter and Winn, with Mr. Winn serving as chair. Our compensation committee will be responsible for, among other things:</w:t>
      </w:r>
    </w:p>
    <w:p>
      <w:pPr>
        <w:spacing w:after="0" w:line="106" w:lineRule="exact"/>
        <w:rPr>
          <w:sz w:val="20"/>
          <w:szCs w:val="20"/>
          <w:color w:val="auto"/>
        </w:rPr>
      </w:pPr>
    </w:p>
    <w:p>
      <w:pPr>
        <w:jc w:val="both"/>
        <w:ind w:left="640" w:hanging="321"/>
        <w:spacing w:after="0" w:line="273" w:lineRule="auto"/>
        <w:tabs>
          <w:tab w:leader="none" w:pos="6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240"/>
          </w:cols>
          <w:pgMar w:left="320" w:top="337" w:right="339" w:bottom="1440" w:gutter="0" w:footer="0" w:header="0"/>
        </w:sectPr>
      </w:pPr>
    </w:p>
    <w:bookmarkStart w:id="182" w:name="page183"/>
    <w:bookmarkEnd w:id="182"/>
    <w:p>
      <w:pPr>
        <w:ind w:left="640"/>
        <w:spacing w:after="0"/>
        <w:rPr>
          <w:sz w:val="20"/>
          <w:szCs w:val="20"/>
          <w:color w:val="auto"/>
        </w:rPr>
      </w:pPr>
      <w:r>
        <w:rPr>
          <w:rFonts w:ascii="Arial" w:cs="Arial" w:eastAsia="Arial" w:hAnsi="Arial"/>
          <w:sz w:val="17"/>
          <w:szCs w:val="17"/>
          <w:color w:val="auto"/>
        </w:rPr>
        <w:t>recommendations to the board of directors with respect to, our CEO’s compensation level based on such evaluation;</w:t>
      </w:r>
    </w:p>
    <w:p>
      <w:pPr>
        <w:spacing w:after="0" w:line="171" w:lineRule="exact"/>
        <w:rPr>
          <w:sz w:val="20"/>
          <w:szCs w:val="20"/>
          <w:color w:val="auto"/>
        </w:rPr>
      </w:pPr>
    </w:p>
    <w:p>
      <w:pPr>
        <w:ind w:left="640" w:hanging="321"/>
        <w:spacing w:after="0" w:line="289" w:lineRule="auto"/>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reviewing and recommending the compensation of our directors;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reviewing and discussing with management our “Compensation Discussion and Analysis” disclosure when such disclosure is required by SEC rules;</w:t>
      </w:r>
    </w:p>
    <w:p>
      <w:pPr>
        <w:spacing w:after="0" w:line="182" w:lineRule="exact"/>
        <w:rPr>
          <w:rFonts w:ascii="Arial" w:cs="Arial" w:eastAsia="Arial" w:hAnsi="Arial"/>
          <w:sz w:val="16"/>
          <w:szCs w:val="16"/>
          <w:color w:val="auto"/>
        </w:rPr>
      </w:pPr>
    </w:p>
    <w:p>
      <w:pPr>
        <w:ind w:left="640" w:hanging="321"/>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preparing the compensation committee report to be included in our annual proxy statement when such report is required by SEC rules;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reviewing and making recommendations with respect to our equity compensation plans.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Upon completion of this offering, we expect our nominating and corporate governance committee will consist of Mr. Crockett and Ms. Evans, with Ms.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Evans serving as chair. The nominating and corporate governance committee is responsible for, among other things:</w:t>
      </w:r>
    </w:p>
    <w:p>
      <w:pPr>
        <w:spacing w:after="0" w:line="159" w:lineRule="exact"/>
        <w:rPr>
          <w:sz w:val="20"/>
          <w:szCs w:val="20"/>
          <w:color w:val="auto"/>
        </w:rPr>
      </w:pPr>
    </w:p>
    <w:p>
      <w:pPr>
        <w:ind w:left="640" w:hanging="321"/>
        <w:spacing w:after="0"/>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assisting our board of directors in identifying prospective director nominees and recommending nominees to the board of directors;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overseeing the evaluation of the board of directors and management;</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 and developing and recommending a set of corporate governance guidelines; and</w:t>
      </w:r>
    </w:p>
    <w:p>
      <w:pPr>
        <w:spacing w:after="0" w:line="182" w:lineRule="exact"/>
        <w:rPr>
          <w:rFonts w:ascii="Arial" w:cs="Arial" w:eastAsia="Arial" w:hAnsi="Arial"/>
          <w:sz w:val="16"/>
          <w:szCs w:val="16"/>
          <w:color w:val="auto"/>
        </w:rPr>
      </w:pPr>
    </w:p>
    <w:p>
      <w:pPr>
        <w:ind w:left="640" w:hanging="321"/>
        <w:spacing w:after="0"/>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recommending members for each committee of our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as a member of the board of directors or compensation committee (or other committee performing equivalent functions) of any entity that has one or more executive officers serving on our board of directors or 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will adopt a new Code of Business Conduct and Ethics that applies to all of our officers, directors, and employees, including our principal executive officer, principal financial officer, principal accounting officer, and controller, or persons performing similar functions, which will be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prospectus by reference or otherwise.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240"/>
          </w:cols>
          <w:pgMar w:left="320" w:top="337"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following table provides summary information concerning compensation awarded to, earned by, or paid to our principal executive officer and our two other most highly compensated executive officers as of December 31, 2019 (our “named executive officers” or “NEOs”) for services rendered for the fiscal years indicated below. These individuals are referred to as our named executive officers.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 Awards</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Non-Equity Incentive</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All Other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6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Salary ($)</w:t>
            </w:r>
            <w:r>
              <w:rPr>
                <w:rFonts w:ascii="Arial" w:cs="Arial" w:eastAsia="Arial" w:hAnsi="Arial"/>
                <w:sz w:val="8"/>
                <w:szCs w:val="8"/>
                <w:b w:val="1"/>
                <w:bCs w:val="1"/>
                <w:color w:val="auto"/>
              </w:rPr>
              <w:t>(1)</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8"/>
                <w:szCs w:val="8"/>
                <w:b w:val="1"/>
                <w:bCs w:val="1"/>
                <w:color w:val="auto"/>
              </w:rPr>
              <w:t>(2)</w:t>
            </w:r>
          </w:p>
        </w:tc>
        <w:tc>
          <w:tcPr>
            <w:tcW w:w="124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9"/>
              </w:rPr>
              <w:t>Plan Compensation ($)</w:t>
            </w:r>
          </w:p>
        </w:tc>
        <w:tc>
          <w:tcPr>
            <w:tcW w:w="1560" w:type="dxa"/>
            <w:vAlign w:val="bottom"/>
            <w:gridSpan w:val="2"/>
            <w:vMerge w:val="continue"/>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7"/>
        </w:trPr>
        <w:tc>
          <w:tcPr>
            <w:tcW w:w="26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 xml:space="preserve"> (3)</w:t>
            </w: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9"/>
                <w:szCs w:val="9"/>
                <w:b w:val="1"/>
                <w:bCs w:val="1"/>
                <w:color w:val="auto"/>
                <w:w w:val="90"/>
              </w:rPr>
              <w:t>(4)</w:t>
            </w:r>
          </w:p>
        </w:tc>
        <w:tc>
          <w:tcPr>
            <w:tcW w:w="100" w:type="dxa"/>
            <w:vAlign w:val="bottom"/>
          </w:tcPr>
          <w:p>
            <w:pPr>
              <w:spacing w:after="0"/>
              <w:rPr>
                <w:sz w:val="13"/>
                <w:szCs w:val="13"/>
                <w:color w:val="auto"/>
              </w:rPr>
            </w:pPr>
          </w:p>
        </w:tc>
        <w:tc>
          <w:tcPr>
            <w:tcW w:w="156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0"/>
              </w:rPr>
              <w:t>Compensation ($)</w:t>
            </w:r>
            <w:r>
              <w:rPr>
                <w:rFonts w:ascii="Arial" w:cs="Arial" w:eastAsia="Arial" w:hAnsi="Arial"/>
                <w:sz w:val="8"/>
                <w:szCs w:val="8"/>
                <w:b w:val="1"/>
                <w:bCs w:val="1"/>
                <w:color w:val="auto"/>
                <w:w w:val="90"/>
              </w:rPr>
              <w:t>(5)</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600" w:type="dxa"/>
            <w:vAlign w:val="bottom"/>
            <w:tcBorders>
              <w:top w:val="single" w:sz="8" w:color="auto"/>
            </w:tcBorders>
            <w:shd w:val="clear" w:color="auto" w:fill="CCEEFF"/>
          </w:tcPr>
          <w:p>
            <w:pPr>
              <w:ind w:left="140"/>
              <w:spacing w:after="0" w:line="145" w:lineRule="exact"/>
              <w:rPr>
                <w:sz w:val="20"/>
                <w:szCs w:val="20"/>
                <w:color w:val="auto"/>
              </w:rPr>
            </w:pPr>
            <w:r>
              <w:rPr>
                <w:rFonts w:ascii="Arial" w:cs="Arial" w:eastAsia="Arial" w:hAnsi="Arial"/>
                <w:sz w:val="14"/>
                <w:szCs w:val="14"/>
                <w:color w:val="auto"/>
              </w:rPr>
              <w:t>Henry Schuck</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0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371,539</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350,000</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3,780,583</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65,880</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4,568,002</w:t>
            </w:r>
          </w:p>
        </w:tc>
        <w:tc>
          <w:tcPr>
            <w:tcW w:w="0" w:type="dxa"/>
            <w:vAlign w:val="bottom"/>
          </w:tcPr>
          <w:p>
            <w:pPr>
              <w:spacing w:after="0"/>
              <w:rPr>
                <w:sz w:val="1"/>
                <w:szCs w:val="1"/>
                <w:color w:val="auto"/>
              </w:rPr>
            </w:pPr>
          </w:p>
        </w:tc>
      </w:tr>
      <w:tr>
        <w:trPr>
          <w:trHeight w:val="272"/>
        </w:trPr>
        <w:tc>
          <w:tcPr>
            <w:tcW w:w="26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2018</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350,000</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175,000</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5,775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530,775</w:t>
            </w:r>
          </w:p>
        </w:tc>
        <w:tc>
          <w:tcPr>
            <w:tcW w:w="0" w:type="dxa"/>
            <w:vAlign w:val="bottom"/>
          </w:tcPr>
          <w:p>
            <w:pPr>
              <w:spacing w:after="0"/>
              <w:rPr>
                <w:sz w:val="1"/>
                <w:szCs w:val="1"/>
                <w:color w:val="auto"/>
              </w:rPr>
            </w:pPr>
          </w:p>
        </w:tc>
      </w:tr>
      <w:tr>
        <w:trPr>
          <w:trHeight w:val="152"/>
        </w:trPr>
        <w:tc>
          <w:tcPr>
            <w:tcW w:w="2600" w:type="dxa"/>
            <w:vAlign w:val="bottom"/>
          </w:tcPr>
          <w:p>
            <w:pPr>
              <w:ind w:left="140"/>
              <w:spacing w:after="0" w:line="152" w:lineRule="exact"/>
              <w:rPr>
                <w:sz w:val="20"/>
                <w:szCs w:val="20"/>
                <w:color w:val="auto"/>
              </w:rPr>
            </w:pPr>
            <w:r>
              <w:rPr>
                <w:rFonts w:ascii="Arial" w:cs="Arial" w:eastAsia="Arial" w:hAnsi="Arial"/>
                <w:sz w:val="14"/>
                <w:szCs w:val="14"/>
                <w:color w:val="auto"/>
              </w:rPr>
              <w:t>Cameron Hyzer</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00" w:type="dxa"/>
            <w:vAlign w:val="bottom"/>
          </w:tcPr>
          <w:p>
            <w:pPr>
              <w:ind w:left="26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6"/>
              </w:rPr>
              <w:t>402,885</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8"/>
              </w:rPr>
              <w:t>43,750</w:t>
            </w:r>
          </w:p>
        </w:tc>
        <w:tc>
          <w:tcPr>
            <w:tcW w:w="1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60" w:type="dxa"/>
            <w:vAlign w:val="bottom"/>
          </w:tcPr>
          <w:p>
            <w:pPr>
              <w:jc w:val="center"/>
              <w:spacing w:after="0"/>
              <w:rPr>
                <w:sz w:val="20"/>
                <w:szCs w:val="20"/>
                <w:color w:val="auto"/>
              </w:rPr>
            </w:pPr>
            <w:r>
              <w:rPr>
                <w:rFonts w:ascii="Arial" w:cs="Arial" w:eastAsia="Arial" w:hAnsi="Arial"/>
                <w:sz w:val="14"/>
                <w:szCs w:val="14"/>
                <w:color w:val="auto"/>
                <w:w w:val="90"/>
              </w:rPr>
              <w:t>600,000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12,600</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1,059,235</w:t>
            </w:r>
          </w:p>
        </w:tc>
        <w:tc>
          <w:tcPr>
            <w:tcW w:w="0" w:type="dxa"/>
            <w:vAlign w:val="bottom"/>
          </w:tcPr>
          <w:p>
            <w:pPr>
              <w:spacing w:after="0"/>
              <w:rPr>
                <w:sz w:val="1"/>
                <w:szCs w:val="1"/>
                <w:color w:val="auto"/>
              </w:rPr>
            </w:pPr>
          </w:p>
        </w:tc>
      </w:tr>
      <w:tr>
        <w:trPr>
          <w:trHeight w:val="267"/>
        </w:trPr>
        <w:tc>
          <w:tcPr>
            <w:tcW w:w="2600" w:type="dxa"/>
            <w:vAlign w:val="bottom"/>
          </w:tcPr>
          <w:p>
            <w:pPr>
              <w:spacing w:after="0"/>
              <w:rPr>
                <w:sz w:val="23"/>
                <w:szCs w:val="23"/>
                <w:color w:val="auto"/>
              </w:rPr>
            </w:pP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50,000</w:t>
            </w:r>
          </w:p>
        </w:tc>
        <w:tc>
          <w:tcPr>
            <w:tcW w:w="12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86"/>
              </w:rPr>
              <w:t>3,436,894</w:t>
            </w:r>
          </w:p>
        </w:tc>
        <w:tc>
          <w:tcPr>
            <w:tcW w:w="100" w:type="dxa"/>
            <w:vAlign w:val="bottom"/>
          </w:tcPr>
          <w:p>
            <w:pPr>
              <w:spacing w:after="0"/>
              <w:rPr>
                <w:sz w:val="23"/>
                <w:szCs w:val="2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43,000</w:t>
            </w:r>
          </w:p>
        </w:tc>
        <w:tc>
          <w:tcPr>
            <w:tcW w:w="1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3,529,894</w:t>
            </w:r>
          </w:p>
        </w:tc>
        <w:tc>
          <w:tcPr>
            <w:tcW w:w="0" w:type="dxa"/>
            <w:vAlign w:val="bottom"/>
          </w:tcPr>
          <w:p>
            <w:pPr>
              <w:spacing w:after="0"/>
              <w:rPr>
                <w:sz w:val="1"/>
                <w:szCs w:val="1"/>
                <w:color w:val="auto"/>
              </w:rPr>
            </w:pPr>
          </w:p>
        </w:tc>
      </w:tr>
      <w:tr>
        <w:trPr>
          <w:trHeight w:val="157"/>
        </w:trPr>
        <w:tc>
          <w:tcPr>
            <w:tcW w:w="26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Chris Hays</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00" w:type="dxa"/>
            <w:vAlign w:val="bottom"/>
            <w:shd w:val="clear" w:color="auto" w:fill="CCEEFF"/>
          </w:tcPr>
          <w:p>
            <w:pPr>
              <w:ind w:left="260"/>
              <w:spacing w:after="0"/>
              <w:rPr>
                <w:sz w:val="20"/>
                <w:szCs w:val="20"/>
                <w:color w:val="auto"/>
              </w:rPr>
            </w:pPr>
            <w:r>
              <w:rPr>
                <w:rFonts w:ascii="Arial" w:cs="Arial" w:eastAsia="Arial" w:hAnsi="Arial"/>
                <w:sz w:val="14"/>
                <w:szCs w:val="14"/>
                <w:i w:val="1"/>
                <w:iCs w:val="1"/>
                <w:color w:val="auto"/>
              </w:rPr>
              <w:t>Chief Revenue Officer</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362,901</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112,500</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3,958,003</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1,000,000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1,973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5,435,377</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680" w:type="dxa"/>
            <w:vAlign w:val="bottom"/>
            <w:gridSpan w:val="2"/>
          </w:tcPr>
          <w:p>
            <w:pPr>
              <w:ind w:left="26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86"/>
              </w:rPr>
              <w:t>197,705</w:t>
            </w:r>
          </w:p>
        </w:tc>
        <w:tc>
          <w:tcPr>
            <w:tcW w:w="12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spacing w:after="0"/>
              <w:rPr>
                <w:sz w:val="20"/>
                <w:szCs w:val="20"/>
                <w:color w:val="auto"/>
              </w:rPr>
            </w:pPr>
            <w:r>
              <w:rPr>
                <w:rFonts w:ascii="Arial" w:cs="Arial" w:eastAsia="Arial" w:hAnsi="Arial"/>
                <w:sz w:val="14"/>
                <w:szCs w:val="14"/>
                <w:color w:val="auto"/>
                <w:w w:val="86"/>
              </w:rPr>
              <w:t>1,307,937</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8"/>
              </w:rPr>
              <w:t>60,000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2,603</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1,568,245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136130" cy="382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382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jc w:val="both"/>
        <w:ind w:left="320" w:hanging="315"/>
        <w:spacing w:after="0" w:line="234" w:lineRule="auto"/>
        <w:tabs>
          <w:tab w:leader="none" w:pos="3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amounts reported represent the named executive officer’s base salary earned during the fiscal year covered. In the case of Mr. Schuck, the amount reported for 2019 includes $21,539 paid in lieu of accrued but unused vacation. In the case of Mr. Hays, the amount reported for 2019 represents an increase in base salary from $305,000 to $360,000, effective May 2019, and the amounts reported for 2018 and 2019 include $11,595 and $27,693 paid in lieu of accrued but unused vacation, respectively. Mr. Hyzer commenced employment as our Chief Financial Officer on November 12, 2018, and the amount reported in this column for Mr. Hyzer for 2018 reflects the portion of his annual base salary earned in 2018 from such date. For Mr. Hyzer, the amount reported for 2019 includes $2,885 paid in lieu of accrued but unused vacation.</w:t>
      </w:r>
    </w:p>
    <w:p>
      <w:pPr>
        <w:spacing w:after="0" w:line="1" w:lineRule="exact"/>
        <w:rPr>
          <w:rFonts w:ascii="Arial" w:cs="Arial" w:eastAsia="Arial" w:hAnsi="Arial"/>
          <w:sz w:val="14"/>
          <w:szCs w:val="14"/>
          <w:color w:val="auto"/>
        </w:rPr>
      </w:pPr>
    </w:p>
    <w:p>
      <w:pPr>
        <w:jc w:val="both"/>
        <w:ind w:left="320" w:hanging="315"/>
        <w:spacing w:after="0" w:line="273" w:lineRule="auto"/>
        <w:tabs>
          <w:tab w:leader="none" w:pos="3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amount reported for 2019 for Mr. Hyzer represents the guaranteed bonus to which he was entitled under his employment agreement. For a description of the terms of Mr. Hyzer’s employment agreement, see “—Narrative Disclosure to Summary Compensation Table—Employment Agreements.” The amount reported for Mr. Hays represents a special discretionary bonus paid to him in 2019. See “—Narrative Disclosure to Summary Compensation Table—Special Bonus.” The amounts reported for Mr. Schuck represent his annual discretionary bonus paid to him in 2018 and</w:t>
      </w:r>
    </w:p>
    <w:p>
      <w:pPr>
        <w:ind w:left="320"/>
        <w:spacing w:after="0" w:line="234" w:lineRule="auto"/>
        <w:rPr>
          <w:rFonts w:ascii="Arial" w:cs="Arial" w:eastAsia="Arial" w:hAnsi="Arial"/>
          <w:sz w:val="12"/>
          <w:szCs w:val="12"/>
          <w:color w:val="auto"/>
        </w:rPr>
      </w:pPr>
      <w:r>
        <w:rPr>
          <w:rFonts w:ascii="Arial" w:cs="Arial" w:eastAsia="Arial" w:hAnsi="Arial"/>
          <w:sz w:val="14"/>
          <w:szCs w:val="14"/>
          <w:color w:val="auto"/>
        </w:rPr>
        <w:t>2019. See “—Narrative Disclosure to Summary Compensation Table—Annual Bonus/Non-Equity Incentive Plan Compensation—Annual Bonus—Mr. Schuck.”</w:t>
      </w:r>
    </w:p>
    <w:p>
      <w:pPr>
        <w:jc w:val="both"/>
        <w:ind w:left="320" w:hanging="315"/>
        <w:spacing w:after="0" w:line="234" w:lineRule="auto"/>
        <w:tabs>
          <w:tab w:leader="none" w:pos="3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amounts reported for 2019 represent the aggregate grant date fair value of the Class P Units awarded to Messrs. Schuck and Hays, the aggregate grant date fair value of the common units of HSKB Funds, LLC awarded to Mr. Hays (the “HSKB Units”) and the aggregate grant date fair value of the HSKB Phantom Units, each representing the economic value of one common unit of ZoomInfo OpCo, awarded to Mr. Hays (the “HSKB Phantom Units”), each calculated in accordance with FASB ASC Topic 718, Compensation—Stock Compensation (“ASC Topic 718”). The assumptions used in calculating the grant date fair value of these Class P Units, HSKB Units and HSKB Phantom Units reported in this column are set forth in Note 15 - Equity-Based Compensation to our audited consolidated financial statements included elsewhere in this prospectus.</w:t>
      </w:r>
    </w:p>
    <w:p>
      <w:pPr>
        <w:spacing w:after="0" w:line="1" w:lineRule="exact"/>
        <w:rPr>
          <w:rFonts w:ascii="Arial" w:cs="Arial" w:eastAsia="Arial" w:hAnsi="Arial"/>
          <w:sz w:val="14"/>
          <w:szCs w:val="14"/>
          <w:color w:val="auto"/>
        </w:rPr>
      </w:pPr>
    </w:p>
    <w:p>
      <w:pPr>
        <w:jc w:val="both"/>
        <w:ind w:left="320"/>
        <w:spacing w:after="0" w:line="252" w:lineRule="auto"/>
        <w:rPr>
          <w:rFonts w:ascii="Arial" w:cs="Arial" w:eastAsia="Arial" w:hAnsi="Arial"/>
          <w:sz w:val="14"/>
          <w:szCs w:val="14"/>
          <w:color w:val="auto"/>
        </w:rPr>
      </w:pPr>
      <w:r>
        <w:rPr>
          <w:rFonts w:ascii="Arial" w:cs="Arial" w:eastAsia="Arial" w:hAnsi="Arial"/>
          <w:sz w:val="13"/>
          <w:szCs w:val="13"/>
          <w:color w:val="auto"/>
        </w:rPr>
        <w:t>The grant date fair values of the HSKB Units and the HSKB Phantom Units were computed based upon the probable outcomes of the performance conditions as of the grant dates in accordance with ASC Topic 718 as non-employee awards. Achievement of the performance conditions for the HSKB Units and HSKB Phantom Units granted to Mr. Hays in 2019 was not deemed probable on the grant date and, accordingly, no value is included in the table for these awards pursuant to the SEC’s disclosure rules. Assuming achievement of the performance conditions, the grant date fair values of the HSKB Units and HSKB Phantom Units that were granted in to Mr. Hays in 2019 were $835,144 and $323,100, respectively.</w:t>
      </w:r>
    </w:p>
    <w:p>
      <w:pPr>
        <w:jc w:val="both"/>
        <w:ind w:left="320"/>
        <w:spacing w:after="0" w:line="252" w:lineRule="auto"/>
        <w:rPr>
          <w:rFonts w:ascii="Arial" w:cs="Arial" w:eastAsia="Arial" w:hAnsi="Arial"/>
          <w:sz w:val="14"/>
          <w:szCs w:val="14"/>
          <w:color w:val="auto"/>
        </w:rPr>
      </w:pPr>
      <w:r>
        <w:rPr>
          <w:rFonts w:ascii="Arial" w:cs="Arial" w:eastAsia="Arial" w:hAnsi="Arial"/>
          <w:sz w:val="13"/>
          <w:szCs w:val="13"/>
          <w:color w:val="auto"/>
        </w:rPr>
        <w:t>The amounts reported for 2018 represent the aggregate grant date fair value of the Class P Units awarded to Messrs. Hyzer and Hays calculated in accordance with ASC Topic 718 and the aggregate estimated fair value of the HSKB Units awarded to Mr. Hays calculated in accordance with FASB ASC Topic 505-50, Equity-Based Payments to Non-Employees (“ASC Topic 505”). In 2019, the HSKB Units and the HSKB Phantom Units are accounted for under ASC Topic 718 as non-employee awards. The assumptions used in calculating the grant date fair value of these Class P Units and the estimated fair value of these HSKB Units reported in this column are set forth in Note 15 - Equity-Based Compensation to our audited consolidated financial statements included elsewhere in this prospectus. The estimated fair value of the HSKB Units was computed based upon the probable outcome of the performance conditions as of the grant date. Achievement of the performance conditions for the HSKB Units granted to Mr. Hays in 2018 was not deemed probable on the grant date and, accordingly, no value is included in the table for these awards pursuant to the SEC’s disclosure rules. Assuming achievement of the performance conditions, the estimated fair value of the HSKB Units that were granted to Mr. Hays in 2018 was $713,044. In addition, the amount reported for 2018 for Mr. Hays includes the incremental fair value of $746,812 associated with the special cash distribution with respect to his outstanding HSKB Units. As described in “Narrative Disclosure to Summary Compensation Table—Equity Awards—Special Distribution on HSKB Units,” this distribution is accounted for as a modification to the HSKB Units with incremental fair value equal to the amount of the distribution.</w:t>
      </w:r>
    </w:p>
    <w:p>
      <w:pPr>
        <w:spacing w:after="0" w:line="2" w:lineRule="exact"/>
        <w:rPr>
          <w:rFonts w:ascii="Arial" w:cs="Arial" w:eastAsia="Arial" w:hAnsi="Arial"/>
          <w:sz w:val="14"/>
          <w:szCs w:val="14"/>
          <w:color w:val="auto"/>
        </w:rPr>
      </w:pPr>
    </w:p>
    <w:p>
      <w:pPr>
        <w:ind w:left="320" w:hanging="315"/>
        <w:spacing w:after="0" w:line="234" w:lineRule="auto"/>
        <w:tabs>
          <w:tab w:leader="none" w:pos="3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amounts reported represent the dollar value of the annual cash incentive award earned by Messrs. Hyzer and Hays for 2018 and 2019. See “—Narrative Disclosure to Summary Compensation Table—Annual Bonus/Non-Equity Incentive Plan Compensation.”</w:t>
      </w:r>
    </w:p>
    <w:p>
      <w:pPr>
        <w:ind w:left="320" w:hanging="315"/>
        <w:spacing w:after="0" w:line="242" w:lineRule="auto"/>
        <w:tabs>
          <w:tab w:leader="none" w:pos="32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amounts reported for 2019 represent our 401(k) Plan (as defined below) matching contributions on behalf of our NEOs in the following amounts: Mr. Schuck, $5,880; Mr. Hyzer, $2,100; and Mr. Hays, $1,973. The amount reported for Mr. Schuck for 2019 also includes a temporary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240"/>
          </w:cols>
          <w:pgMar w:left="320" w:top="331" w:right="339" w:bottom="1440" w:gutter="0" w:footer="0" w:header="0"/>
        </w:sectPr>
      </w:pPr>
    </w:p>
    <w:bookmarkStart w:id="184" w:name="page185"/>
    <w:bookmarkEnd w:id="184"/>
    <w:p>
      <w:pPr>
        <w:jc w:val="both"/>
        <w:ind w:left="320"/>
        <w:spacing w:after="0" w:line="325" w:lineRule="auto"/>
        <w:rPr>
          <w:sz w:val="20"/>
          <w:szCs w:val="20"/>
          <w:color w:val="auto"/>
        </w:rPr>
      </w:pPr>
      <w:r>
        <w:rPr>
          <w:rFonts w:ascii="Arial" w:cs="Arial" w:eastAsia="Arial" w:hAnsi="Arial"/>
          <w:sz w:val="14"/>
          <w:szCs w:val="14"/>
          <w:color w:val="auto"/>
        </w:rPr>
        <w:t>housing allowance of $60,000. The amounts reported for Mr. Hyzer for 2018 and 2019 also include a temporary housing and commuting allowance in the amounts of $3,000 and $10,500, respectively. The amount reported for Mr. Hyzer for 2018 also includes reimbursement of $40,000 for his relocation expenses. The amounts reported for 2018 represent our 401(k) Plan matching contributions on behalf of Mr. Schuck and Mr. Hays. For a description of our 401(k) Plan, see “—Other Compensation—Retirement Plan.”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Disclosure to Summary Compensation Table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entered into an employment agreement with each of our named executive officers, in each case, that governs the terms of employment of each such named executive officer.</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Schuck’s Employment Agreement</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In connection with this offering, we have entered into an employment agreement with Mr. Schuck, pursuant to which he will continue to serve as the Chief Executive Officer of the Company and Chairman of our board of directors. Mr. Schuck’s employment agreement, effective as of the date of this offering, provides that he is entitled to a base salary of $512,000, which may not be decreased without his consent. Mr. Schuck is eligible for an annual cash incentive bonus, and his target annual bonus for each fiscal year is $425,000, with the actual annual bonus payable being based upon the level of achievement of specified corporate, financial, operational, and individual performance for such fiscal year, as approved by the compensation committee of our board of directors.</w:t>
      </w:r>
    </w:p>
    <w:p>
      <w:pPr>
        <w:spacing w:after="0" w:line="98"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Mr. Schuck is also entitled to participate in all employment benefit plans, practices, and programs available for the benefit of senior executives of the Company generally. Additionally, Mr. Schuck’s employment agreement provides for reimbursement for reasonable out-of-pocket expenses incurred by him in the furtherance of the Company’s business, as well as for reasonable and documented first-class flight and ground transportation expenses for all business-related travel.</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Mr. Schuck’s employment may be terminated at any time and for any reason by either the Company or Mr. Schuck, provided that either party is required to give 30 days’ advance written notice of any termination of employment (provided that the Company is entitled to pay the executive base salary payments in lieu of such notice period).</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Mr. Schuck is subject to the following restrictive covenants: (i) confidentiality during employment and for three years following termination, (ii) non-solicitation of customers and non-solicitation of employees for 24 months following termination, (iii) non-competition during employment and until the later of 12 months following the termination date or 24 months following the effective date of our initial public offering, and (iv) mutual non-disparagement for the longest period legally enforceable.</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See “—Termination and Change in Control Provisions” for a description of the severance benefits to which Mr. Schuck is entitled in the event of a qualifying termination of his employment.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Hyzer’s Employment Agreement</w:t>
      </w:r>
    </w:p>
    <w:p>
      <w:pPr>
        <w:spacing w:after="0" w:line="171"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Pursuant to Mr. Hyzer’s employment agreement, effective as of November 12, 2018, he is entitled to a base salary of $400,000, with a scheduled increase to $500,000 as of January 1, 2020. His employment agreement provides that he will be eligible to receive an annual bonus based on metrics determined by the Company, with the amount and terms of any such bonus subject to the discretion of the Company, except that he is entitled to guaranteed bonuses of $43,750 payable on January 1, 2019 and $100,000 payable on January 1, 2020, with an additional formulaic bonus opportunity for 2019 based on the Company’s EBITDA performance for 2019 as compared to its EBITDA performance for 2018. Specifically, if the ratio between the Company’s 2019 EBITDA and the Company’s 2018 EBITDA exceeds 100% by 1% to 15%, 16% or more, or 25% or more, then he is entitled to a bonus of $7,000, $10,000, or $16,000, respectively; in addition, he is entitled to a one-time bonus of an additional $65,000 if the ratio equals or exceeds 118%. Mr. Hyzer’s bonus opportunity for subsequent years will be determined based on performance metrics to be determined by the Company. Mr. Hyzer is also entitled to participate in all employment benefit plans, practices and programs available for the benefit of Company employees generally.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240"/>
          </w:cols>
          <w:pgMar w:left="320" w:top="357" w:right="339" w:bottom="1440" w:gutter="0" w:footer="0" w:header="0"/>
        </w:sectPr>
      </w:pPr>
    </w:p>
    <w:bookmarkStart w:id="185" w:name="page186"/>
    <w:bookmarkEnd w:id="185"/>
    <w:p>
      <w:pPr>
        <w:jc w:val="both"/>
        <w:ind w:firstLine="314"/>
        <w:spacing w:after="0" w:line="265" w:lineRule="auto"/>
        <w:rPr>
          <w:sz w:val="20"/>
          <w:szCs w:val="20"/>
          <w:color w:val="auto"/>
        </w:rPr>
      </w:pPr>
      <w:r>
        <w:rPr>
          <w:rFonts w:ascii="Arial" w:cs="Arial" w:eastAsia="Arial" w:hAnsi="Arial"/>
          <w:sz w:val="17"/>
          <w:szCs w:val="17"/>
          <w:color w:val="auto"/>
        </w:rPr>
        <w:t>Additionally, Mr. Hyzer’s employment agreement provided for a temporary housing and commuting allowance for up to nine months from the effective date of November 12, 2018, including a monthly stipend of $1,500 for housing costs in the Vancouver, Washington area and reimbursement for reasonable out-of-pocket expenses for travel between Vancouver, Washington and Mr. Hyzer’s home in Massachusetts. The agreement also provided for reimbursement to Mr. Hyzer of up to $40,000 in reasonable, out-of-pocket expenses incurred in relocating to Vancouver, Washington, including the cost of airfare for Mr. Hyzer and any member of his immediate family.</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Mr. Hyzer’s employment term began on November 12, 2018 and continues until the two year anniversary thereof, subject to automatic annual successive renewal terms thereafter (unless earlier terminated by either party to the employment agreement on 30 days’ advance written notice).</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Mr. Hyzer is subject to the following restrictive covenants: (i) confidentiality during employment and for three years following termination, and (ii) non-solicitation of customers, non-solicitation of employees, and non-competition during employment and for one year following termination. See “—Termination and Change in Control Provisions” for a description of the severance benefits to which Mr. Hyzer is entitled in the event of a qualifying termination of his employment.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Hays’ Employment Agreement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Mr. Hays’s employment agreement, dated August 26, 2018, as amended on May 28, 2019, he is entitled to a base salary of $360,000.</w:t>
      </w:r>
    </w:p>
    <w:p>
      <w:pPr>
        <w:spacing w:after="0" w:line="18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Mr. Hays is an at-will employee with no fixed contractual term of employment; either party to his employment agreement may terminate his employment at any time, with or without cause or prior notice.</w:t>
      </w:r>
    </w:p>
    <w:p>
      <w:pPr>
        <w:spacing w:after="0" w:line="106"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Mr. Hays is subject to the following restrictive covenants: (i) confidentiality during employment and at all times following termination and (ii) non-solicitation of customers, non-solicitation of employees, and non-competition during employment and for one year following termination of his employment.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Base Salary</w:t>
      </w:r>
    </w:p>
    <w:p>
      <w:pPr>
        <w:spacing w:after="0" w:line="171" w:lineRule="exact"/>
        <w:rPr>
          <w:sz w:val="20"/>
          <w:szCs w:val="20"/>
          <w:color w:val="auto"/>
        </w:rPr>
      </w:pPr>
    </w:p>
    <w:p>
      <w:pPr>
        <w:jc w:val="both"/>
        <w:ind w:firstLine="314"/>
        <w:spacing w:after="0" w:line="314" w:lineRule="auto"/>
        <w:rPr>
          <w:sz w:val="20"/>
          <w:szCs w:val="20"/>
          <w:color w:val="auto"/>
        </w:rPr>
      </w:pPr>
      <w:r>
        <w:rPr>
          <w:rFonts w:ascii="Arial" w:cs="Arial" w:eastAsia="Arial" w:hAnsi="Arial"/>
          <w:sz w:val="15"/>
          <w:szCs w:val="15"/>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 Bonus/Non-Equity Incentive Plan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w:t>
      </w:r>
      <w:r>
        <w:rPr>
          <w:rFonts w:ascii="Arial" w:cs="Arial" w:eastAsia="Arial" w:hAnsi="Arial"/>
          <w:sz w:val="17"/>
          <w:szCs w:val="17"/>
          <w:i w:val="1"/>
          <w:iCs w:val="1"/>
          <w:color w:val="auto"/>
        </w:rPr>
        <w:t>Mr. Schuck</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For 2018, Mr. Schuck was eligible to receive a discretionary cash bonus of $175,000. Based on our overall performance in 2018, our board of directors determined to pay Mr. Schuck such discretionary cash bonus. For 2019, Mr. Schuck was eligible to receive a discretionary cash bonus of $350,000. Based on the Company’s achievement of its revenue and profitability goals in 2019, our board of directors determined in its discretion to pay Mr. Schuck a cash bonus of $350,000 for 2019.</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Incentive Bonus</w:t>
      </w:r>
      <w:r>
        <w:rPr>
          <w:rFonts w:ascii="Arial" w:cs="Arial" w:eastAsia="Arial" w:hAnsi="Arial"/>
          <w:sz w:val="17"/>
          <w:szCs w:val="17"/>
          <w:color w:val="auto"/>
        </w:rPr>
        <w:t>—</w:t>
      </w:r>
      <w:r>
        <w:rPr>
          <w:rFonts w:ascii="Arial" w:cs="Arial" w:eastAsia="Arial" w:hAnsi="Arial"/>
          <w:sz w:val="17"/>
          <w:szCs w:val="17"/>
          <w:i w:val="1"/>
          <w:iCs w:val="1"/>
          <w:color w:val="auto"/>
        </w:rPr>
        <w:t>Messrs. Hyzer and Hays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make incentive cash bonus opportunities available to Messrs. Hyzer and Hays to motivate their achievement of performance goals and tie a portion of their cash compensation to performance.</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2018, Mr. Hays was eligible to receive a cash incentive bonus of $60,000 if the Company achieved an annual recurring revenue objective. Based on our performance, Mr. Hays was paid a cash incentive bonus of $60,000, which amount is set forth in the Summary Compensation Table in the “Non-Equity Incentive Plan Compensation” column.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240"/>
          </w:cols>
          <w:pgMar w:left="320" w:top="337" w:right="339" w:bottom="1440" w:gutter="0" w:footer="0" w:header="0"/>
        </w:sectPr>
      </w:pPr>
    </w:p>
    <w:bookmarkStart w:id="186" w:name="page187"/>
    <w:bookmarkEnd w:id="186"/>
    <w:p>
      <w:pPr>
        <w:jc w:val="both"/>
        <w:ind w:firstLine="314"/>
        <w:spacing w:after="0" w:line="273" w:lineRule="auto"/>
        <w:rPr>
          <w:sz w:val="20"/>
          <w:szCs w:val="20"/>
          <w:color w:val="auto"/>
        </w:rPr>
      </w:pPr>
      <w:r>
        <w:rPr>
          <w:rFonts w:ascii="Arial" w:cs="Arial" w:eastAsia="Arial" w:hAnsi="Arial"/>
          <w:sz w:val="17"/>
          <w:szCs w:val="17"/>
          <w:color w:val="auto"/>
        </w:rPr>
        <w:t>In 2019, Mr. Hays was eligible to receive a cash incentive bonus of $60,000 if the Company achieved a threshold total contract value during 2019 and an incentive bonus of $1 million if the Company achieved a target total contract value during 2019. The Company achieved the target total contract value during 2019 and our board of directors, accordingly, approved an incentive bonus payout of $1 million to Mr. Hays for 2019.</w:t>
      </w:r>
    </w:p>
    <w:p>
      <w:pPr>
        <w:spacing w:after="0" w:line="11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As described above in “</w:t>
      </w:r>
      <w:r>
        <w:rPr>
          <w:rFonts w:ascii="Arial" w:cs="Arial" w:eastAsia="Arial" w:hAnsi="Arial"/>
          <w:sz w:val="13"/>
          <w:szCs w:val="13"/>
          <w:color w:val="auto"/>
        </w:rPr>
        <w:t>—</w:t>
      </w:r>
      <w:r>
        <w:rPr>
          <w:rFonts w:ascii="Arial" w:cs="Arial" w:eastAsia="Arial" w:hAnsi="Arial"/>
          <w:sz w:val="17"/>
          <w:szCs w:val="17"/>
          <w:color w:val="auto"/>
        </w:rPr>
        <w:t>Narrative Disclosure to Summary Compensation Table—Employment Agreements,” pursuant to the terms of Mr. Hyzer’s employment agreement, if the ratio between the Company’s 2019 EBITDA and the Company’s 2018 EBITDA exceeded 100% by 1% to 15%, 16% or more, or 25% or more, then Mr. Hyzer was entitled to a bonus of $7,000, $10,000, or $16,000, respectively; in addition, he was entitled to a one-time bonus of an additional $65,000 if the ratio between the Company’s 2019 EBITDA and the Company’s 2018 EBITDA equaled or exceeded 118%. Based on the achievement of EBITDA targets by the Company, Mr. Hyzer’s bonus would have exceeded $800,000 due to the company’s strong performance in 2019; however, based on discussions with our board of directors, Mr. Hyzer and management agreed to cap his 2019 bonus at $600,000. Accordingly, our board of directors approved an incentive bonus payout of $600,000 to Mr. Hyzer in 2020, related to 2019 performance.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Bonus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From time to time we pay special cash bonuses to reward superior performance. We paid Mr. Hays a special discretionary cash bonus of $112,500 to reward him for his performance in 2019.</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Awards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Unit Agreements (Class P Units of ZoomInfo OpCo)</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ZoomInfo OpCo entered into incentive unit agreements (“Unit Agreements”) with each of Messrs. Schuck, Hyzer, and Hays, pursuant to which each named executive officer was issued Class P Units of ZoomInfo OpCo. The Class P Units are “profits interests” having economic characteristics similar to a stock right and have the right to share in any increase in the equity value of ZoomInfo OpCo above a certain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the strike price). Mr. Schuck was issued 1,928,869.10 units on January 15, 2019. Mr. Hyzer was issued 1,753,517.36 units on December 26, 2018. Mr. Hays was issued 350,703.47 units on July 26, 2018, 876,758.69 units on June 27, 2019, and 70,000.00 units on October 17, 2019.</w:t>
      </w:r>
    </w:p>
    <w:p>
      <w:pPr>
        <w:spacing w:after="0" w:line="126"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The Unit Agreement for each named executive officer provides that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 In the event of an involuntary termination of the executive officer’s employment without cause or, in the case of Messrs. Schuck and Hyzer, the executive officer’s resignation for good reason, in each case, during the 12-month period following a “liquidity event” (which includes a change of control or a liquidation of ZoomInfo OpCo, but is not expected to include this offering), all of the units will be deemed vested in full. Any Class P Units which do not vest on or prior to the date of the holder’s termination of employment will be forfeited for no consideration. Any vested Class P Units are subject to ZoomInfo OpCo’s right to repurchase (at its option) such Class P Units following the holder’s termination of employment for any reason. In the case of a holder’s termination for cause, resignation without good reason or proven participation in any competitive activity, the applicable repurchase price would be the lesser of the original purchase price paid by the holder for such units (</w:t>
      </w:r>
      <w:r>
        <w:rPr>
          <w:rFonts w:ascii="Arial" w:cs="Arial" w:eastAsia="Arial" w:hAnsi="Arial"/>
          <w:sz w:val="16"/>
          <w:szCs w:val="16"/>
          <w:i w:val="1"/>
          <w:iCs w:val="1"/>
          <w:color w:val="auto"/>
        </w:rPr>
        <w:t>i.e.</w:t>
      </w:r>
      <w:r>
        <w:rPr>
          <w:rFonts w:ascii="Arial" w:cs="Arial" w:eastAsia="Arial" w:hAnsi="Arial"/>
          <w:sz w:val="16"/>
          <w:szCs w:val="16"/>
          <w:color w:val="auto"/>
        </w:rPr>
        <w:t>, zero in the case of Class P Units that were awarded without payment) and the fair market value of such Class P Units at the time of termination. In the case of any other termination of employment, the repurchase price would be equal to the fair market value of the Class P Units as determined within 60 days prior to the applicable repurchase date.</w:t>
      </w:r>
    </w:p>
    <w:p>
      <w:pPr>
        <w:spacing w:after="0" w:line="124"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Unit Agreement for each executive officer contains a non-competition covenant during employment and the 24-month period following termination of employment; upon breach of this covenant, all vested units will be forfeited and canceled.</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Holders of Class P Units will have the ability to directly or indirectly convert their Class P Units into shares of our Class A common stock pursuant to the terms of the amended and restated limited liability company agreement of ZoomInfo OpCo or ZoomInfo HoldCo, as applicable.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240"/>
          </w:cols>
          <w:pgMar w:left="320" w:top="337" w:right="339" w:bottom="1440" w:gutter="0" w:footer="0" w:header="0"/>
        </w:sectPr>
      </w:pPr>
    </w:p>
    <w:bookmarkStart w:id="187" w:name="page188"/>
    <w:bookmarkEnd w:id="187"/>
    <w:p>
      <w:pPr>
        <w:spacing w:after="0"/>
        <w:rPr>
          <w:sz w:val="20"/>
          <w:szCs w:val="20"/>
          <w:color w:val="auto"/>
        </w:rPr>
      </w:pPr>
      <w:r>
        <w:rPr>
          <w:rFonts w:ascii="Arial" w:cs="Arial" w:eastAsia="Arial" w:hAnsi="Arial"/>
          <w:sz w:val="17"/>
          <w:szCs w:val="17"/>
          <w:i w:val="1"/>
          <w:iCs w:val="1"/>
          <w:color w:val="auto"/>
        </w:rPr>
        <w:t>Subscription Agreements (Common Units of HSKB Funds, LLC)</w:t>
      </w:r>
    </w:p>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HSKB is a privately held limited liability company formed on February 9, 2016 for the purpose of issuing equity to certain persons who had performed and would continue to perform services for ZoomInfo OpCo, which was done through the contribution of profits interests in DO Sub-Holdings, LLC held by DO Holdings (WA), LLC to HSKB at the direction of the Founders. HSKB was capitalized through the issuance of common units (profits interests).</w:t>
      </w:r>
    </w:p>
    <w:p>
      <w:pPr>
        <w:spacing w:after="0" w:line="103"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HSKB entered into subscription agreements (the “Subscription Agreements”) with each of Messrs. Schuck and Hays, pursuant to which each executive officer was issued common units of HSKB. Mr. Schuck was issued 366,345 units, all of which are fully vested and have voting rights, on June 23, 2016. Mr. Hays was issued 4,000 units on June 23, 2016, 1,000 units on August 24, 2017, 2,000 units on September 11, 2017, 5,000 units on October 31, 2018, and 5,000 units on January 7, 2019. All of the units issued to Mr. Hays were unvested and have no voting rights. The numbers of HSKB Units acquired pursuant to the Subscription Agreements as described in this paragraph were subsequently adjusted to reflect the 60.02977736-for-one split of the HSKB Units, which occurred on December 18, 2019 and the four-for-one reverse split of the HSKB Units, which occurred on May 20, 2020. The split-adjusted numbers of HSKB Units held by Mr. Hays are reflected in the table “Outstanding Equity Awards at December 31, 2019” set forth below.</w:t>
      </w:r>
    </w:p>
    <w:p>
      <w:pPr>
        <w:spacing w:after="0" w:line="11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The Subscription Agreement for Mr. Hays provides that the units will vest only upon the acquisition (whether by purchase, merger, consolidation, combination or other similar transaction) by any third party or group of third parties acting in concert of beneficial ownership of more than 90% (on a fully diluted basis) of the membership interests in ZoomInfo OpCo, in exchange for cash consideration, or the sale, transfer or other disposition by ZoomInfo OpCo or its subsidiaries of all or substantially all of their assets on a consolidated basis to a third party or a group of third parties acting in concert, in exchange for cash consideration (any such event, a “Sale Event”). However, Mr. Schuck is authorized, under the terms of the LLC Agreement governing HSKB, to accelerate or otherwise vary the vesting terms applicable to Mr. Hays’s HSKB Units. Pursuant to the LLC Agreement governing HSKB, Mr. Hays is subject to a non-competition covenant during employment and the 24-month period following termination of employment. In the event of Mr. Hays’s termination of employment for any reason or his breach of the non-competition covenant, his units will be subject to full or partial forfeiture. In the event of Mr. Hays’s involuntary termination without cause or his resignation for good reason, he will be entitled to retain his HSKB Units.</w:t>
      </w:r>
    </w:p>
    <w:p>
      <w:pPr>
        <w:spacing w:after="0" w:line="118"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December 2019, the vesting and forfeiture terms of all grants of HSKB Units (including the grant made to Mr. Hays) were modified to add an additional vesting condition, wherein 50% of a grant of HSKB Units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after the consummation of an IPO. There was no incremental equity compensation expense under ASC Topic 718 associated with the modification of Mr. Hays’ HSKB Units on the date of modification. We will use the modification date fair value to record equity compensation expense related to Mr. Hays’ HSKB Units which and if they become probable of vesting in a future period.</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Holders of HSKB Units will have the ability to indirectly convert their HSKB Units into shares of our Class A common stock pursuant to the terms of the amended and restated limited liability company agreement of ZoomInfo OpCo or ZoomInfo HoldCo, as applicable.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Distribution on HSKB Units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March 2018, HSKB Funds, LLC approved a special cash distribution on the unvested HSKB Units. Accordingly, Mr. Hays was entitled to a cash distribution with respect to his HSKB Units in an amount equal to $80.99 per HSKB Unit. 40% of the special cash distribution was vested and paid immediately and the remaining amount vests and is paid in equal installments over three years. The special cash distribution amounts will accelerate and vest upon the vesting of the HSKB Units.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special distribution was accounted for as a modification. The modification to the unvested HSKB Units resulted in incremental compensation expense, or incremental fair value, equal to the amount of such special distribution. In accordance with the SEC’s disclosure rules, such incremental fair value for Mr. Hays is reflected in the “Stock Awards” column of the Summary Compensation Table above.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240"/>
          </w:cols>
          <w:pgMar w:left="320" w:top="337" w:right="339" w:bottom="1440" w:gutter="0" w:footer="0" w:header="0"/>
        </w:sectPr>
      </w:pPr>
    </w:p>
    <w:bookmarkStart w:id="188" w:name="page189"/>
    <w:bookmarkEnd w:id="188"/>
    <w:p>
      <w:pPr>
        <w:spacing w:after="0"/>
        <w:rPr>
          <w:sz w:val="20"/>
          <w:szCs w:val="20"/>
          <w:color w:val="auto"/>
        </w:rPr>
      </w:pPr>
      <w:r>
        <w:rPr>
          <w:rFonts w:ascii="Arial" w:cs="Arial" w:eastAsia="Arial" w:hAnsi="Arial"/>
          <w:sz w:val="17"/>
          <w:szCs w:val="17"/>
          <w:i w:val="1"/>
          <w:iCs w:val="1"/>
          <w:color w:val="auto"/>
        </w:rPr>
        <w:t>HSKB Phantom Units (Common Units of ZoomInfo OpCo)</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In December 2019, HSKB adopted its 2019 Phantom Unit Plan and granted 22,500 HSKB Phantom Units to Mr. Hays pursuant to the terms of such plan. Each of the HSKB Phantom Units represents the economic equivalent of one common unit of ZoomInfo OpCo. The HSKB Phantom Units will vest upon the first to occur of (i) a Sale Event and (ii) the date following an IPO upon which both (a) OpCo Units held directly or indirectly by HSKB may be exchanged for our common stock and (b) the “service vesting condition” applicable to the HSKB Phantom Units has been met. The “service vesting condition” for Mr. Hays’ HSKB Phantom Units will be deemed to have been met with respect to 50% of such HSKB Phantom Units on July 1, 2021, and with respect to the remaining 50% of such HSKB Phantom Units in equal monthly installments over the two year period following July 1, 2021, in each case, subject to Mr. Hays’ continued service relationship through such vesting dates. Vested HSKB Phantom Units may be settled either in cash or in shares of our common stock. HSKB may also accelerate the vesting of Mr. Hays’ HSKB Phantom Units. In the event the vesting date for the HSKB Phantom Units does not occur prior to December 23, 2029, any then-outstanding HSKB Phantom Units will be forfeited.</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Benefits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provide various employee benefit programs to our named executive officers, including medical, vision, and dental benefits. These benefit programs are generally available to all of our employees with certain variations based on jurisdictions and seniority. 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Limited Perquisites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Executive perquisites are not part of our general compensation philosophy; however, we provide limited perquisites and personal benefits that are not generally available to all employees when necessary to attract top talent. For example, pursuant to the terms of his employment agreement we provided Mr. Hyzer with a temporary housing and commuting allowance as described under “—Narrative Disclosure to Summary Compensation Table—Employment Agreements” above.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Plan</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Our named executive officers are eligible to participate in the defined contribution pension plan (the “401(k) Plan”) we maintain for all full-time U.S. employees with at least four months of service. The 401(k) Plan is intended to qualify as a tax-qualified plan under Section 401(k) of the Code. The 401(k) Plan provides that each participant may contribute up to 90% of such participant’s compensation pursuant to certain restrictions. Participants in 401(k) Plan receive a matching contribution from us equal to 35% of the first 6% of the participant’s eligible compensation deferred under the plan. We may also make discretionary profit-sharing contributions to eligible participants. We do not have a defined benefit plan or any non-qualified deferred compensation arrangements.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240"/>
          </w:cols>
          <w:pgMar w:left="320" w:top="336" w:right="339" w:bottom="1440" w:gutter="0" w:footer="0" w:header="0"/>
        </w:sectPr>
      </w:pPr>
    </w:p>
    <w:bookmarkStart w:id="189" w:name="page190"/>
    <w:bookmarkEnd w:id="189"/>
    <w:p>
      <w:pPr>
        <w:spacing w:after="0"/>
        <w:rPr>
          <w:sz w:val="20"/>
          <w:szCs w:val="20"/>
          <w:color w:val="auto"/>
        </w:rPr>
      </w:pPr>
      <w:r>
        <w:rPr>
          <w:rFonts w:ascii="Arial" w:cs="Arial" w:eastAsia="Arial" w:hAnsi="Arial"/>
          <w:sz w:val="17"/>
          <w:szCs w:val="17"/>
          <w:b w:val="1"/>
          <w:bCs w:val="1"/>
          <w:color w:val="auto"/>
        </w:rPr>
        <w:t>Outstanding Equity Awards at December 31, 2019</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2019.</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4"/>
          </w:tcPr>
          <w:p>
            <w:pPr>
              <w:ind w:left="1380"/>
              <w:spacing w:after="0"/>
              <w:rPr>
                <w:sz w:val="20"/>
                <w:szCs w:val="20"/>
                <w:color w:val="auto"/>
              </w:rPr>
            </w:pPr>
            <w:r>
              <w:rPr>
                <w:rFonts w:ascii="Arial" w:cs="Arial" w:eastAsia="Arial" w:hAnsi="Arial"/>
                <w:sz w:val="12"/>
                <w:szCs w:val="12"/>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r>
      <w:tr>
        <w:trPr>
          <w:trHeight w:val="13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3"/>
              </w:rPr>
              <w:t>Equity Incentive Plan Awards:</w:t>
            </w: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93"/>
              </w:rPr>
              <w:t>Equity Incentive Plan Awards:</w:t>
            </w:r>
          </w:p>
        </w:tc>
        <w:tc>
          <w:tcPr>
            <w:tcW w:w="120" w:type="dxa"/>
            <w:vAlign w:val="bottom"/>
          </w:tcPr>
          <w:p>
            <w:pPr>
              <w:spacing w:after="0"/>
              <w:rPr>
                <w:sz w:val="11"/>
                <w:szCs w:val="11"/>
                <w:color w:val="auto"/>
              </w:rPr>
            </w:pPr>
          </w:p>
        </w:tc>
        <w:tc>
          <w:tcPr>
            <w:tcW w:w="1660" w:type="dxa"/>
            <w:vAlign w:val="bottom"/>
          </w:tcPr>
          <w:p>
            <w:pPr>
              <w:jc w:val="center"/>
              <w:ind w:right="54"/>
              <w:spacing w:after="0" w:line="131" w:lineRule="exact"/>
              <w:rPr>
                <w:sz w:val="20"/>
                <w:szCs w:val="20"/>
                <w:color w:val="auto"/>
              </w:rPr>
            </w:pPr>
            <w:r>
              <w:rPr>
                <w:rFonts w:ascii="Arial" w:cs="Arial" w:eastAsia="Arial" w:hAnsi="Arial"/>
                <w:sz w:val="12"/>
                <w:szCs w:val="12"/>
                <w:b w:val="1"/>
                <w:bCs w:val="1"/>
                <w:color w:val="auto"/>
                <w:w w:val="94"/>
              </w:rPr>
              <w:t>Market or Payout Value</w:t>
            </w: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93"/>
              </w:rPr>
              <w:t>Number of</w:t>
            </w:r>
          </w:p>
        </w:tc>
        <w:tc>
          <w:tcPr>
            <w:tcW w:w="120" w:type="dxa"/>
            <w:vAlign w:val="bottom"/>
          </w:tcPr>
          <w:p>
            <w:pPr>
              <w:spacing w:after="0"/>
              <w:rPr>
                <w:sz w:val="11"/>
                <w:szCs w:val="11"/>
                <w:color w:val="auto"/>
              </w:rPr>
            </w:pPr>
          </w:p>
        </w:tc>
        <w:tc>
          <w:tcPr>
            <w:tcW w:w="1660" w:type="dxa"/>
            <w:vAlign w:val="bottom"/>
          </w:tcPr>
          <w:p>
            <w:pPr>
              <w:jc w:val="center"/>
              <w:ind w:right="34"/>
              <w:spacing w:after="0" w:line="131" w:lineRule="exact"/>
              <w:rPr>
                <w:sz w:val="20"/>
                <w:szCs w:val="20"/>
                <w:color w:val="auto"/>
              </w:rPr>
            </w:pPr>
            <w:r>
              <w:rPr>
                <w:rFonts w:ascii="Arial" w:cs="Arial" w:eastAsia="Arial" w:hAnsi="Arial"/>
                <w:sz w:val="12"/>
                <w:szCs w:val="12"/>
                <w:b w:val="1"/>
                <w:bCs w:val="1"/>
                <w:color w:val="auto"/>
                <w:w w:val="91"/>
              </w:rPr>
              <w:t>of Unearned Shares, Units or</w:t>
            </w: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91"/>
              </w:rPr>
              <w:t>Number of Shares or Units of</w:t>
            </w:r>
          </w:p>
        </w:tc>
        <w:tc>
          <w:tcPr>
            <w:tcW w:w="1920" w:type="dxa"/>
            <w:vAlign w:val="bottom"/>
            <w:gridSpan w:val="3"/>
          </w:tcPr>
          <w:p>
            <w:pPr>
              <w:jc w:val="center"/>
              <w:ind w:right="100"/>
              <w:spacing w:after="0" w:line="131" w:lineRule="exact"/>
              <w:rPr>
                <w:sz w:val="20"/>
                <w:szCs w:val="20"/>
                <w:color w:val="auto"/>
              </w:rPr>
            </w:pPr>
            <w:r>
              <w:rPr>
                <w:rFonts w:ascii="Arial" w:cs="Arial" w:eastAsia="Arial" w:hAnsi="Arial"/>
                <w:sz w:val="12"/>
                <w:szCs w:val="12"/>
                <w:b w:val="1"/>
                <w:bCs w:val="1"/>
                <w:color w:val="auto"/>
                <w:w w:val="94"/>
              </w:rPr>
              <w:t>Market Value of Shares or Units</w:t>
            </w:r>
          </w:p>
        </w:tc>
        <w:tc>
          <w:tcPr>
            <w:tcW w:w="188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92"/>
              </w:rPr>
              <w:t>Unearned Shares, Units or Other</w:t>
            </w:r>
          </w:p>
        </w:tc>
        <w:tc>
          <w:tcPr>
            <w:tcW w:w="120" w:type="dxa"/>
            <w:vAlign w:val="bottom"/>
          </w:tcPr>
          <w:p>
            <w:pPr>
              <w:spacing w:after="0"/>
              <w:rPr>
                <w:sz w:val="11"/>
                <w:szCs w:val="11"/>
                <w:color w:val="auto"/>
              </w:rPr>
            </w:pPr>
          </w:p>
        </w:tc>
        <w:tc>
          <w:tcPr>
            <w:tcW w:w="1660" w:type="dxa"/>
            <w:vAlign w:val="bottom"/>
          </w:tcPr>
          <w:p>
            <w:pPr>
              <w:jc w:val="center"/>
              <w:ind w:right="54"/>
              <w:spacing w:after="0" w:line="131" w:lineRule="exact"/>
              <w:rPr>
                <w:sz w:val="20"/>
                <w:szCs w:val="20"/>
                <w:color w:val="auto"/>
              </w:rPr>
            </w:pPr>
            <w:r>
              <w:rPr>
                <w:rFonts w:ascii="Arial" w:cs="Arial" w:eastAsia="Arial" w:hAnsi="Arial"/>
                <w:sz w:val="12"/>
                <w:szCs w:val="12"/>
                <w:b w:val="1"/>
                <w:bCs w:val="1"/>
                <w:color w:val="auto"/>
                <w:w w:val="95"/>
              </w:rPr>
              <w:t>Other Rights That Have Not</w:t>
            </w:r>
          </w:p>
        </w:tc>
      </w:tr>
      <w:tr>
        <w:trPr>
          <w:trHeight w:val="131"/>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92"/>
              </w:rPr>
              <w:t>Stock That Have Not Vested</w:t>
            </w:r>
          </w:p>
        </w:tc>
        <w:tc>
          <w:tcPr>
            <w:tcW w:w="100" w:type="dxa"/>
            <w:vAlign w:val="bottom"/>
          </w:tcPr>
          <w:p>
            <w:pPr>
              <w:spacing w:after="0"/>
              <w:rPr>
                <w:sz w:val="11"/>
                <w:szCs w:val="11"/>
                <w:color w:val="auto"/>
              </w:rPr>
            </w:pPr>
          </w:p>
        </w:tc>
        <w:tc>
          <w:tcPr>
            <w:tcW w:w="182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w w:val="91"/>
              </w:rPr>
              <w:t>of Stock That Have Not Vested</w:t>
            </w:r>
          </w:p>
        </w:tc>
        <w:tc>
          <w:tcPr>
            <w:tcW w:w="1880" w:type="dxa"/>
            <w:vAlign w:val="bottom"/>
            <w:gridSpan w:val="2"/>
          </w:tcPr>
          <w:p>
            <w:pPr>
              <w:jc w:val="center"/>
              <w:ind w:right="120"/>
              <w:spacing w:after="0" w:line="131" w:lineRule="exact"/>
              <w:rPr>
                <w:sz w:val="20"/>
                <w:szCs w:val="20"/>
                <w:color w:val="auto"/>
              </w:rPr>
            </w:pPr>
            <w:r>
              <w:rPr>
                <w:rFonts w:ascii="Arial" w:cs="Arial" w:eastAsia="Arial" w:hAnsi="Arial"/>
                <w:sz w:val="12"/>
                <w:szCs w:val="12"/>
                <w:b w:val="1"/>
                <w:bCs w:val="1"/>
                <w:color w:val="auto"/>
                <w:w w:val="92"/>
              </w:rPr>
              <w:t>Rights That Have Not Vested</w:t>
            </w:r>
          </w:p>
        </w:tc>
        <w:tc>
          <w:tcPr>
            <w:tcW w:w="120" w:type="dxa"/>
            <w:vAlign w:val="bottom"/>
          </w:tcPr>
          <w:p>
            <w:pPr>
              <w:spacing w:after="0"/>
              <w:rPr>
                <w:sz w:val="11"/>
                <w:szCs w:val="11"/>
                <w:color w:val="auto"/>
              </w:rPr>
            </w:pPr>
          </w:p>
        </w:tc>
        <w:tc>
          <w:tcPr>
            <w:tcW w:w="1660" w:type="dxa"/>
            <w:vAlign w:val="bottom"/>
          </w:tcPr>
          <w:p>
            <w:pPr>
              <w:jc w:val="center"/>
              <w:ind w:right="54"/>
              <w:spacing w:after="0" w:line="131" w:lineRule="exact"/>
              <w:rPr>
                <w:sz w:val="20"/>
                <w:szCs w:val="20"/>
                <w:color w:val="auto"/>
              </w:rPr>
            </w:pPr>
            <w:r>
              <w:rPr>
                <w:rFonts w:ascii="Arial" w:cs="Arial" w:eastAsia="Arial" w:hAnsi="Arial"/>
                <w:sz w:val="12"/>
                <w:szCs w:val="12"/>
                <w:b w:val="1"/>
                <w:bCs w:val="1"/>
                <w:color w:val="auto"/>
                <w:w w:val="86"/>
              </w:rPr>
              <w:t>Vested</w:t>
            </w:r>
          </w:p>
        </w:tc>
      </w:tr>
      <w:tr>
        <w:trPr>
          <w:trHeight w:val="168"/>
        </w:trPr>
        <w:tc>
          <w:tcPr>
            <w:tcW w:w="1700" w:type="dxa"/>
            <w:vAlign w:val="bottom"/>
            <w:tcBorders>
              <w:bottom w:val="single" w:sz="8" w:color="auto"/>
            </w:tcBorders>
          </w:tcPr>
          <w:p>
            <w:pPr>
              <w:ind w:left="700"/>
              <w:spacing w:after="0"/>
              <w:rPr>
                <w:sz w:val="20"/>
                <w:szCs w:val="20"/>
                <w:color w:val="auto"/>
              </w:rPr>
            </w:pPr>
            <w:r>
              <w:rPr>
                <w:rFonts w:ascii="Arial" w:cs="Arial" w:eastAsia="Arial" w:hAnsi="Arial"/>
                <w:sz w:val="12"/>
                <w:szCs w:val="12"/>
                <w:b w:val="1"/>
                <w:bCs w:val="1"/>
                <w:color w:val="auto"/>
              </w:rPr>
              <w:t>Name</w:t>
            </w:r>
          </w:p>
        </w:tc>
        <w:tc>
          <w:tcPr>
            <w:tcW w:w="12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Grant Date</w:t>
            </w:r>
          </w:p>
        </w:tc>
        <w:tc>
          <w:tcPr>
            <w:tcW w:w="12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w:t>
            </w:r>
            <w:r>
              <w:rPr>
                <w:rFonts w:ascii="Arial" w:cs="Arial" w:eastAsia="Arial" w:hAnsi="Arial"/>
                <w:sz w:val="8"/>
                <w:szCs w:val="8"/>
                <w:b w:val="1"/>
                <w:bCs w:val="1"/>
                <w:color w:val="auto"/>
                <w:w w:val="97"/>
              </w:rPr>
              <w:t>(1)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53"/>
              <w:spacing w:after="0"/>
              <w:rPr>
                <w:sz w:val="20"/>
                <w:szCs w:val="20"/>
                <w:color w:val="auto"/>
              </w:rPr>
            </w:pPr>
            <w:r>
              <w:rPr>
                <w:rFonts w:ascii="Arial" w:cs="Arial" w:eastAsia="Arial" w:hAnsi="Arial"/>
                <w:sz w:val="12"/>
                <w:szCs w:val="12"/>
                <w:b w:val="1"/>
                <w:bCs w:val="1"/>
                <w:color w:val="auto"/>
                <w:w w:val="97"/>
              </w:rPr>
              <w:t>($)</w:t>
            </w:r>
            <w:r>
              <w:rPr>
                <w:rFonts w:ascii="Arial" w:cs="Arial" w:eastAsia="Arial" w:hAnsi="Arial"/>
                <w:sz w:val="8"/>
                <w:szCs w:val="8"/>
                <w:b w:val="1"/>
                <w:bCs w:val="1"/>
                <w:color w:val="auto"/>
                <w:w w:val="97"/>
              </w:rPr>
              <w:t>(2)</w:t>
            </w:r>
          </w:p>
        </w:tc>
        <w:tc>
          <w:tcPr>
            <w:tcW w:w="1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w:t>
            </w:r>
            <w:r>
              <w:rPr>
                <w:rFonts w:ascii="Arial" w:cs="Arial" w:eastAsia="Arial" w:hAnsi="Arial"/>
                <w:sz w:val="8"/>
                <w:szCs w:val="8"/>
                <w:b w:val="1"/>
                <w:bCs w:val="1"/>
                <w:color w:val="auto"/>
                <w:w w:val="97"/>
              </w:rPr>
              <w:t>(3)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97"/>
              </w:rPr>
              <w:t>($)</w:t>
            </w:r>
            <w:r>
              <w:rPr>
                <w:rFonts w:ascii="Arial" w:cs="Arial" w:eastAsia="Arial" w:hAnsi="Arial"/>
                <w:sz w:val="8"/>
                <w:szCs w:val="8"/>
                <w:b w:val="1"/>
                <w:bCs w:val="1"/>
                <w:color w:val="auto"/>
                <w:w w:val="97"/>
              </w:rPr>
              <w:t>(4)</w:t>
            </w:r>
          </w:p>
        </w:tc>
      </w:tr>
      <w:tr>
        <w:trPr>
          <w:trHeight w:val="262"/>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Henry Schuck</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01/16/2019</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1,928,869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20,214,548</w:t>
            </w:r>
          </w:p>
        </w:tc>
        <w:tc>
          <w:tcPr>
            <w:tcW w:w="1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57"/>
        </w:trPr>
        <w:tc>
          <w:tcPr>
            <w:tcW w:w="1820" w:type="dxa"/>
            <w:vAlign w:val="bottom"/>
            <w:gridSpan w:val="2"/>
          </w:tcPr>
          <w:p>
            <w:pPr>
              <w:ind w:left="40"/>
              <w:spacing w:after="0"/>
              <w:rPr>
                <w:sz w:val="20"/>
                <w:szCs w:val="20"/>
                <w:color w:val="auto"/>
              </w:rPr>
            </w:pPr>
            <w:r>
              <w:rPr>
                <w:rFonts w:ascii="Arial" w:cs="Arial" w:eastAsia="Arial" w:hAnsi="Arial"/>
                <w:sz w:val="14"/>
                <w:szCs w:val="14"/>
                <w:color w:val="auto"/>
              </w:rPr>
              <w:t>Cameron Hyzer</w:t>
            </w: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12/26/2018</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1,753,517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jc w:val="right"/>
              <w:ind w:right="53"/>
              <w:spacing w:after="0"/>
              <w:rPr>
                <w:sz w:val="20"/>
                <w:szCs w:val="20"/>
                <w:color w:val="auto"/>
              </w:rPr>
            </w:pPr>
            <w:r>
              <w:rPr>
                <w:rFonts w:ascii="Arial" w:cs="Arial" w:eastAsia="Arial" w:hAnsi="Arial"/>
                <w:sz w:val="14"/>
                <w:szCs w:val="14"/>
                <w:color w:val="auto"/>
              </w:rPr>
              <w:t>18,376,862</w:t>
            </w:r>
          </w:p>
        </w:tc>
        <w:tc>
          <w:tcPr>
            <w:tcW w:w="100" w:type="dxa"/>
            <w:vAlign w:val="bottom"/>
          </w:tcPr>
          <w:p>
            <w:pPr>
              <w:spacing w:after="0"/>
              <w:rPr>
                <w:sz w:val="22"/>
                <w:szCs w:val="22"/>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7"/>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Chris Hays</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06/23/2016</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60,030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862,027</w:t>
            </w:r>
          </w:p>
        </w:tc>
      </w:tr>
      <w:tr>
        <w:trPr>
          <w:trHeight w:val="257"/>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08/24/2017</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jc w:val="right"/>
              <w:ind w:right="34"/>
              <w:spacing w:after="0"/>
              <w:rPr>
                <w:sz w:val="20"/>
                <w:szCs w:val="20"/>
                <w:color w:val="auto"/>
              </w:rPr>
            </w:pPr>
            <w:r>
              <w:rPr>
                <w:rFonts w:ascii="Arial" w:cs="Arial" w:eastAsia="Arial" w:hAnsi="Arial"/>
                <w:sz w:val="14"/>
                <w:szCs w:val="14"/>
                <w:color w:val="auto"/>
              </w:rPr>
              <w:t>15,008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4"/>
                <w:szCs w:val="14"/>
                <w:color w:val="auto"/>
              </w:rPr>
              <w:t>215,508</w:t>
            </w:r>
          </w:p>
        </w:tc>
      </w:tr>
      <w:tr>
        <w:trPr>
          <w:trHeight w:val="267"/>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09/11/2017</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30,015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431,012</w:t>
            </w:r>
          </w:p>
        </w:tc>
      </w:tr>
      <w:tr>
        <w:trPr>
          <w:trHeight w:val="257"/>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10/31/2018</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jc w:val="right"/>
              <w:ind w:right="34"/>
              <w:spacing w:after="0"/>
              <w:rPr>
                <w:sz w:val="20"/>
                <w:szCs w:val="20"/>
                <w:color w:val="auto"/>
              </w:rPr>
            </w:pPr>
            <w:r>
              <w:rPr>
                <w:rFonts w:ascii="Arial" w:cs="Arial" w:eastAsia="Arial" w:hAnsi="Arial"/>
                <w:sz w:val="14"/>
                <w:szCs w:val="14"/>
                <w:color w:val="auto"/>
              </w:rPr>
              <w:t>75,037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4"/>
                <w:szCs w:val="14"/>
                <w:color w:val="auto"/>
              </w:rPr>
              <w:t>1,400,385</w:t>
            </w:r>
          </w:p>
        </w:tc>
      </w:tr>
      <w:tr>
        <w:trPr>
          <w:trHeight w:val="267"/>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01/07/2019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75,037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1,522,485</w:t>
            </w:r>
          </w:p>
        </w:tc>
      </w:tr>
      <w:tr>
        <w:trPr>
          <w:trHeight w:val="257"/>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07/26/2018</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350,703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jc w:val="right"/>
              <w:ind w:right="53"/>
              <w:spacing w:after="0"/>
              <w:rPr>
                <w:sz w:val="20"/>
                <w:szCs w:val="20"/>
                <w:color w:val="auto"/>
              </w:rPr>
            </w:pPr>
            <w:r>
              <w:rPr>
                <w:rFonts w:ascii="Arial" w:cs="Arial" w:eastAsia="Arial" w:hAnsi="Arial"/>
                <w:sz w:val="14"/>
                <w:szCs w:val="14"/>
                <w:color w:val="auto"/>
              </w:rPr>
              <w:t>3,675,372</w:t>
            </w: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7"/>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06/24/2019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876,759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7,084,210</w:t>
            </w: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57"/>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auto"/>
                <w:w w:val="91"/>
              </w:rPr>
              <w:t>10/17/2019</w:t>
            </w:r>
          </w:p>
        </w:tc>
        <w:tc>
          <w:tcPr>
            <w:tcW w:w="1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70,000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tcPr>
          <w:p>
            <w:pPr>
              <w:jc w:val="right"/>
              <w:ind w:right="53"/>
              <w:spacing w:after="0"/>
              <w:rPr>
                <w:sz w:val="20"/>
                <w:szCs w:val="20"/>
                <w:color w:val="auto"/>
              </w:rPr>
            </w:pPr>
            <w:r>
              <w:rPr>
                <w:rFonts w:ascii="Arial" w:cs="Arial" w:eastAsia="Arial" w:hAnsi="Arial"/>
                <w:sz w:val="14"/>
                <w:szCs w:val="14"/>
                <w:color w:val="auto"/>
              </w:rPr>
              <w:t>565,600</w:t>
            </w: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7"/>
        </w:trPr>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12/29/2019</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22,500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323,100</w:t>
            </w:r>
          </w:p>
        </w:tc>
      </w:tr>
      <w:tr>
        <w:trPr>
          <w:trHeight w:val="151"/>
        </w:trPr>
        <w:tc>
          <w:tcPr>
            <w:tcW w:w="1700" w:type="dxa"/>
            <w:vAlign w:val="bottom"/>
          </w:tcPr>
          <w:p>
            <w:pPr>
              <w:spacing w:after="0" w:line="151" w:lineRule="exact"/>
              <w:rPr>
                <w:sz w:val="20"/>
                <w:szCs w:val="20"/>
                <w:color w:val="auto"/>
              </w:rPr>
            </w:pPr>
            <w:r>
              <w:rPr>
                <w:rFonts w:ascii="Arial" w:cs="Arial" w:eastAsia="Arial" w:hAnsi="Arial"/>
                <w:sz w:val="14"/>
                <w:szCs w:val="14"/>
                <w:color w:val="auto"/>
              </w:rPr>
              <w:t>_________________</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ind w:left="320" w:hanging="315"/>
        <w:spacing w:after="0" w:line="234" w:lineRule="auto"/>
        <w:tabs>
          <w:tab w:leader="none" w:pos="3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Represents Class P Units that vest as follows:</w:t>
      </w:r>
    </w:p>
    <w:p>
      <w:pPr>
        <w:ind w:left="320"/>
        <w:spacing w:after="0" w:line="234" w:lineRule="auto"/>
        <w:rPr>
          <w:rFonts w:ascii="Arial" w:cs="Arial" w:eastAsia="Arial" w:hAnsi="Arial"/>
          <w:sz w:val="14"/>
          <w:szCs w:val="14"/>
          <w:color w:val="auto"/>
        </w:rPr>
      </w:pPr>
      <w:r>
        <w:rPr>
          <w:rFonts w:ascii="Arial" w:cs="Arial" w:eastAsia="Arial" w:hAnsi="Arial"/>
          <w:sz w:val="14"/>
          <w:szCs w:val="14"/>
          <w:color w:val="auto"/>
        </w:rPr>
        <w:t>As to Mr. Schuck, 964,435 vest on March 12, 2020 and 964,435 vest in equal monthly installments during the 24 months following March 12, 2020, in each case subject to his continued service on each vesting date.</w:t>
      </w:r>
    </w:p>
    <w:p>
      <w:pPr>
        <w:ind w:left="320"/>
        <w:spacing w:after="0" w:line="234" w:lineRule="auto"/>
        <w:rPr>
          <w:rFonts w:ascii="Arial" w:cs="Arial" w:eastAsia="Arial" w:hAnsi="Arial"/>
          <w:sz w:val="14"/>
          <w:szCs w:val="14"/>
          <w:color w:val="auto"/>
        </w:rPr>
      </w:pPr>
      <w:r>
        <w:rPr>
          <w:rFonts w:ascii="Arial" w:cs="Arial" w:eastAsia="Arial" w:hAnsi="Arial"/>
          <w:sz w:val="14"/>
          <w:szCs w:val="14"/>
          <w:color w:val="auto"/>
        </w:rPr>
        <w:t>As to Mr. Hyzer, 876,759 vest on November 12, 2020 and 876,759 vest in equal monthly installments during the 24 months following November 12, 2020, in each case subject to his continued service on each vesting date.</w:t>
      </w:r>
    </w:p>
    <w:p>
      <w:pPr>
        <w:jc w:val="both"/>
        <w:ind w:left="320"/>
        <w:spacing w:after="0" w:line="252" w:lineRule="auto"/>
        <w:rPr>
          <w:rFonts w:ascii="Arial" w:cs="Arial" w:eastAsia="Arial" w:hAnsi="Arial"/>
          <w:sz w:val="14"/>
          <w:szCs w:val="14"/>
          <w:color w:val="auto"/>
        </w:rPr>
      </w:pPr>
      <w:r>
        <w:rPr>
          <w:rFonts w:ascii="Arial" w:cs="Arial" w:eastAsia="Arial" w:hAnsi="Arial"/>
          <w:sz w:val="13"/>
          <w:szCs w:val="13"/>
          <w:color w:val="auto"/>
        </w:rPr>
        <w:t>As to Mr. Hays, of the 350,703 granted on July 26, 2018, 175,352 vest on July 1, 2020 and 175,352 vest in equal monthly installments during the 24 months following July 1, 2020, in each case subject to his continued service on each vesting date. Of the 876,759 granted on June 24, 2019, 438,379 vest on February 1, 2021 and 438,379 vest in equal monthly installments during the 24 months following February 1, 2021, in each case subject to his continued service on each vesting date. Of the 70,000 granted on October 17, 2019, 35,000 vest on October 1, 2021 and 35,000 vest in equal monthly installments during the 24 months following October 1, 2021, in each case subject to his continued service on each vesting date.</w:t>
      </w:r>
    </w:p>
    <w:p>
      <w:pPr>
        <w:ind w:left="320" w:hanging="315"/>
        <w:spacing w:after="0" w:line="234" w:lineRule="auto"/>
        <w:tabs>
          <w:tab w:leader="none" w:pos="3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Based on the appreciation, if any, in the value of our business from and after the date of grant through the date of our most recent valuation prior to December 31, 2019.</w:t>
      </w:r>
    </w:p>
    <w:p>
      <w:pPr>
        <w:jc w:val="both"/>
        <w:ind w:left="320" w:hanging="315"/>
        <w:spacing w:after="0" w:line="234" w:lineRule="auto"/>
        <w:tabs>
          <w:tab w:leader="none" w:pos="3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Represents HSKB Units and HSKB Phantom Units, as applicable, that vest in full upon the occurrence of certain liquidity events, as described above under “—Narrative to Summary Compensation Table—Equity Awards.” Amounts represented in this column with respect to the HSKB Units reflect the 60.02977736-for-one split of the HSKB Units, which occurred on December 18, 2019 and the four-for-one reverse split of the HSKB Units, which occurred on May 20, 2020.</w:t>
      </w:r>
    </w:p>
    <w:p>
      <w:pPr>
        <w:ind w:left="320" w:hanging="315"/>
        <w:spacing w:after="0"/>
        <w:tabs>
          <w:tab w:leader="none" w:pos="32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Based on our most recent valuation prior to December 31, 2019.</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and Change in Control Provisions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Messrs. Schuck and Hyzer are entitled to potential payments and benefits in connection with a termination of employment and/or a change in control. The following summary describes the termination and change in control provisions under each executive’s employment agreement.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Schuck’s Employment Agreement</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Pursuant to Mr. Schuck’s employment agreement, upon termination of his employment by the Company without cause or his resignation with good reason, he is entitled to a severance payment (subject to his execution of a general release of claims against the Company) equal to (i) one year of his base salary plus the amount of his target annual bonus (at 100% achievement), prorated based on the number of days he is employed during the fiscal year in which the termination date occurs, payable in a single lump sum; (ii) payment of any earned but unpaid annual bonus for the fiscal year prior to the year in which the termination date occurs payable in a single lump sum; (iii) continuation for 12 months following the termination date of any health insurance benefits to which he was entitled as of the termination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240"/>
          </w:cols>
          <w:pgMar w:left="320" w:top="331" w:right="339" w:bottom="1440" w:gutter="0" w:footer="0" w:header="0"/>
        </w:sectPr>
      </w:pPr>
    </w:p>
    <w:bookmarkStart w:id="190" w:name="page191"/>
    <w:bookmarkEnd w:id="190"/>
    <w:p>
      <w:pPr>
        <w:jc w:val="both"/>
        <w:spacing w:after="0" w:line="289" w:lineRule="auto"/>
        <w:rPr>
          <w:sz w:val="20"/>
          <w:szCs w:val="20"/>
          <w:color w:val="auto"/>
        </w:rPr>
      </w:pPr>
      <w:r>
        <w:rPr>
          <w:rFonts w:ascii="Arial" w:cs="Arial" w:eastAsia="Arial" w:hAnsi="Arial"/>
          <w:sz w:val="17"/>
          <w:szCs w:val="17"/>
          <w:color w:val="auto"/>
        </w:rPr>
        <w:t>date; and (iv) accelerated vesting of the portion of his then-unvested equity awards subject to time-based vesting that he holds as of the termination date and which were scheduled to vest within 12 months following the termination date.</w:t>
      </w:r>
    </w:p>
    <w:p>
      <w:pPr>
        <w:spacing w:after="0" w:line="10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the event of a termination of Mr. Schuck’s employment by the Company without cause or his resignation with good reason, which in either case occurs during the period beginning three months prior to, and ending 12 months following, a “change in control” of the Company, he is entitled to a severance payment (subject to his execution of a general release of claims against the Company) equal to (i) 18 months of his base salary plus the amount of his target annual bonus (at 100% achievement), payable in a single lump sum; (ii) payment of any earned but unpaid annual bonus for the fiscal year prior to the year in which the termination date occurs payable in a single lump sum; (iii) continuation for 18 months following the termination date of any health insurance benefits to which he was entitled as of the termination date; and (iv) full accelerated vesting of all then-unvested equity awards subject to time-based vesting that he holds as of the termination date.</w:t>
      </w:r>
    </w:p>
    <w:p>
      <w:pPr>
        <w:spacing w:after="0" w:line="130"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Mr. Schuck’s employment agreement further provides that upon termination of his employment due to death or disability, he is entitled to a severance payment equal to the expected amount of his annual performance bonus for the year in which the termination occurs, prorated through the termination date.</w:t>
      </w:r>
    </w:p>
    <w:p>
      <w:pPr>
        <w:spacing w:after="0" w:line="8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For a description of restrictive covenants applicable to Mr. Schuck, see “—Narrative Disclosure to Summary Compensation Table—Employment Agreements” above.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Mr. Hyzer’s Employment Agreement</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Pursuant to Mr. Hyzer’s employment agreement, upon termination of his employment by the Company without cause or his resignation with good reason, he is entitled to a severance payment (subject to his execution of a general release of claims against the Company) equal to one year of his base salary plus the expected amount of his annual performance bonus for the year in which the termination occurs, based on the Company’s projected achievement of performance metrics and prorated through the termination date; provided, that the bonus amount will not be prorated if such termination occurs as a result of an “acquisition” (defined as an acquisition by an unaffiliated party of a majority of the outstanding equity interests or all or substantially all of the assets of the Company or the result of a decision by the Company or its direct or indirect owners that the Company undergo an acquisition). Mr. Hyzer’s employment agreement further provides that upon termination of his employment due to death or disability, he is entitled to a severance payment equal to the expected amount of his annual performance bonus for the year in which the termination occurs, based on the Company’s projected achievement of performance metrics and prorated through the termination date.</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For a description of restrictive covenants applicable to Mr. Hyzer, see “—Narrative Disclosure to Summary Compensation Table—Employment Agreements” above.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Awards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Each of the named executive officers holds equity awards pursuant to award agreements that provide for accelerated vesting upon certain qualifying terminations of employment. For a description of the accelerated vesting of the equity awards held by the named executive officers, see “—Narrative Disclosure to Summary Compensation Table—Equity Awards” above.</w:t>
      </w:r>
    </w:p>
    <w:p>
      <w:pPr>
        <w:spacing w:after="0" w:line="113" w:lineRule="exact"/>
        <w:rPr>
          <w:sz w:val="20"/>
          <w:szCs w:val="20"/>
          <w:color w:val="auto"/>
        </w:rPr>
      </w:pPr>
    </w:p>
    <w:p>
      <w:pPr>
        <w:ind w:right="5480"/>
        <w:spacing w:after="0" w:line="453" w:lineRule="auto"/>
        <w:rPr>
          <w:sz w:val="20"/>
          <w:szCs w:val="20"/>
          <w:color w:val="auto"/>
        </w:rPr>
      </w:pPr>
      <w:r>
        <w:rPr>
          <w:rFonts w:ascii="Arial" w:cs="Arial" w:eastAsia="Arial" w:hAnsi="Arial"/>
          <w:sz w:val="17"/>
          <w:szCs w:val="17"/>
          <w:b w:val="1"/>
          <w:bCs w:val="1"/>
          <w:color w:val="auto"/>
        </w:rPr>
        <w:t xml:space="preserve">Compensation Arrangements to be Adopted in Connection with this Offering </w:t>
      </w:r>
      <w:r>
        <w:rPr>
          <w:rFonts w:ascii="Arial" w:cs="Arial" w:eastAsia="Arial" w:hAnsi="Arial"/>
          <w:sz w:val="17"/>
          <w:szCs w:val="17"/>
          <w:b w:val="1"/>
          <w:bCs w:val="1"/>
          <w:i w:val="1"/>
          <w:iCs w:val="1"/>
          <w:color w:val="auto"/>
        </w:rPr>
        <w:t>2020 Omnibus Incentive Plan</w:t>
      </w:r>
    </w:p>
    <w:p>
      <w:pPr>
        <w:spacing w:after="0" w:line="2"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In connection with this offering, our board of directors adopted, and our stockholders approved, the Company’s 2020 Omnibus Incentive Plan (the “2020 Plan”).</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The purpose of the 2020 Plan is to provide a means through which to attract and retain key personnel and to provide a means whereby our</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240"/>
          </w:cols>
          <w:pgMar w:left="320" w:top="337" w:right="339" w:bottom="1440" w:gutter="0" w:footer="0" w:header="0"/>
        </w:sectPr>
      </w:pPr>
    </w:p>
    <w:bookmarkStart w:id="191" w:name="page192"/>
    <w:bookmarkEnd w:id="191"/>
    <w:p>
      <w:pPr>
        <w:jc w:val="both"/>
        <w:ind w:firstLine="314"/>
        <w:spacing w:after="0" w:line="277"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2020 Plan is administered by the compensation committee of our board of directors or such other committee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it has properly delegated power, or if no such committee or subcommittee exists, our board of directors. The compensation committee is authorized to interpret, administer, reconcile any inconsistency in, correct any defect in and/or supply any omission in the 2020 Plan and any instrument or agreement relating to, or any award granted under, the 2020 Plan; establish, amend, suspend, or waive any rules and regulations and appoint such agents as the compensation committee deems appropriate for the proper administration of the 2020 Plan; adopt sub-plans; and to make any other determination and take any other action that the compensation committee deems necessary or desirable for the administration of the 2020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Plan. Unless otherwise expressly provided in the 2020 Plan, all designations, determinations, interpretations, and other decisions under or with respect to the 2020 Plan or any award or any documents evidencing awards granted pursuant to the 2020 Plan are within the sole discretion of the compensation committee, may be made at any time and are final, conclusive and binding upon all persons or entities, including, without limitation, us, any participant, any holder or beneficiary of any award, and any of our stockholders. Subject to the provisions of the 2020 Plan, the compensation committee may designate participants, determine the types and sizes of awards to be granted to participants, and determine the terms and conditions of awards, which will be set forth in the applicable award agreement.</w:t>
      </w:r>
    </w:p>
    <w:p>
      <w:pPr>
        <w:spacing w:after="0" w:line="118"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i w:val="1"/>
          <w:iCs w:val="1"/>
          <w:color w:val="auto"/>
        </w:rPr>
        <w:t>Shares Subject to 2020 Plan</w:t>
      </w:r>
      <w:r>
        <w:rPr>
          <w:rFonts w:ascii="Arial" w:cs="Arial" w:eastAsia="Arial" w:hAnsi="Arial"/>
          <w:sz w:val="16"/>
          <w:szCs w:val="16"/>
          <w:color w:val="auto"/>
        </w:rPr>
        <w:t>. The 2020 Plan is expected to provide that the total number of shares of common stock that may be issued under the 2020 Plan</w:t>
      </w:r>
      <w:r>
        <w:rPr>
          <w:rFonts w:ascii="Arial" w:cs="Arial" w:eastAsia="Arial" w:hAnsi="Arial"/>
          <w:sz w:val="16"/>
          <w:szCs w:val="16"/>
          <w:i w:val="1"/>
          <w:iCs w:val="1"/>
          <w:color w:val="auto"/>
        </w:rPr>
        <w:t xml:space="preserve"> </w:t>
      </w:r>
      <w:r>
        <w:rPr>
          <w:rFonts w:ascii="Arial" w:cs="Arial" w:eastAsia="Arial" w:hAnsi="Arial"/>
          <w:sz w:val="16"/>
          <w:szCs w:val="16"/>
          <w:color w:val="auto"/>
        </w:rPr>
        <w:t>is 18,650,000 (the “plan share reserve”), provided, however, that the plan share reserve shall be increased on the first day of each fiscal year beginning with the 2021 fiscal year in an amount equal to the lesser of (i) the positive difference between (x) 5% of the outstanding common stock on the last day of the immediately preceding fiscal year (treating certain vested convertible securities as outstanding common stock for this purpose) and (y) the plan share reserve on the last day of the immediately preceding fiscal year and (ii) a lower number of shares of our common stock as determined by our board of directors. No more than the number of shares of common stock equal to the plan share reserve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$700,000 in total value. Except for substitute awards (as described below), in the event any award expires or is cancelled, forfeited or terminated without issuance to the participant of the full number of shares to which the award related, the unissued shares of common stock underlying such award will be returned to the plan share reserve and may be granted again under the 2020 Plan. Shares of common stock withheld in payment of an option exercise price or taxes relating to an award, and shares equal to the number of shares surrendered in payment of any option exercise price, a stock appreciation right’s base price, or taxes relating to an award will constitute shares issued to a participant and will thus reduce the plan share reserve.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plan share reserve, except that substitute awards intended to qualify as “incentive stock options” will count against the limit on incentive stock options described above. No award may be granted under the 2020 Plan after the tenth anniversary of the effective date (as defined therein), but awards granted before then may extend beyond that date.</w:t>
      </w:r>
    </w:p>
    <w:p>
      <w:pPr>
        <w:spacing w:after="0" w:line="123"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compensation committee may grant non-qualified stock options and incentive stock options, under the 2020 Plan, with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the compensation committee that are not inconsistent with the 2020 Plan. All stock options granted under the 2020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Plan is ten years from the initial date of grant, or with respect to any stock options intended to qualify as incentive stock options, such shorter period as prescribed by Section 422 of the Code. However, if a non-qualified stock option would expire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240"/>
          </w:cols>
          <w:pgMar w:left="320" w:top="337" w:right="339" w:bottom="1440" w:gutter="0" w:footer="0" w:header="0"/>
        </w:sectPr>
      </w:pPr>
    </w:p>
    <w:bookmarkStart w:id="192" w:name="page193"/>
    <w:bookmarkEnd w:id="192"/>
    <w:p>
      <w:pPr>
        <w:jc w:val="both"/>
        <w:spacing w:after="0" w:line="268" w:lineRule="auto"/>
        <w:rPr>
          <w:sz w:val="20"/>
          <w:szCs w:val="20"/>
          <w:color w:val="auto"/>
        </w:rPr>
      </w:pPr>
      <w:r>
        <w:rPr>
          <w:rFonts w:ascii="Arial" w:cs="Arial" w:eastAsia="Arial" w:hAnsi="Arial"/>
          <w:sz w:val="16"/>
          <w:szCs w:val="16"/>
          <w:color w:val="auto"/>
        </w:rPr>
        <w:t>at a time when trading of shares of our common stock is prohibited by our insider trading policy (or “blackout period” imposed by us), the term will automatically be extended to the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and any applicable taxes. Any fractional shares of common stock will be settled in cash. Options will become vested and exercisable in such manner and on such date(s) or event(s) as determined by the compensation committee, provided that the compensation committee may, in its sole discretion, accelerate the vesting of any options at any time for any reason.</w:t>
      </w:r>
    </w:p>
    <w:p>
      <w:pPr>
        <w:spacing w:after="0" w:line="130"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Unless otherwise provided by the compensation committee (whether in an award agreement or otherwise), in the event of (i) a participant’s termination of service for cause, all outstanding options will immediately terminate and expire, (ii) a participant’s termination of service due to death or disability, each outstanding unvested option will immediately terminate and expire, and vested options will remain exercisable for one year following termination of service (or, if earlier, through the last day of the tenth year from the initial date of grant), and (iii) a participant’s termination for any other reason, outstanding unvested options will terminate and expire and vested options remain exercisable for 90 days following termination (or, if earlier, through the last day of the tenth year from the initial date of grant).</w:t>
      </w:r>
    </w:p>
    <w:p>
      <w:pPr>
        <w:spacing w:after="0" w:line="129"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i w:val="1"/>
          <w:iCs w:val="1"/>
          <w:color w:val="auto"/>
        </w:rPr>
        <w:t>Restricted Shares and Restricted Stock Units</w:t>
      </w:r>
      <w:r>
        <w:rPr>
          <w:rFonts w:ascii="Arial" w:cs="Arial" w:eastAsia="Arial" w:hAnsi="Arial"/>
          <w:sz w:val="16"/>
          <w:szCs w:val="16"/>
          <w:color w:val="auto"/>
        </w:rPr>
        <w:t>. The compensation committee may grant restricted shares of our common stock or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 Restricted shares of our common stock and restricted stock units will become vested in such manner and on such date(s) or event(s) as determined by the compensation committee, provided that the compensation committee may, in its sole discretion, accelerate the vesting of any restricted shares of our common stock or restricted stock units at any time for any reason. Unless otherwise provided by the compensation committee, whether in an award agreement or otherwise, in the event of a participant’s termination for any reason prior to vesting of any restricted shares or restricted stock units, as applicable (i) all vesting with respect to the participant’s restricted shares or restricted stock units, as applicable, will cease and (ii) unvested restricted shares and unvested restricted stock units will be forfeited for no consideration on the date of termination.</w:t>
      </w:r>
    </w:p>
    <w:p>
      <w:pPr>
        <w:spacing w:after="0" w:line="118"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i w:val="1"/>
          <w:iCs w:val="1"/>
          <w:color w:val="auto"/>
        </w:rPr>
        <w:t xml:space="preserve">ZoomInfo OpCo Unit Awards. </w:t>
      </w:r>
      <w:r>
        <w:rPr>
          <w:rFonts w:ascii="Arial" w:cs="Arial" w:eastAsia="Arial" w:hAnsi="Arial"/>
          <w:sz w:val="16"/>
          <w:szCs w:val="16"/>
          <w:color w:val="auto"/>
        </w:rPr>
        <w:t>The compensation committee may issue awards in the form of OpCo Units or other classes of partnership units in ZoomInfo</w:t>
      </w:r>
      <w:r>
        <w:rPr>
          <w:rFonts w:ascii="Arial" w:cs="Arial" w:eastAsia="Arial" w:hAnsi="Arial"/>
          <w:sz w:val="16"/>
          <w:szCs w:val="16"/>
          <w:i w:val="1"/>
          <w:iCs w:val="1"/>
          <w:color w:val="auto"/>
        </w:rPr>
        <w:t xml:space="preserve"> </w:t>
      </w:r>
      <w:r>
        <w:rPr>
          <w:rFonts w:ascii="Arial" w:cs="Arial" w:eastAsia="Arial" w:hAnsi="Arial"/>
          <w:sz w:val="16"/>
          <w:szCs w:val="16"/>
          <w:color w:val="auto"/>
        </w:rPr>
        <w:t>OpCo (including, without limitation, LTIP Units) established pursuant to the amended and restated limited liability company agreement of ZoomInfo OpCo. ZoomInfo OpCo unit awards may be (1) convertible, exchangeable or redeemable for other limited partnership interests in ZoomInfo OpCo or shares of our Class A common stock or (2) valued by reference to the book value, fair value or performance of ZoomInfo OpCo limited partnership interests.</w:t>
      </w:r>
    </w:p>
    <w:p>
      <w:pPr>
        <w:spacing w:after="0" w:line="10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For purposes of calculating the number of shares underlying ZoomInfo OpCo unit awards relative to the total number of shares of our Class A common stock available for issuance under the 2020 Plan, the compensation committee will establish in good faith the maximum number of shares to which a participant receiving such an award may be entitled upon fulfillment of all applicable conditions set forth in the relevant award documentation, including vesting conditions, partnership capital account allocations, value accretion factors, conversion ratios, exchange ratios and other similar criteria. If and when any such conditions are no longer capable of being met, in whole or in part, the number of shares of our Class A common stock underlying such award will be reduced accordingly by the compensation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240"/>
          </w:cols>
          <w:pgMar w:left="320" w:top="337" w:right="339" w:bottom="1440" w:gutter="0" w:footer="0" w:header="0"/>
        </w:sectPr>
      </w:pPr>
    </w:p>
    <w:bookmarkStart w:id="193" w:name="page194"/>
    <w:bookmarkEnd w:id="193"/>
    <w:p>
      <w:pPr>
        <w:jc w:val="both"/>
        <w:spacing w:after="0" w:line="305" w:lineRule="auto"/>
        <w:rPr>
          <w:sz w:val="20"/>
          <w:szCs w:val="20"/>
          <w:color w:val="auto"/>
        </w:rPr>
      </w:pPr>
      <w:r>
        <w:rPr>
          <w:rFonts w:ascii="Arial" w:cs="Arial" w:eastAsia="Arial" w:hAnsi="Arial"/>
          <w:sz w:val="15"/>
          <w:szCs w:val="15"/>
          <w:color w:val="auto"/>
        </w:rPr>
        <w:t>committee, and the number of shares available under the 2020 Plan will be increased by one share for each share so reduced. The compensation committee will determine all other terms of ZoomInfo OpCo unit awards. The award documentation in respect of ZoomInfo OpCo unit awards may provide that the recipient will be entitled to receive, currently or on a deferred or contingent basis, dividends or dividend equivalents with respect to the number of shares of our Class A common stock underlying the award or other distributions from ZoomInfo OpCo prior to vesting (whether based on a period of time or based on attainment of specified performance conditions), as determined at the time of grant by the compensation committee, in its sole discretion, and the compensation committee may provide that such amounts (if any) will be deemed to have been reinvested in additional shares of our Class A common stock or ZoomInfo OpCo units.</w:t>
      </w:r>
    </w:p>
    <w:p>
      <w:pPr>
        <w:spacing w:after="0" w:line="9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 xml:space="preserve">Other Equity-Based Awards and Cash-Based Awards. </w:t>
      </w:r>
      <w:r>
        <w:rPr>
          <w:rFonts w:ascii="Arial" w:cs="Arial" w:eastAsia="Arial" w:hAnsi="Arial"/>
          <w:sz w:val="17"/>
          <w:szCs w:val="17"/>
          <w:color w:val="auto"/>
        </w:rPr>
        <w:t>The compensation committee may grant other equity-based or cash-based awards under the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with terms and conditions determined by the compensation committee that are not inconsistent with the 2020 Plan.</w:t>
      </w:r>
    </w:p>
    <w:p>
      <w:pPr>
        <w:spacing w:after="0" w:line="106" w:lineRule="exact"/>
        <w:rPr>
          <w:sz w:val="20"/>
          <w:szCs w:val="20"/>
          <w:color w:val="auto"/>
        </w:rPr>
      </w:pPr>
    </w:p>
    <w:p>
      <w:pPr>
        <w:jc w:val="both"/>
        <w:ind w:firstLine="314"/>
        <w:spacing w:after="0" w:line="293" w:lineRule="auto"/>
        <w:rPr>
          <w:sz w:val="20"/>
          <w:szCs w:val="20"/>
          <w:color w:val="auto"/>
        </w:rPr>
      </w:pPr>
      <w:r>
        <w:rPr>
          <w:rFonts w:ascii="Arial" w:cs="Arial" w:eastAsia="Arial" w:hAnsi="Arial"/>
          <w:sz w:val="15"/>
          <w:szCs w:val="15"/>
          <w:i w:val="1"/>
          <w:iCs w:val="1"/>
          <w:color w:val="auto"/>
        </w:rPr>
        <w:t>Effect of Certain Events on 2020 Plan and Awards</w:t>
      </w:r>
      <w:r>
        <w:rPr>
          <w:rFonts w:ascii="Arial" w:cs="Arial" w:eastAsia="Arial" w:hAnsi="Arial"/>
          <w:sz w:val="15"/>
          <w:szCs w:val="15"/>
          <w:color w:val="auto"/>
        </w:rPr>
        <w:t>. Other than with respect to cash-based awards, in the event of (i) any dividend (other than regular cash</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the 2020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an “Adjustment Event”), the compensation committee will, in respect of any such Adjustment Event, make such proportionate substitution or adjustment, if any, as it deems equitable, to any or all of: (A) the plan share reserve, or any other limit applicable under the 2020 Plan with respect to the number of awards which may be granted thereunder,</w:t>
      </w:r>
    </w:p>
    <w:p>
      <w:pPr>
        <w:spacing w:after="0" w:line="3" w:lineRule="exact"/>
        <w:rPr>
          <w:sz w:val="20"/>
          <w:szCs w:val="20"/>
          <w:color w:val="auto"/>
        </w:rPr>
      </w:pPr>
    </w:p>
    <w:p>
      <w:pPr>
        <w:jc w:val="both"/>
        <w:ind w:firstLine="5"/>
        <w:spacing w:after="0" w:line="260" w:lineRule="auto"/>
        <w:tabs>
          <w:tab w:leader="none" w:pos="27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number of shares of common stock or other securities of the Company (or number and kind of other securities or other property) which may be issued in respect of awards or with respect to which awards may be granted under the 2020 Plan or any sub-plan, and (C) the terms of any outstanding award, including, without limitation, (x) the number of shares of common stock or other securities of the Company (or number and kind of other securities or other property) subject to outstanding awards or to which outstanding awards relate, (y) the exercise price or strike price with respect to any award, or (z) any applicable performance measures; it being understood that, in the case of any “equity restructuring,” the compensation committee will make an equitable or proportionate adjustment to outstanding awards to reflect such equity restructuring.</w:t>
      </w:r>
    </w:p>
    <w:p>
      <w:pPr>
        <w:spacing w:after="0" w:line="132" w:lineRule="exact"/>
        <w:rPr>
          <w:sz w:val="20"/>
          <w:szCs w:val="20"/>
          <w:color w:val="auto"/>
        </w:rPr>
      </w:pPr>
    </w:p>
    <w:p>
      <w:pPr>
        <w:ind w:firstLine="314"/>
        <w:spacing w:after="0" w:line="281" w:lineRule="auto"/>
        <w:rPr>
          <w:sz w:val="20"/>
          <w:szCs w:val="20"/>
          <w:color w:val="auto"/>
        </w:rPr>
      </w:pPr>
      <w:r>
        <w:rPr>
          <w:rFonts w:ascii="Arial" w:cs="Arial" w:eastAsia="Arial" w:hAnsi="Arial"/>
          <w:sz w:val="16"/>
          <w:szCs w:val="16"/>
          <w:color w:val="auto"/>
        </w:rPr>
        <w:t>In connection with any change in control, the compensation committee may, in its sole discretion, provide for any one or more of the following: (i) a substitution or assumption of, acceleration of the vesting of, the exercisability of, or lapse of restrictions on, any one or more outstanding awards and</w:t>
      </w:r>
    </w:p>
    <w:p>
      <w:pPr>
        <w:jc w:val="both"/>
        <w:ind w:firstLine="5"/>
        <w:spacing w:after="0" w:line="281" w:lineRule="auto"/>
        <w:tabs>
          <w:tab w:leader="none" w:pos="25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base price thereof.</w:t>
      </w:r>
    </w:p>
    <w:p>
      <w:pPr>
        <w:spacing w:after="0" w:line="116"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under the 2020 Plan will not be transferable or assignable by a participant other than by will or by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240"/>
          </w:cols>
          <w:pgMar w:left="320" w:top="337" w:right="339" w:bottom="1440" w:gutter="0" w:footer="0" w:header="0"/>
        </w:sectPr>
      </w:pPr>
    </w:p>
    <w:bookmarkStart w:id="194" w:name="page195"/>
    <w:bookmarkEnd w:id="194"/>
    <w:p>
      <w:pPr>
        <w:jc w:val="both"/>
        <w:ind w:firstLine="314"/>
        <w:spacing w:after="0" w:line="262"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amend, alter, suspend, discontinue, or terminate the 2020 Plan or any portion thereof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but no such amendment, alteration, suspension, discontinuance or termination may be made without stockholder approval if (i) such approval is necessary to comply with any regulatory requirement applicable to the 2020 Plan or for changes in GAAP to new accounting standards; (ii) it would materially increase the number of securities which may be issued under the 2020 Plan (except for adjustments in connection with certain corporate events); or (iii) it would materially modify the requirements for participation in the 2020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30"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stockholder approval, except as otherwise permitted in the 2020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canceled option or stock appreciation right; and (iii) the compensation committee may not take any other action which is considered a “repricing” for purposes of the stockholder approval rules of any securities exchange or inter-dealer quotation system on which our securities are listed or quoted.</w:t>
      </w:r>
    </w:p>
    <w:p>
      <w:pPr>
        <w:spacing w:after="0" w:line="135" w:lineRule="exact"/>
        <w:rPr>
          <w:sz w:val="20"/>
          <w:szCs w:val="20"/>
          <w:color w:val="auto"/>
        </w:rPr>
      </w:pPr>
    </w:p>
    <w:p>
      <w:pPr>
        <w:jc w:val="both"/>
        <w:ind w:firstLine="314"/>
        <w:spacing w:after="0" w:line="300" w:lineRule="auto"/>
        <w:rPr>
          <w:sz w:val="20"/>
          <w:szCs w:val="20"/>
          <w:color w:val="auto"/>
        </w:rPr>
      </w:pPr>
      <w:r>
        <w:rPr>
          <w:rFonts w:ascii="Arial" w:cs="Arial" w:eastAsia="Arial" w:hAnsi="Arial"/>
          <w:sz w:val="15"/>
          <w:szCs w:val="15"/>
          <w:i w:val="1"/>
          <w:iCs w:val="1"/>
          <w:color w:val="auto"/>
        </w:rPr>
        <w:t>Dividends and Dividend Equivalents</w:t>
      </w:r>
      <w:r>
        <w:rPr>
          <w:rFonts w:ascii="Arial" w:cs="Arial" w:eastAsia="Arial" w:hAnsi="Arial"/>
          <w:sz w:val="15"/>
          <w:szCs w:val="15"/>
          <w:color w:val="auto"/>
        </w:rPr>
        <w:t>. The compensation committee in its sole discretion may provide that an award under the 2020 Plan includes dividends</w:t>
      </w:r>
      <w:r>
        <w:rPr>
          <w:rFonts w:ascii="Arial" w:cs="Arial" w:eastAsia="Arial" w:hAnsi="Arial"/>
          <w:sz w:val="15"/>
          <w:szCs w:val="15"/>
          <w:i w:val="1"/>
          <w:iCs w:val="1"/>
          <w:color w:val="auto"/>
        </w:rPr>
        <w:t xml:space="preserve"> </w:t>
      </w:r>
      <w:r>
        <w:rPr>
          <w:rFonts w:ascii="Arial" w:cs="Arial" w:eastAsia="Arial" w:hAnsi="Arial"/>
          <w:sz w:val="15"/>
          <w:szCs w:val="15"/>
          <w:color w:val="auto"/>
        </w:rPr>
        <w:t>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 To the extent provided in an award agreement, the holder of outstanding restricted stock units will be entitled to be credited with dividend equivalents either in cash, or in the sole discretion of the compensation committee, in shares of common stock having a fair market value equal to the amount of the dividends (and interest may be credited, at the discretion of the compensation committee, on the amount of cash dividend equivalents, at a rate and subject to terms determined by the compensation committee), which accumulated dividend equivalents (and any interest) will be payable at the same time as the underlying restricted stock units are settled following the lapse of restrictions (and with any accumulated dividend equivalents forfeited if the underlying restricted stock units are forfeited).</w:t>
      </w:r>
    </w:p>
    <w:p>
      <w:pPr>
        <w:spacing w:after="0" w:line="103"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i w:val="1"/>
          <w:iCs w:val="1"/>
          <w:color w:val="auto"/>
        </w:rPr>
        <w:t xml:space="preserve">Clawback/Repayment. </w:t>
      </w:r>
      <w:r>
        <w:rPr>
          <w:rFonts w:ascii="Arial" w:cs="Arial" w:eastAsia="Arial" w:hAnsi="Arial"/>
          <w:sz w:val="16"/>
          <w:szCs w:val="16"/>
          <w:color w:val="auto"/>
        </w:rPr>
        <w:t>All awards are subject to reduction, cancellation, forfeiture or recoupment to the extent necessary to comply with (i) any clawback,</w:t>
      </w:r>
      <w:r>
        <w:rPr>
          <w:rFonts w:ascii="Arial" w:cs="Arial" w:eastAsia="Arial" w:hAnsi="Arial"/>
          <w:sz w:val="16"/>
          <w:szCs w:val="16"/>
          <w:i w:val="1"/>
          <w:iCs w:val="1"/>
          <w:color w:val="auto"/>
        </w:rPr>
        <w:t xml:space="preserve"> </w:t>
      </w:r>
      <w:r>
        <w:rPr>
          <w:rFonts w:ascii="Arial" w:cs="Arial" w:eastAsia="Arial" w:hAnsi="Arial"/>
          <w:sz w:val="16"/>
          <w:szCs w:val="16"/>
          <w:color w:val="auto"/>
        </w:rPr>
        <w:t>forfeiture or other similar policy adopted by our board of directors or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 If a participant engages in any detrimental activity (as described below), as determined by the compensation committee, the compensation committee may, in its sole discretion, provide for one or more of the following: (i) cancellation of any or all of a participant’s outstanding awards or (ii) forfeiture by the participant of any gain realized on the vesting or exercise of awards, and repayment of any such gain promptly to the Company. For purposes of the 2020 Plan and awards thereunder, “detrimental activity” means: any unauthorized disclosure of confidential or proprietary information of the Company or its subsidiaries; any activity that would be grounds to terminate the participant’s employment or service for cause; the participant’s breach of any restrictive covenant (including, but not limited, to any non-competition or non-solicitation covenants); or fraud or conduct contributing to any financial restatements or irregularities, as determined by the compensation committee in its discretion.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240"/>
          </w:cols>
          <w:pgMar w:left="320" w:top="337" w:right="339" w:bottom="1440" w:gutter="0" w:footer="0" w:header="0"/>
        </w:sectPr>
      </w:pPr>
    </w:p>
    <w:bookmarkStart w:id="195" w:name="page196"/>
    <w:bookmarkEnd w:id="195"/>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connection with this offering, our board of directors adopted, and our stockholders approved, the Company’s 2020 Employee Stock Purchase Plan (the “ESPP”). The ESPP is intended to give eligible employees an opportunity to acquire shares of our common stock and promote our best interests and enhance our long-term performance.</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i w:val="1"/>
          <w:iCs w:val="1"/>
          <w:color w:val="auto"/>
        </w:rPr>
        <w:t xml:space="preserve">Purpose. </w:t>
      </w:r>
      <w:r>
        <w:rPr>
          <w:rFonts w:ascii="Arial" w:cs="Arial" w:eastAsia="Arial" w:hAnsi="Arial"/>
          <w:sz w:val="17"/>
          <w:szCs w:val="17"/>
          <w:color w:val="auto"/>
        </w:rPr>
        <w:t>The ESPP is intended to qualify as an “employee stock purchase plan” under Section 423 of the Code. We may also authorize offerings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that are not intended to comply with the requirements of Section 423 of the Code, which may, but are not required to, be made pursuant to any rules, procedures or sub-plans adopted by the compensation committee of our board of directors for such purpose.</w:t>
      </w:r>
    </w:p>
    <w:p>
      <w:pPr>
        <w:spacing w:after="0" w:line="119"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i w:val="1"/>
          <w:iCs w:val="1"/>
          <w:color w:val="auto"/>
        </w:rPr>
        <w:t>Shares Reserved for the ESPP</w:t>
      </w:r>
      <w:r>
        <w:rPr>
          <w:rFonts w:ascii="Arial" w:cs="Arial" w:eastAsia="Arial" w:hAnsi="Arial"/>
          <w:sz w:val="16"/>
          <w:szCs w:val="16"/>
          <w:color w:val="auto"/>
        </w:rPr>
        <w:t>. The aggregate number of shares of our common stock that may be issued under the ESPP may not exceed 7,500,000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lesser of (i) the positive difference between (x) 1% of the total number of shares of our common stock outstanding on the last day of the immediately preceding fiscal year (treating certain vested convertible securities as outstanding common stock for this purpose), and (y) the share reserve of the ESPP on the last day of the immediately preceding fiscal year, and (ii) a lower number of shares as may be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17" w:lineRule="exact"/>
        <w:rPr>
          <w:sz w:val="20"/>
          <w:szCs w:val="20"/>
          <w:color w:val="auto"/>
        </w:rPr>
      </w:pPr>
    </w:p>
    <w:p>
      <w:pPr>
        <w:jc w:val="both"/>
        <w:ind w:firstLine="314"/>
        <w:spacing w:after="0" w:line="298"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ESPP will be administered by the compensation committee of our board of directors unless the board of directors elects to administer</w:t>
      </w:r>
      <w:r>
        <w:rPr>
          <w:rFonts w:ascii="Arial" w:cs="Arial" w:eastAsia="Arial" w:hAnsi="Arial"/>
          <w:sz w:val="15"/>
          <w:szCs w:val="15"/>
          <w:i w:val="1"/>
          <w:iCs w:val="1"/>
          <w:color w:val="auto"/>
        </w:rPr>
        <w:t xml:space="preserve"> </w:t>
      </w:r>
      <w:r>
        <w:rPr>
          <w:rFonts w:ascii="Arial" w:cs="Arial" w:eastAsia="Arial" w:hAnsi="Arial"/>
          <w:sz w:val="15"/>
          <w:szCs w:val="15"/>
          <w:color w:val="auto"/>
        </w:rPr>
        <w:t>the ESPP. The compensation committee may appoint one or more agents to assist in the administration of the ESPP and may delegate certain responsibilities or powers subject to ESPP terms and applicable law. Subject to ESPP terms and applicable law, the compensation committee will have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0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The ESPP will become effective on or about the date of this offering. However, no offering periods will commence under the ESPP until</w:t>
      </w:r>
      <w:r>
        <w:rPr>
          <w:rFonts w:ascii="Arial" w:cs="Arial" w:eastAsia="Arial" w:hAnsi="Arial"/>
          <w:sz w:val="16"/>
          <w:szCs w:val="16"/>
          <w:i w:val="1"/>
          <w:iCs w:val="1"/>
          <w:color w:val="auto"/>
        </w:rPr>
        <w:t xml:space="preserve"> </w:t>
      </w:r>
      <w:r>
        <w:rPr>
          <w:rFonts w:ascii="Arial" w:cs="Arial" w:eastAsia="Arial" w:hAnsi="Arial"/>
          <w:sz w:val="16"/>
          <w:szCs w:val="16"/>
          <w:color w:val="auto"/>
        </w:rPr>
        <w:t>such time and 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03"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i w:val="1"/>
          <w:iCs w:val="1"/>
          <w:color w:val="auto"/>
        </w:rPr>
        <w:t>Eligible Participants</w:t>
      </w:r>
      <w:r>
        <w:rPr>
          <w:rFonts w:ascii="Arial" w:cs="Arial" w:eastAsia="Arial" w:hAnsi="Arial"/>
          <w:sz w:val="17"/>
          <w:szCs w:val="17"/>
          <w:color w:val="auto"/>
        </w:rPr>
        <w:t>. Subject to the compensation committee’s ability to exclude certain groups of employees on a uniform and nondiscriminatory basis,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 or affiliate of ZoomInfo Technologies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240"/>
          </w:cols>
          <w:pgMar w:left="320" w:top="331" w:right="339" w:bottom="1440" w:gutter="0" w:footer="0" w:header="0"/>
        </w:sectPr>
      </w:pPr>
    </w:p>
    <w:bookmarkStart w:id="196" w:name="page197"/>
    <w:bookmarkEnd w:id="196"/>
    <w:p>
      <w:pPr>
        <w:jc w:val="both"/>
        <w:spacing w:after="0" w:line="263" w:lineRule="auto"/>
        <w:rPr>
          <w:sz w:val="20"/>
          <w:szCs w:val="20"/>
          <w:color w:val="auto"/>
        </w:rPr>
      </w:pPr>
      <w:r>
        <w:rPr>
          <w:rFonts w:ascii="Arial" w:cs="Arial" w:eastAsia="Arial" w:hAnsi="Arial"/>
          <w:sz w:val="17"/>
          <w:szCs w:val="17"/>
          <w:color w:val="auto"/>
        </w:rPr>
        <w:t xml:space="preserve">Inc., whether now existing or existing in the future, that has been designated by the compensation committee from time to time in its sole discretion as eligible to participate in the ESPP. The compensation committee may designate subsidiaries or affiliates of ZoomInfo Technologies Inc. as designated companies in an offering that does not satisfy the requirements of Section 423 of the Code. For offerings that, when taken together with the ESPP, comply with Section 423 of the Code and the regulations thereunder, only ZoomInfo Technologies Inc. and its subsidiaries may be designated companies;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any given time, a subsidiary that is a designated company under a Section 423 Code-compliant offering will not be a designated company under an offering that does not comply with Section 423 of the Code.</w:t>
      </w:r>
    </w:p>
    <w:p>
      <w:pPr>
        <w:spacing w:after="0" w:line="129"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i w:val="1"/>
          <w:iCs w:val="1"/>
          <w:color w:val="auto"/>
        </w:rPr>
        <w:t>Contributions</w:t>
      </w:r>
      <w:r>
        <w:rPr>
          <w:rFonts w:ascii="Arial" w:cs="Arial" w:eastAsia="Arial" w:hAnsi="Arial"/>
          <w:sz w:val="16"/>
          <w:szCs w:val="16"/>
          <w:color w:val="auto"/>
        </w:rPr>
        <w:t>. A participant may acquire common stock under the ESPP by authorizing the use of contributions to purchase shares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1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i w:val="1"/>
          <w:iCs w:val="1"/>
          <w:color w:val="auto"/>
        </w:rPr>
        <w:t>Offering Periods and Purchase Price</w:t>
      </w:r>
      <w:r>
        <w:rPr>
          <w:rFonts w:ascii="Arial" w:cs="Arial" w:eastAsia="Arial" w:hAnsi="Arial"/>
          <w:sz w:val="17"/>
          <w:szCs w:val="17"/>
          <w:color w:val="auto"/>
        </w:rPr>
        <w:t>. The ESPP generally provides for two six-month offering periods, with one purchase period in each offering period.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compensation committee has the authority to change the duration of a purchase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change is announced a reasonable period of time prior to its effective date and the purchase period is not greater than 27 months.</w:t>
      </w:r>
    </w:p>
    <w:p>
      <w:pPr>
        <w:spacing w:after="0" w:line="119"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participant may purchase shares of common stock with a fair market value (as of the date of purchase right grant) in excess of $25,000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13"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(provided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2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2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Rights as Stockholder</w:t>
      </w:r>
      <w:r>
        <w:rPr>
          <w:rFonts w:ascii="Arial" w:cs="Arial" w:eastAsia="Arial" w:hAnsi="Arial"/>
          <w:sz w:val="17"/>
          <w:szCs w:val="17"/>
          <w:color w:val="auto"/>
        </w:rPr>
        <w:t>. A participant will have no rights as a stockholder with respect to our shares that the participant has a purchase right to purchase in</w:t>
      </w:r>
      <w:r>
        <w:rPr>
          <w:rFonts w:ascii="Arial" w:cs="Arial" w:eastAsia="Arial" w:hAnsi="Arial"/>
          <w:sz w:val="17"/>
          <w:szCs w:val="17"/>
          <w:i w:val="1"/>
          <w:iCs w:val="1"/>
          <w:color w:val="auto"/>
        </w:rPr>
        <w:t xml:space="preserve"> </w:t>
      </w:r>
      <w:r>
        <w:rPr>
          <w:rFonts w:ascii="Arial" w:cs="Arial" w:eastAsia="Arial" w:hAnsi="Arial"/>
          <w:sz w:val="17"/>
          <w:szCs w:val="17"/>
          <w:color w:val="auto"/>
        </w:rPr>
        <w:t>any offering until those shares are issued to the participant.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240"/>
          </w:cols>
          <w:pgMar w:left="320" w:top="337" w:right="339" w:bottom="1440" w:gutter="0" w:footer="0" w:header="0"/>
        </w:sectPr>
      </w:pPr>
    </w:p>
    <w:bookmarkStart w:id="197" w:name="page198"/>
    <w:bookmarkEnd w:id="197"/>
    <w:p>
      <w:pPr>
        <w:jc w:val="both"/>
        <w:ind w:firstLine="314"/>
        <w:spacing w:after="0" w:line="289" w:lineRule="auto"/>
        <w:rPr>
          <w:sz w:val="20"/>
          <w:szCs w:val="20"/>
          <w:color w:val="auto"/>
        </w:rPr>
      </w:pPr>
      <w:r>
        <w:rPr>
          <w:rFonts w:ascii="Arial" w:cs="Arial" w:eastAsia="Arial" w:hAnsi="Arial"/>
          <w:sz w:val="17"/>
          <w:szCs w:val="17"/>
          <w:i w:val="1"/>
          <w:iCs w:val="1"/>
          <w:color w:val="auto"/>
        </w:rPr>
        <w:t>Rights Not Transferable</w:t>
      </w:r>
      <w:r>
        <w:rPr>
          <w:rFonts w:ascii="Arial" w:cs="Arial" w:eastAsia="Arial" w:hAnsi="Arial"/>
          <w:sz w:val="17"/>
          <w:szCs w:val="17"/>
          <w:color w:val="auto"/>
        </w:rPr>
        <w:t>. A participant’s rights under the ESPP will be exercisable only by the participant and are not transferable other than by will or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descent or distribution.</w:t>
      </w:r>
    </w:p>
    <w:p>
      <w:pPr>
        <w:spacing w:after="0" w:line="106"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i w:val="1"/>
          <w:iCs w:val="1"/>
          <w:color w:val="auto"/>
        </w:rPr>
        <w:t>Effect of a Change in Control; Adjustments</w:t>
      </w:r>
      <w:r>
        <w:rPr>
          <w:rFonts w:ascii="Arial" w:cs="Arial" w:eastAsia="Arial" w:hAnsi="Arial"/>
          <w:sz w:val="16"/>
          <w:szCs w:val="16"/>
          <w:color w:val="auto"/>
        </w:rPr>
        <w:t>. If there is any change in the outstanding shares of our common stock because of a merger, change in control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2020 Plan), consolidation, recapitalization or reorganization involving ZoomInfo Technologies Inc., or if our board of directors declares a stock dividend, stock split distributable in shares of common stock or reverse stock split, other distribution or combination or reclassification of our common stock, or if there is a similar change in the capital stock structure of ZoomInfo Technologies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117" w:lineRule="exact"/>
        <w:rPr>
          <w:sz w:val="20"/>
          <w:szCs w:val="20"/>
          <w:color w:val="auto"/>
        </w:rPr>
      </w:pPr>
    </w:p>
    <w:p>
      <w:pPr>
        <w:ind w:left="640" w:hanging="321"/>
        <w:spacing w:after="0"/>
        <w:tabs>
          <w:tab w:leader="none" w:pos="6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assumption or substitution of purchase rights by a successor entity (or parent or subsidiary of such successor);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selection of a date on which all outstanding purchase rights will be exercised on or before the consummation date of the change in control;</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termination of outstanding purchase rights and refund of accumulated contributions to each participant prior to the change in control; or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continuation of outstanding purchase rights unchanged.</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ESPP may be amended, altered, suspended and/or terminated at any time by our board of directors;</w:t>
      </w:r>
      <w:r>
        <w:rPr>
          <w:rFonts w:ascii="Arial" w:cs="Arial" w:eastAsia="Arial" w:hAnsi="Arial"/>
          <w:sz w:val="17"/>
          <w:szCs w:val="17"/>
          <w:i w:val="1"/>
          <w:iCs w:val="1"/>
          <w:color w:val="auto"/>
        </w:rPr>
        <w:t xml:space="preserve"> provided</w:t>
      </w:r>
      <w:r>
        <w:rPr>
          <w:rFonts w:ascii="Arial" w:cs="Arial" w:eastAsia="Arial" w:hAnsi="Arial"/>
          <w:sz w:val="17"/>
          <w:szCs w:val="17"/>
          <w:color w:val="auto"/>
        </w:rPr>
        <w:t>, that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of Class P Units</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In connection with the Reclassification, all vested and unvested Class P Units (other than Class P Units held by Continuing Class P Unitholders) were converted into vested and unvested Employee Units. “Employee Units” refers to the portion of HoldCo Units into which certain Class P Units (including, without limitation, certain indirectly held Class P Units) were converted in the Reorganization Transactions. The number of Employee Units delivered in respect of each Class P Unit was determined based the amount of proceeds that would be distributed to such Class P Unit if the company were to be sold at a value derived from the initial public offering price, and the intrinsic value of the Employee Units issued in respect of each Class P Unit will have an intrinsic value equal to the hypothetical proceeds such Class P Unit would have received. Vested Class P Units were generally converted into fully vested Employee Units and unvested Class P Units were generally converted into unvested Employee Units, which will be subject to vesting terms (as described below) that are substantially similar to those applicable to the unvested Class P Units immediately prior to the Reclassification, as described above. The precise number of Employee Units delivered in respect of Class P Units was based on the initial public offering price and the aggregate number of vested and unvested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240"/>
          </w:cols>
          <w:pgMar w:left="320" w:top="336" w:right="339" w:bottom="1440" w:gutter="0" w:footer="0" w:header="0"/>
        </w:sectPr>
      </w:pPr>
    </w:p>
    <w:bookmarkStart w:id="198" w:name="page199"/>
    <w:bookmarkEnd w:id="198"/>
    <w:p>
      <w:pPr>
        <w:jc w:val="both"/>
        <w:spacing w:after="0" w:line="263" w:lineRule="auto"/>
        <w:rPr>
          <w:sz w:val="20"/>
          <w:szCs w:val="20"/>
          <w:color w:val="auto"/>
        </w:rPr>
      </w:pPr>
      <w:r>
        <w:rPr>
          <w:rFonts w:ascii="Arial" w:cs="Arial" w:eastAsia="Arial" w:hAnsi="Arial"/>
          <w:sz w:val="17"/>
          <w:szCs w:val="17"/>
          <w:color w:val="auto"/>
        </w:rPr>
        <w:t>Employee Units issued to holders of Class P Units was 1,329,950. The total number of unvested Employee Units issued was 1,294,883, or approximately 97.4% of the total of 1,329,950 Employee Units issued and outstanding following this offering and the consummation of the transactions contemplated by the Reclassification. The vesting conditions applicable to these unvested Employee Units were generally as follows: 50% of the units will be eligible to vest on the two-year anniversary of the designated vesting commencement date, and the remaining 50% of the units will be eligible to vest in equal monthly installments during the 24 months following the two-year anniversary of the vesting commencement date, subject to the applicable executive’s continued service through each applicable vesting date.</w:t>
      </w:r>
    </w:p>
    <w:p>
      <w:pPr>
        <w:spacing w:after="0" w:line="12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connection with the Reclassification, we granted options to purchase shares of Class A common stock under the 2020 Plan to all holders of Class P Units whose interests are converted in the Reclassification, in substitution for part of the economic benefit of the Class P Units that is not reflected in the conversion of Class P Units to Employee Units. We refer to these stock options as “leverage restoration options.” The leverage restoration options will have an exercise price per share that is equal to or higher than the initial public offering price per share and will vest according to the same vesting schedule as the corresponding Class P Units in respect of which they are being granted. The precise number of leverage restoration options we granted in respect of each Class P Unit was based on the initial public offering price. The aggregate number of leverage restoration options granted to holders of Class P Units whose interests are converted into Employee Units in the Reclassification was 577,879.</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None of our directors received compensation for their service on the board of directors for 2018 or 2019. However, all directors are reimbursed for their reasonable out-of-pocket expenses related to their board service.</w:t>
      </w:r>
    </w:p>
    <w:p>
      <w:pPr>
        <w:spacing w:after="0" w:line="10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For 2020, each of our outside directors (Messrs. Dhruv, Enright, and Mader) will be entitled to receive $50,000 annually as a cash retainer for their board service, with additional annual cash retainers of (i) $20,000 for Mr. Dhruv for his service as a member and the chair of the audit committee and (ii) $10,000 for Mr. Mader for his service as a member of the audit committee. Additionally, each of the outside directors will receive sign-on equity grants of restricted stock units to be awarded and valued upon the completion of the initial public offering with the following values, and with each such initial grant to vest in three equal installments on each of the three succeeding anniversaries of the date on which the applicable director commenced serving on our board of directors: (i) in the case of Mr. Dhruv, a $200,000 restricted stock unit award; (ii) in the case of Mr. Enright, a $100,000 restricted stock unit award; and (iii) in the case of Mr. Mader, a $100,000 restricted stock unit award. Upon the completion of the initial public offering, and for each year thereafter, each director will also receive an annual restricted stock unit grant with a value of $200,000, with each such annual grant to vest in full on the earlier of (x) the first anniversary of the vesting commencement date and (y) the date of the Company’s first regular annual meeting of stockholders held after the grant date.</w:t>
      </w:r>
    </w:p>
    <w:p>
      <w:pPr>
        <w:spacing w:after="0" w:line="118" w:lineRule="exact"/>
        <w:rPr>
          <w:sz w:val="20"/>
          <w:szCs w:val="20"/>
          <w:color w:val="auto"/>
        </w:rPr>
      </w:pPr>
    </w:p>
    <w:p>
      <w:pPr>
        <w:ind w:right="1340" w:firstLine="314"/>
        <w:spacing w:after="0" w:line="450" w:lineRule="auto"/>
        <w:rPr>
          <w:sz w:val="20"/>
          <w:szCs w:val="20"/>
          <w:color w:val="auto"/>
        </w:rPr>
      </w:pPr>
      <w:r>
        <w:rPr>
          <w:rFonts w:ascii="Arial" w:cs="Arial" w:eastAsia="Arial" w:hAnsi="Arial"/>
          <w:sz w:val="17"/>
          <w:szCs w:val="17"/>
          <w:color w:val="auto"/>
        </w:rPr>
        <w:t xml:space="preserve">Additionally, all of our directors will continue to be reimbursed for their reasonable out-of-pocket expenses related to their board service. </w:t>
      </w:r>
      <w:r>
        <w:rPr>
          <w:rFonts w:ascii="Arial" w:cs="Arial" w:eastAsia="Arial" w:hAnsi="Arial"/>
          <w:sz w:val="17"/>
          <w:szCs w:val="17"/>
          <w:b w:val="1"/>
          <w:bCs w:val="1"/>
          <w:color w:val="auto"/>
        </w:rPr>
        <w:t>IPO Employee Equity Grants</w:t>
      </w:r>
    </w:p>
    <w:p>
      <w:pPr>
        <w:jc w:val="both"/>
        <w:ind w:firstLine="314"/>
        <w:spacing w:after="0" w:line="263" w:lineRule="auto"/>
        <w:rPr>
          <w:sz w:val="20"/>
          <w:szCs w:val="20"/>
          <w:color w:val="auto"/>
        </w:rPr>
      </w:pPr>
      <w:r>
        <w:rPr>
          <w:rFonts w:ascii="Arial" w:cs="Arial" w:eastAsia="Arial" w:hAnsi="Arial"/>
          <w:sz w:val="17"/>
          <w:szCs w:val="17"/>
          <w:color w:val="auto"/>
        </w:rPr>
        <w:t>In connection with this offering, and in order to incentivize future employee performance and retention, we made grants to certain employees of Class P Units in ZoomInfo OpCo, LTIP Units in ZoomInfo OpCo, and additional grants of restricted stock units covering shares of Class A common stock under the Omnibus Incentive Plan (not including the leverage restoration option grants described under “Conversion of Class P Units” above). 630,000 Class P Units with a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strike price) equal to our offering price, 47,620 LTIP Units and 513,440 restricted stock units are expected to be granted to employees at the time of this offering. Such Class P Units, LTIP Units and restricted stock units are generally expected to vest in varying installments over three to four and a half years.</w:t>
      </w:r>
    </w:p>
    <w:p>
      <w:pPr>
        <w:spacing w:after="0" w:line="12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Class P Unit and LTIP Unit grants to our named executive officers in connection with this offering were made in the following amounts and with the following vesting terms: (i) Mr. Schuck received 450,000 Class P Units vesting in three equal installments on each of the second, third and fourth anniversaries of the grant date; (ii) Mr. Hyzer received 90,000 Class P Units vesting in three equal installments on the dates that are two and a half, three and a half, and four and a half years following the grant date; and (iii) Mr. Hays received 90,000 Class P Units and 47,620 LTIP Units, each vesting in three equal installments on the dates that are two and a half, three and a half, and four and a half years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240"/>
          </w:cols>
          <w:pgMar w:left="320" w:top="337" w:right="339" w:bottom="1440" w:gutter="0" w:footer="0" w:header="0"/>
        </w:sectPr>
      </w:pPr>
    </w:p>
    <w:bookmarkStart w:id="199" w:name="page200"/>
    <w:bookmarkEnd w:id="199"/>
    <w:p>
      <w:pPr>
        <w:jc w:val="both"/>
        <w:spacing w:after="0" w:line="289" w:lineRule="auto"/>
        <w:rPr>
          <w:sz w:val="20"/>
          <w:szCs w:val="20"/>
          <w:color w:val="auto"/>
        </w:rPr>
      </w:pPr>
      <w:r>
        <w:rPr>
          <w:rFonts w:ascii="Arial" w:cs="Arial" w:eastAsia="Arial" w:hAnsi="Arial"/>
          <w:sz w:val="17"/>
          <w:szCs w:val="17"/>
          <w:color w:val="auto"/>
        </w:rPr>
        <w:t>following the grant date. Each of the Class P Unit agreements for named executive officers provides for a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strike price) equal to our offering price.</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employee Class P Unit, LTIP Unit and restricted stock unit awards described above are subject to “double triggered” vesting protection, such that vesting will accelerate in the event of a termination without “cause” or a termination for “good reason,” in each case, occurring within 12 months following a change in control. Additionally, Mr. Schuck’s Class P Unit award is subject to potential accelerated vesting upon certain additional employment termination events pursuant to the terms of his employment agreement,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240"/>
          </w:cols>
          <w:pgMar w:left="320" w:top="337"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connection with this offering, we intend to enter into a stockholders agreement with certain affiliates of TA Associates, Carlyle, and our Founders (the “parties to our stockholders agreement”) granting them certain board designation rights so long as they maintain a certain percentage of ownership of our outstanding common stock.</w:t>
      </w:r>
    </w:p>
    <w:p>
      <w:pPr>
        <w:spacing w:after="0" w:line="119" w:lineRule="exact"/>
        <w:rPr>
          <w:sz w:val="20"/>
          <w:szCs w:val="20"/>
          <w:color w:val="auto"/>
        </w:rPr>
      </w:pPr>
    </w:p>
    <w:p>
      <w:pPr>
        <w:jc w:val="both"/>
        <w:ind w:firstLine="314"/>
        <w:spacing w:after="0" w:line="275" w:lineRule="auto"/>
        <w:rPr>
          <w:sz w:val="20"/>
          <w:szCs w:val="20"/>
          <w:color w:val="auto"/>
        </w:rPr>
      </w:pPr>
      <w:r>
        <w:rPr>
          <w:rFonts w:ascii="Arial" w:cs="Arial" w:eastAsia="Arial" w:hAnsi="Arial"/>
          <w:sz w:val="16"/>
          <w:szCs w:val="16"/>
          <w:color w:val="auto"/>
        </w:rPr>
        <w:t>This stockholders agreement will require us to, among other things, nominate a number of individuals for election as our directors at any meeting of our stockholders, designated by TA Associates (each such individual a “TA Designee”), Carlyle (each such individual a “Carlyle Designee”), and the Founders (each such individual a “Founder Designee,” and together with the TA Designee and the Carlyle Designee, the “Stockholder Designees”), such that, upon the election of such individual and each other individual nominated by or at the direction of our board of directors or a duly-authorized committee of the board, as a director of our company, the number of: (A) TA Designees serving as directors of our company will be equal to (i) two (2) directors, if TA Associates continues to beneficially own at least 15% of the combined voting power of all classes of voting shares, voting together as a single class, as of the record date for the stockholders’ meeting or (ii) one (1) director, if TA Associates continues to own less than 15% but more than 5% of the combined voting power of all classes of voting shares, voting together as a single class, as of the record date for the stockholders’ meeting; (B) Carlyle Designees serving as directors of our company will be equal to (i) two (2) directors, if Carlyle continues to beneficially own at least 15% of the combined voting power of all classes of voting shares, voting together as a single class, as of the record date for the stockholders’ meeting or (ii) one (1) director, if Carlyle continues to own less than 15% but more than 5% of the combined voting power of all classes of voting shares, voting together as a single class, as of the record date for the stockholders’ meeting; and (C) Founder Designees serving as directors of our company will be equal to one (1) director for so long as the Founders collectively beneficially own at least 5% of the combined voting power of all classes of voting shares, voting together as a single class, as of the record date for the stockholders’ meeting. The authorized number of directors will not increase above nine (or seven or eight in the event one or both of TA Associates and Carlyle loses its right to designate one director) without the consent of TA Associates or Carlyle so long as TA Associates or Carlyle, as applicable, has the right to designate at least one director pursuant to the stockholders agreement. If the number of individuals that TA Associates or Carlyle has the right to designate is decreased because of the decrease in its combined voting power, then the corresponding number of such TA Designee or Carlyle Designee will immediately tender his or her resignation for consideration by the board and the total number of directors shall be accordingly decreased; provided that the last remaining TA Designee or Carlyle Designee will resign from the board at the end of his or her then current term. For so long as the stockholders agreement remains in effect and subject to the amended and restated certificate of incorporation, each of the Stockholder Designees may be removed and vacancies filled (subject to the nominating and corporate governance committee determining such designated persons are qualified) only with the consent of the respective Stockholder Designee that designated such individual. Each of TA Associates and Carlyle will have the right to designate certain members of the committees of our board of directors so long as it has the right to designate at least one director pursuant to the stockholders agreement, subject to applicable law and any applicable independent requirements of the Nasdaq.</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In connection with this offering, we intend to enter into a registration rights agreement with certain affiliates of TA Associates, Carlyle, 22C Capital, and the Founders pursuant to which we will grant them and their affiliates the right, under certain circumstances and subject to certain restrictions, to require us to register under the Securities Act shares of Class A common stock. Pursuant to the registration rights agreement, affiliates of TA Associates, Carlyle, and 22C Capital that are party to the registration rights agreement will be entitled to certain demand registration rights, which require us to register shares of our Class A common stock under the Securities Act held by participating holders and, if requested, to maintain a shelf registration statement effective with respect to such shares. In addition, if we propose to register the offer and sale of our Class A common stock under the Securities Act following the consummation of this offering, in connection with the public offering of such Class A common stock, the parties to the registration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240"/>
          </w:cols>
          <w:pgMar w:left="320" w:top="331" w:right="339" w:bottom="1440" w:gutter="0" w:footer="0" w:header="0"/>
        </w:sectPr>
      </w:pPr>
    </w:p>
    <w:bookmarkStart w:id="201" w:name="page202"/>
    <w:bookmarkEnd w:id="201"/>
    <w:p>
      <w:pPr>
        <w:jc w:val="both"/>
        <w:spacing w:after="0" w:line="263" w:lineRule="auto"/>
        <w:rPr>
          <w:sz w:val="20"/>
          <w:szCs w:val="20"/>
          <w:color w:val="auto"/>
        </w:rPr>
      </w:pPr>
      <w:r>
        <w:rPr>
          <w:rFonts w:ascii="Arial" w:cs="Arial" w:eastAsia="Arial" w:hAnsi="Arial"/>
          <w:sz w:val="17"/>
          <w:szCs w:val="17"/>
          <w:color w:val="auto"/>
        </w:rPr>
        <w:t>rights agreement will be entitled to certain “piggyback” registration rights allowing the holders to include their shares in such registration, subject to certain marketing and other limitations. At any time that a registration statement on Form S-3 is effective, subject to certain limitations, affiliates of TA Associates, Carlyle, and 22C Capital party to the registration rights agreement may make a written request that we register the offer and sale of their shares on such registration statement on Form S-3. Certain affiliates of 22C Capital will also have participation rights to participate in any sale by affiliates of Carlyle under certain circumstances. The registration rights agreement will also provide that we will pay certain expenses relating to such registrations and indemnify certain parties against certain liabilities which may arise under the Securities Act.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177" w:lineRule="exact"/>
        <w:rPr>
          <w:sz w:val="20"/>
          <w:szCs w:val="20"/>
          <w:color w:val="auto"/>
        </w:rPr>
      </w:pPr>
    </w:p>
    <w:p>
      <w:pPr>
        <w:jc w:val="both"/>
        <w:ind w:firstLine="314"/>
        <w:spacing w:after="0" w:line="274" w:lineRule="auto"/>
        <w:rPr>
          <w:sz w:val="20"/>
          <w:szCs w:val="20"/>
          <w:color w:val="auto"/>
        </w:rPr>
      </w:pPr>
      <w:r>
        <w:rPr>
          <w:rFonts w:ascii="Arial" w:cs="Arial" w:eastAsia="Arial" w:hAnsi="Arial"/>
          <w:sz w:val="16"/>
          <w:szCs w:val="16"/>
          <w:color w:val="auto"/>
        </w:rPr>
        <w:t>ZoomInfo Technologies Inc. will enter into two tax receivable agreements. ZoomInfo Technologies Inc. will enter into (i) the Exchange Tax Receivable Agreement with certain of our Pre-IPO OpCo Unitholders and (ii) the Reorganization Tax Receivable Agreement with the Pre-IPO Blocker Holders. These tax receivable agreements will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will provide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this offering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this offering, and certain other tax benefits, including tax benefits attributable to payments under the Exchange Tax Receivable Agreement. The Reorganization Tax Receivable Agreement will provide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this offering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actual and hypothetical tax liabilities determined in the tax receivable agreements will be calculated using the actual U.S. federal income tax rate in effect for the applicable period and an assumed, weighted-average state and local income tax rate based on apportionment factors for the applicable period (along with the use of certain other assumptions).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(as described in more detail below), (ii) ZoomInfo Technologies Inc. breaches any of its material obligations under one or both tax receivable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240"/>
          </w:cols>
          <w:pgMar w:left="320" w:top="337" w:right="339" w:bottom="1440" w:gutter="0" w:footer="0" w:header="0"/>
        </w:sectPr>
      </w:pPr>
    </w:p>
    <w:bookmarkStart w:id="202" w:name="page203"/>
    <w:bookmarkEnd w:id="202"/>
    <w:p>
      <w:pPr>
        <w:jc w:val="both"/>
        <w:spacing w:after="0" w:line="281" w:lineRule="auto"/>
        <w:rPr>
          <w:sz w:val="20"/>
          <w:szCs w:val="20"/>
          <w:color w:val="auto"/>
        </w:rPr>
      </w:pPr>
      <w:r>
        <w:rPr>
          <w:rFonts w:ascii="Arial" w:cs="Arial" w:eastAsia="Arial" w:hAnsi="Arial"/>
          <w:sz w:val="16"/>
          <w:szCs w:val="16"/>
          <w:color w:val="auto"/>
        </w:rPr>
        <w:t>agreements in which case all obligations (including any 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increase in the ZoomInfo Tax Group’s allocable share of existing tax basis and the anticipated tax basis adjustments upon the exchange of OpCo Units for shares of Class A common stock, as well as the amount and timing of any payments under the tax receivable agreements, will vary depending upon a number of factors, including:</w:t>
      </w:r>
    </w:p>
    <w:p>
      <w:pPr>
        <w:spacing w:after="0" w:line="116" w:lineRule="exact"/>
        <w:rPr>
          <w:sz w:val="20"/>
          <w:szCs w:val="20"/>
          <w:color w:val="auto"/>
        </w:rPr>
      </w:pPr>
    </w:p>
    <w:p>
      <w:pPr>
        <w:jc w:val="both"/>
        <w:ind w:left="640" w:hanging="321"/>
        <w:spacing w:after="0" w:line="267" w:lineRule="auto"/>
        <w:tabs>
          <w:tab w:leader="none" w:pos="6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timing of exchanges—for instance, the increase in any tax deductions will vary depending on the fair market value, which may fluctuate over time, of the depreciable or amortizable assets of ZoomInfo OpCo at the time of each exchange. In addition, the increase in the ZoomInfo Tax Group’s allocable share of existing tax basis acquired upon the future exchange of OpCo Units for shares of Class A common stock will vary depending on the amount of remaining existing tax basis at the time of such exchange;</w:t>
      </w:r>
    </w:p>
    <w:p>
      <w:pPr>
        <w:spacing w:after="0" w:line="125" w:lineRule="exact"/>
        <w:rPr>
          <w:rFonts w:ascii="Arial" w:cs="Arial" w:eastAsia="Arial" w:hAnsi="Arial"/>
          <w:sz w:val="17"/>
          <w:szCs w:val="17"/>
          <w:color w:val="auto"/>
        </w:rPr>
      </w:pPr>
    </w:p>
    <w:p>
      <w:pPr>
        <w:ind w:left="640" w:hanging="321"/>
        <w:spacing w:after="0" w:line="322" w:lineRule="auto"/>
        <w:tabs>
          <w:tab w:leader="none" w:pos="6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price of shares of our Class A common stock at the time of the exchange—the increase in any tax deductions, as well as the tax basis increase in other assets, of ZoomInfo OpCo, is directly proportional to the price of shares of our Class A common stock at the time of the exchange;</w:t>
      </w:r>
    </w:p>
    <w:p>
      <w:pPr>
        <w:spacing w:after="0" w:line="82" w:lineRule="exact"/>
        <w:rPr>
          <w:rFonts w:ascii="Arial" w:cs="Arial" w:eastAsia="Arial" w:hAnsi="Arial"/>
          <w:sz w:val="16"/>
          <w:szCs w:val="16"/>
          <w:color w:val="auto"/>
        </w:rPr>
      </w:pPr>
    </w:p>
    <w:p>
      <w:pPr>
        <w:ind w:left="640" w:hanging="321"/>
        <w:spacing w:after="0"/>
        <w:tabs>
          <w:tab w:leader="none" w:pos="6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extent to which such exchanges are taxable—if an exchange is not taxable for any reason, increased deductions will not be available;</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amount of tax attributes—the amount of applicable tax attributes of the Blocker Companies at the time of the merger or contribution transaction will impact the amount and timing of payments under the tax receivable agreements; and</w:t>
      </w:r>
    </w:p>
    <w:p>
      <w:pPr>
        <w:spacing w:after="0" w:line="105" w:lineRule="exact"/>
        <w:rPr>
          <w:rFonts w:ascii="Arial" w:cs="Arial" w:eastAsia="Arial" w:hAnsi="Arial"/>
          <w:sz w:val="17"/>
          <w:szCs w:val="17"/>
          <w:color w:val="auto"/>
        </w:rPr>
      </w:pPr>
    </w:p>
    <w:p>
      <w:pPr>
        <w:jc w:val="both"/>
        <w:ind w:left="640" w:hanging="321"/>
        <w:spacing w:after="0" w:line="263" w:lineRule="auto"/>
        <w:tabs>
          <w:tab w:leader="none" w:pos="6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amount and timing of our income—ZoomInfo Technologies Inc. is obligated to pay 85% of the cash tax benefits under the tax receivable agreements as and when realized. If the ZoomInfo Tax Group does not have taxable income, ZoomInfo Technologies Inc. is not required (absent a change of control or circumstances requiring an early termination payment) to make payments under the tax receivable agreements for a taxable year in which it does not have taxable income because no cash tax benefits will have been realized. However, any tax attributes that do not result in realized benefits in a given tax year may be utilized to generate benefits in previous or future tax years. The utilization of such tax attributes will result in cash tax benefits that will result in payments under the tax receivable agreements.</w:t>
      </w:r>
    </w:p>
    <w:p>
      <w:pPr>
        <w:spacing w:after="0" w:line="12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Although the amount of ZoomInfo Technologies Inc.’s allocable share of existing tax basis acquired in this offering with respect to which our pre-IPO owners will be entitled to receive payments under the tax receivable agreements has been determined to be approximately $247.5 million, the timing and amount of any related payments under the tax receivable agreements is uncertain since both will be dependent on the amount and timing of the ZoomInfo Tax Group’s income and other tax attributes.</w:t>
      </w:r>
    </w:p>
    <w:p>
      <w:pPr>
        <w:spacing w:after="0" w:line="126"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expect that as a result of the size of the ZoomInfo Tax Group’s allocable share of existing tax basis acquired in this offering (including such existing tax basis acquired from the Blocker Companies pursuant to the Blocker Mergers),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we may make under the tax receivable agreements will be substantial. We estimate the amount of existing tax basis with respect to which our pre-IPO owners will be entitled to receive payments under the tax receivable agreements (assuming all Pre-IPO OpCo Unitholders excluding the Blocker Companies exchange their OpCo Units (together with a corresponding number of shares of Class B common stock) for shares of Class A common stock on the date of this offering) is approximately $352.2 million. There may be a material negative effect on our liquidity if, as a result of timing discrepancies or otherwise, the payments under the tax receivable agreements exceed the actual cash tax benefits that the ZoomInfo Tax Group realizes in respect of the tax attributes subject to the tax receivable agreements and/or distributions to the ZoomInfo Tax Group by ZoomInfo OpCo are not sufficient to permit ZoomInfo Technologies Inc. to make payments under the tax receivable agreements after it has paid taxes. Certain late payments under the tax receivable agreements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240"/>
          </w:cols>
          <w:pgMar w:left="320" w:top="337" w:right="339" w:bottom="1440" w:gutter="0" w:footer="0" w:header="0"/>
        </w:sectPr>
      </w:pPr>
    </w:p>
    <w:bookmarkStart w:id="203" w:name="page204"/>
    <w:bookmarkEnd w:id="203"/>
    <w:p>
      <w:pPr>
        <w:jc w:val="both"/>
        <w:spacing w:after="0" w:line="289" w:lineRule="auto"/>
        <w:rPr>
          <w:sz w:val="20"/>
          <w:szCs w:val="20"/>
          <w:color w:val="auto"/>
        </w:rPr>
      </w:pPr>
      <w:r>
        <w:rPr>
          <w:rFonts w:ascii="Arial" w:cs="Arial" w:eastAsia="Arial" w:hAnsi="Arial"/>
          <w:sz w:val="17"/>
          <w:szCs w:val="17"/>
          <w:color w:val="auto"/>
        </w:rPr>
        <w:t>generally will accrue interest at an uncapped rate equal to one year LIBOR (or its successor rate) plus 500 basis points. The payments under the tax receivable agreements are not conditioned upon continued ownership of us by the exchanging holders of OpCo Units.</w:t>
      </w:r>
    </w:p>
    <w:p>
      <w:pPr>
        <w:spacing w:after="0" w:line="10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In addition, the tax receivable agreements provide that upon certain changes of control, ZoomInfo Technologies Inc.’s (or its successor’s) obligations with respect to exchanged or acquired OpCo Units (whether exchanged or acquired before or after such transaction or all relevant tax attributes allocable to the ZoomInfo Tax Group at the time of a change of control), would be accelerated and the amounts payable would be based on certain assumptions, including whether the ZoomInfo Tax Group would have sufficient taxable income to fully utilize the deductions arising from the increased tax deductions and tax basis and other benefits related to entering into the tax receivable agreements. With respect to previously exchanged or acquired OpCo Units or all relevant tax attributes allocable to the ZoomInfo Tax Group at the time of a change of control, we would be required to make a payment equal to the present value (at a discount rate equal to the lesser of (i) 6.5% per annum and (ii) one year LIBOR, or its successor rate, plus 100 basis points) of the anticipated future tax benefits determined using assumptions (ii) through (v) of the following paragraph.</w:t>
      </w:r>
    </w:p>
    <w:p>
      <w:pPr>
        <w:spacing w:after="0" w:line="133" w:lineRule="exact"/>
        <w:rPr>
          <w:sz w:val="20"/>
          <w:szCs w:val="20"/>
          <w:color w:val="auto"/>
        </w:rPr>
      </w:pPr>
    </w:p>
    <w:p>
      <w:pPr>
        <w:jc w:val="both"/>
        <w:ind w:firstLine="314"/>
        <w:spacing w:after="0" w:line="293" w:lineRule="auto"/>
        <w:rPr>
          <w:sz w:val="20"/>
          <w:szCs w:val="20"/>
          <w:color w:val="auto"/>
        </w:rPr>
      </w:pPr>
      <w:r>
        <w:rPr>
          <w:rFonts w:ascii="Arial" w:cs="Arial" w:eastAsia="Arial" w:hAnsi="Arial"/>
          <w:sz w:val="15"/>
          <w:szCs w:val="15"/>
          <w:color w:val="auto"/>
        </w:rPr>
        <w:t>Furthermore, ZoomInfo Technologies Inc. may elect to terminate the tax receivable agreements early by making an immediate payment equal to the present value of the anticipated future cash tax benefits with respect to all OpCo Units. In determining such anticipated future cash tax benefits, the tax receivable agreements include several assumptions, including that (i) any OpCo Units that have not been exchanged are deemed exchanged for the market value of the shares of Class A common stock at the time of termination, (ii) the ZoomInfo Tax Group will have sufficient taxable income in each future taxable year to fully realize all potential tax benefits, (iii) the ZoomInfo Tax Group will have sufficient taxable income to fully utilize any remaining net operating losses subject to the tax receivable agreements on a straight line basis over the shorter of the statutory expiration period for such net operating losses or the five-year period after the early termination or change in control, (iv) the tax rates for future years will be those specified in the law as in effect at the time of termination, and</w:t>
      </w:r>
    </w:p>
    <w:p>
      <w:pPr>
        <w:spacing w:after="0" w:line="5" w:lineRule="exact"/>
        <w:rPr>
          <w:sz w:val="20"/>
          <w:szCs w:val="20"/>
          <w:color w:val="auto"/>
        </w:rPr>
      </w:pPr>
    </w:p>
    <w:p>
      <w:pPr>
        <w:jc w:val="both"/>
        <w:ind w:firstLine="5"/>
        <w:spacing w:after="0" w:line="261" w:lineRule="auto"/>
        <w:tabs>
          <w:tab w:leader="none" w:pos="273" w:val="left"/>
        </w:tabs>
        <w:numPr>
          <w:ilvl w:val="0"/>
          <w:numId w:val="145"/>
        </w:numPr>
        <w:rPr>
          <w:rFonts w:ascii="Arial" w:cs="Arial" w:eastAsia="Arial" w:hAnsi="Arial"/>
          <w:sz w:val="17"/>
          <w:szCs w:val="17"/>
          <w:color w:val="auto"/>
        </w:rPr>
      </w:pPr>
      <w:r>
        <w:rPr>
          <w:rFonts w:ascii="Arial" w:cs="Arial" w:eastAsia="Arial" w:hAnsi="Arial"/>
          <w:sz w:val="17"/>
          <w:szCs w:val="17"/>
          <w:color w:val="auto"/>
        </w:rPr>
        <w:t>certain non-amortizable assets are deemed disposed of within specified time periods. In addition, the present value of such anticipated future cash tax benefits are discounted at a rate equal to the lesser of (i) 6.5% per annum and (ii) one year LIBOR, or its successor rate, plus 100 basis points. Assuming that the market value of a share of Class A common stock were to be equal to the initial public offering price per share of Class A common stock in this offering and that LIBOR were to be 1.4%, we estimate that the aggregate amount of these termination payments would be approximately $1,064.0 million if ZoomInfo Technologies Inc. were to exercise its termination right immediately following this offering.</w:t>
      </w:r>
    </w:p>
    <w:p>
      <w:pPr>
        <w:spacing w:after="0" w:line="130"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As a result of the change of control provisions and the early termination right, ZoomInfo Technologies Inc. could be required to make payments under the tax receivable agreements that are greater than or less than the specified percentage of the actual cash tax benefits that the ZoomInfo Tax Group realizes in respect of the tax attributes subject to the tax receivable agreements (although any such overpayment would be taken into account in calculating future payments, if any, under the tax receivable agreements) or that are prior to the actual realization, if any, of such future tax benefits. Also, the obligations of ZoomInfo Technologies Inc. would be automatically accelerated and be immediately due and payable in the event that ZoomInfo Technologies Inc. breaches any of its material obligations under the agreement and in certain events of bankruptcy or liquidation. In these situations, our obligations under the tax receivable agreements could have a substantial negative impact on our liquidity.</w:t>
      </w:r>
    </w:p>
    <w:p>
      <w:pPr>
        <w:spacing w:after="0" w:line="130"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Decisions made by our pre-IPO owners in the course of running our business may influence the timing and amount of payments that are received by an existing owner exchanging OpCo Units under the tax receivable agreements. For example, the earlier disposition of assets following an exchange or acquisition transaction generally will accelerate payments under the tax receivable agreements and increase the present value of such payments, and the disposition of assets before an exchange will increase an existing owner’s tax liability without giving rise to any rights of an existing owner to receive payments under the tax receivable agreements.</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Payments under the tax receivable agreements will be based on the tax reporting positions that we will determine. ZoomInfo Technologies Inc. will not be reimbursed for any payments previously made under the tax receivable agreements if the ZoomInfo Tax Group’s allocable share of existing tax basis acquired in this offering and increased upon the exchange of OpCo Units for shares of Class A common stock, the anticipated tax basis adjustments or our utilization of tax attributes are successfully challenged by the IRS, although such amounts may reduce our future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1240"/>
          </w:cols>
          <w:pgMar w:left="320" w:top="337" w:right="339" w:bottom="1440" w:gutter="0" w:footer="0" w:header="0"/>
        </w:sectPr>
      </w:pPr>
    </w:p>
    <w:bookmarkStart w:id="204" w:name="page205"/>
    <w:bookmarkEnd w:id="204"/>
    <w:p>
      <w:pPr>
        <w:jc w:val="both"/>
        <w:spacing w:after="0" w:line="289" w:lineRule="auto"/>
        <w:rPr>
          <w:sz w:val="20"/>
          <w:szCs w:val="20"/>
          <w:color w:val="auto"/>
        </w:rPr>
      </w:pPr>
      <w:r>
        <w:rPr>
          <w:rFonts w:ascii="Arial" w:cs="Arial" w:eastAsia="Arial" w:hAnsi="Arial"/>
          <w:sz w:val="17"/>
          <w:szCs w:val="17"/>
          <w:color w:val="auto"/>
        </w:rPr>
        <w:t>obligations, if any, under the tax receivable agreements. As a result, in certain circumstances, payments could be made under the tax receivable agreements in excess of the ZoomInfo Tax Group’s cash tax benefits.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OpCo Amended and Restated Limited Liability Company Agreement</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a result of the Reorganization Transactions and the Offering Transactions, ZoomInfo Technologies Inc. will hold HoldCo Units in ZoomInfo HoldCo and will have control over ZoomInfo HoldCo, and ZoomInfo HoldCo will hold OpCo Units in ZoomInfo OpCo and will be the sole managing member of ZoomInfo OpCo. Accordingly, ZoomInfo Technologies Inc. will operate and control all of the business and affairs of ZoomInfo OpCo through ZoomInfo HoldCo and, through ZoomInfo OpCo and its operating entity subsidiaries, conduct our business.</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Pursuant to the amended and restated limited liability company agreement of ZoomInfo OpCo as it will be in effect at the time of this offering, ZoomInfo HoldCo has the right to determine when distributions will be made to holders of OpCo Units and the amount of any such distributions. If a distribution is authorized, such distribution will be made to the holders of OpCo Units pro rata in accordance with the percentages of their respective limited liability company interests.</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No distributions will be made in respect of unvested OpCo Units and instead such amounts will be distributed to holders of vested OpCo Units pro rata in accordance with their vested interests.</w:t>
      </w:r>
    </w:p>
    <w:p>
      <w:pPr>
        <w:spacing w:after="0" w:line="10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holders of OpCo Units, including ZoomInfo HoldCo, may be subject to U.S. federal, state and local income taxes on their proportionate share of any taxable income of ZoomInfo OpCo. Net profits and net losses of ZoomInfo OpCo will generally be allocated to its holders, including ZoomInfo HoldCo, pro rata in accordance with the percentages of their respective limited liability company interests, except as otherwise required by law. The amended and restated limited liability company agreement of ZoomInfo OpCo provides for cash distributions, which we refer to as “tax distributions,” to the holders of the OpCo Units and Class P Units (whether vested or unvested) if ZoomInfo HoldCo, as the sole managing member of ZoomInfo OpCo, determines that a holder, by reason of holding OpCo Units or Class P Unit, as applicable, incurs an income tax liability. Generally, these tax distributions will be computed based on our estimate of the net taxable income of ZoomInfo OpCo allocated to the holder of OpCo Units that receives the greatest proportionate allocation of income multiplied by an assumed tax rate. Tax distributions with respect to Class P Units will be determined based on the assumed tax liability of such Class P Unitholder with respect to such Class P Units rather than on a pro rata basis.</w:t>
      </w:r>
    </w:p>
    <w:p>
      <w:pPr>
        <w:spacing w:after="0" w:line="130"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Pursuant to the amended and restated limited liability company agreement of ZoomInfo OpCo, the Pre-IPO OpCo Unitholders (and certain permitted transferees thereof) may (subject to the terms of such limited liability company agreement) exchange their OpCo Units (together with a corresponding number of shares of Class B common stock) for shares of Class A common stock of ZoomInfo Technologies Inc. on a one-for-one basis, subject to customary conversion rate adjustments for stock splits, stock dividends, and reclassifications. Subject to certain restrictions, the holders of Class P Units will have the right to exchange their vested Class P Units into a number of shares of Class A common stock that will generally be equal to (a) the product of (X) the number of vested Class P Units to be exchanged with a given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and (Y) then-current difference between the per share value of an OpCo Unit at the time of the exchange (based on the public trading price of Class A common stock) and the per unit participation threshold (</w:t>
      </w:r>
      <w:r>
        <w:rPr>
          <w:rFonts w:ascii="Arial" w:cs="Arial" w:eastAsia="Arial" w:hAnsi="Arial"/>
          <w:sz w:val="16"/>
          <w:szCs w:val="16"/>
          <w:i w:val="1"/>
          <w:iCs w:val="1"/>
          <w:color w:val="auto"/>
        </w:rPr>
        <w:t>i.e.</w:t>
      </w:r>
      <w:r>
        <w:rPr>
          <w:rFonts w:ascii="Arial" w:cs="Arial" w:eastAsia="Arial" w:hAnsi="Arial"/>
          <w:sz w:val="16"/>
          <w:szCs w:val="16"/>
          <w:color w:val="auto"/>
        </w:rPr>
        <w:t>, the strike price) of such Class P Units divided by (b) the per unit value of an OpCo Unit at the time of the exchange (based on the public trading price of Class A common stock). ZoomInfo HoldCo may impose restrictions on exchanges that it determines in good faith to be necessary so that ZoomInfo OpCo is not treated as a “publicly traded partnership” for U.S. federal income tax purposes. The amended and restated limited liability company agreement of ZoomInfo OpCo will also provide that a holder of OpCo Units will not have the right to exchange OpCo Units if ZoomInfo HoldCo reasonably determines that such exchange would be prohibited by law or regulation or would any agreements with ZoomInfo Technologies Inc. or its subsidiaries by which the holder of OpCo Units is bound, or ZoomInfo Technologies Inc.’s insider trading policies. Upon such exchange, ZoomInfo Technologies Inc. will contribute the OpCo Units it receives to ZoomInfo HoldCo in exchange for a corresponding number of newly issued HoldCo Units. As a holder exchanges OpCo Units for shares of Class A common stock, the number of HoldCo Units held by ZoomInfo Technologies Inc. in exchange for the exchanged OpCo Units is correspondingly increased as it acquires the exchanged OpCo Units.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240"/>
          </w:cols>
          <w:pgMar w:left="320" w:top="336" w:right="339" w:bottom="1440" w:gutter="0" w:footer="0" w:header="0"/>
        </w:sectPr>
      </w:pPr>
    </w:p>
    <w:bookmarkStart w:id="205" w:name="page206"/>
    <w:bookmarkEnd w:id="205"/>
    <w:p>
      <w:pPr>
        <w:jc w:val="both"/>
        <w:ind w:firstLine="314"/>
        <w:spacing w:after="0" w:line="263" w:lineRule="auto"/>
        <w:rPr>
          <w:sz w:val="20"/>
          <w:szCs w:val="20"/>
          <w:color w:val="auto"/>
        </w:rPr>
      </w:pPr>
      <w:r>
        <w:rPr>
          <w:rFonts w:ascii="Arial" w:cs="Arial" w:eastAsia="Arial" w:hAnsi="Arial"/>
          <w:sz w:val="17"/>
          <w:szCs w:val="17"/>
          <w:color w:val="auto"/>
        </w:rPr>
        <w:t>The amended and restated limited liability company agreement of ZoomInfo OpCo also provides for the ability to issue LTIP Units, which are a class of partnership units that are intended to qualify as “profits interests” in ZoomInfo OpCo for federal income tax purposes that, subject to certain conditions, including vesting, are convertible by the holder into OpCo Units. LTIP Units initially will not have full parity, on a per unit basis, with OpCo Units with respect to ordinary and liquidating distributions. Upon the occurrence of specified events, LTIP Units can over time achieve full parity with OpCo Units, at which time vested LTIP Units may be converted into OpCo Units on a one-for-one basis. OpCo Units, in turn, may be exchanged into shares of Class A common stock of ZoomInfo Technologies Inc. on a one-for-one basis, subject to the terms and conditions described above.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ZoomInfo HoldCo Amended and Restated Limited Liability Company Agreement</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a result of the Reorganization Transactions and the Offering Transactions, ZoomInfo Technologies Inc. will hold HoldCo Units in ZoomInfo HoldCo and will have control over ZoomInfo HoldCo. ZoomInfo HoldCo will elect to be treated as a corporation for U.S. federal income tax purposes effective upon its date of formation. ZoomInfo HoldCo intends to make payments to us such that we are able to cover all applicable taxes payable by us, any payments we are obligated to make under the tax receivable agreements we intend to enter into as part of the Reorganization Transactions.</w:t>
      </w:r>
    </w:p>
    <w:p>
      <w:pPr>
        <w:spacing w:after="0" w:line="126"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Prior to this offering, we will amend and restate the limited liability company agreement of ZoomInfo HoldCo under which the Pre-IPO HoldCo Unitholders (or certain of their permitted transferees) will have the right (subject to the terms of such limited liability company agreement) to exchange their HoldCo Units (together with a corresponding number of shares of Class B common stock) for shares of our Class A common stock on a one-for-one basis, subject to customary conversion rate adjustments for stock splits, stock dividends, and reclassifications. ZoomInfo Technologies Inc. may impose restrictions on exchange that it determines in good faith to be necessary so that ZoomInfo OpCo is not treated as a “publicly traded partnership” for U.S. federal income tax purposes. The amended and restated limited liability company agreement of ZoomInfo HoldCo will also provide that a holder of HoldCo Units will not have the right to exchange HoldCo Units if ZoomInfo Technologies Inc. determines that such exchange would be prohibited by law or regulation or would violate any agreements with ZoomInfo Technologies Inc. or its subsidiaries by which the holder of HoldCo Units is bound, or ZoomInfo Technologies Inc.’s insider trading policies. As a holder exchanges HoldCo Units for shares of Class A common stock, the number of HoldCo Units held by ZoomInfo Technologies Inc. is correspondingly increased as it acquires the exchanged HoldCo Units.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of OpCo Units and Payment of Blocker Merger Consideration</w:t>
      </w:r>
    </w:p>
    <w:p>
      <w:pPr>
        <w:spacing w:after="0" w:line="17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We intend to use approximately $42.2 million (which remains unchanged if the underwriters exercise in full their option to purchase additional shares of Class A common stock) of the net proceeds we receive from this offering, in addition to purchasing newly issued HoldCo Units from ZoomInfo HoldCo as described under “Use of Proceeds,” to purchase OpCo Units from certain of our Sponsors, and to fund $5.5 million of merger consideration (an aggregate cash amount equal to 275,269 shares of Class C common stock multiplied by the public offering price per share of Class A common stock, less the underwriting discount) payable to certain of our Sponsors in connection with the Blocker Mergers, at a price per OpCo Unit or share of Class C common stock, respectively, equal to the public offering price per share of Class A common stock in this offering, less the underwriting discount. Upon each purchase of OpCo Units, the corresponding shares of Class B common stock will be canceled. The table below sets forth the number of OpCo Units being purchased from certain of our Sponsors, and the shares of Class C common stock underlying the merger consideration payable to the Sponsors, assuming no exercise of the underwriters’ option to purchase additional shares of Class A common stock.</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Assuming No Option Exercise</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of OpCo Units to be</w:t>
            </w:r>
          </w:p>
        </w:tc>
        <w:tc>
          <w:tcPr>
            <w:tcW w:w="120" w:type="dxa"/>
            <w:vAlign w:val="bottom"/>
          </w:tcPr>
          <w:p>
            <w:pPr>
              <w:spacing w:after="0"/>
              <w:rPr>
                <w:sz w:val="12"/>
                <w:szCs w:val="12"/>
                <w:color w:val="auto"/>
              </w:rPr>
            </w:pPr>
          </w:p>
        </w:tc>
        <w:tc>
          <w:tcPr>
            <w:tcW w:w="178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w w:val="87"/>
              </w:rPr>
              <w:t># of Shares of Class C</w:t>
            </w:r>
          </w:p>
        </w:tc>
        <w:tc>
          <w:tcPr>
            <w:tcW w:w="1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Aggregate Purchase Price</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8"/>
              </w:rPr>
              <w:t>Common Stock to be</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24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Sponsors</w:t>
            </w:r>
          </w:p>
        </w:tc>
        <w:tc>
          <w:tcPr>
            <w:tcW w:w="45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7"/>
                <w:szCs w:val="17"/>
                <w:color w:val="auto"/>
              </w:rPr>
              <w:t>1,841,818</w:t>
            </w:r>
          </w:p>
        </w:tc>
        <w:tc>
          <w:tcPr>
            <w:tcW w:w="1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275,269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786"/>
        </w:trPr>
        <w:tc>
          <w:tcPr>
            <w:tcW w:w="3080" w:type="dxa"/>
            <w:vAlign w:val="bottom"/>
          </w:tcPr>
          <w:p>
            <w:pPr>
              <w:spacing w:after="0"/>
              <w:rPr>
                <w:sz w:val="24"/>
                <w:szCs w:val="24"/>
                <w:color w:val="auto"/>
              </w:rPr>
            </w:pPr>
          </w:p>
        </w:tc>
        <w:tc>
          <w:tcPr>
            <w:tcW w:w="2880" w:type="dxa"/>
            <w:vAlign w:val="bottom"/>
          </w:tcPr>
          <w:p>
            <w:pPr>
              <w:jc w:val="right"/>
              <w:ind w:right="113"/>
              <w:spacing w:after="0"/>
              <w:rPr>
                <w:sz w:val="20"/>
                <w:szCs w:val="20"/>
                <w:color w:val="auto"/>
              </w:rPr>
            </w:pPr>
            <w:r>
              <w:rPr>
                <w:rFonts w:ascii="Arial" w:cs="Arial" w:eastAsia="Arial" w:hAnsi="Arial"/>
                <w:sz w:val="17"/>
                <w:szCs w:val="17"/>
                <w:color w:val="auto"/>
              </w:rPr>
              <w:t>198</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06" w:name="page207"/>
    <w:bookmarkEnd w:id="206"/>
    <w:p>
      <w:pPr>
        <w:spacing w:after="0"/>
        <w:rPr>
          <w:sz w:val="20"/>
          <w:szCs w:val="20"/>
          <w:color w:val="auto"/>
        </w:rPr>
      </w:pPr>
      <w:r>
        <w:rPr>
          <w:rFonts w:ascii="Arial" w:cs="Arial" w:eastAsia="Arial" w:hAnsi="Arial"/>
          <w:sz w:val="17"/>
          <w:szCs w:val="17"/>
          <w:b w:val="1"/>
          <w:bCs w:val="1"/>
          <w:color w:val="auto"/>
        </w:rPr>
        <w:t>Other Related Person Transactions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Michelle Brewer, our Vice President, Human Resources, is the sister-in-law of Henry Schuck, our Chief Executive Officer. Total compensation paid by the Company to Michelle Brewer, including salary, bonus, and equity compensation, for the years ended December 31, 2016, 2017, 2018, and 2019 and for the three months ended March 31, 2020 was $0.2 million, $0.4 million, $1.8 million, $1.0 million, and $0.7 million respectively.</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Hila Nir, our Chief Marketing Officer, is the sister-in-law of Nir Keren, our Chief Technology Officer. Total compensation paid by the Company to Hila Nir, including salary and equity compensation, since the Zoom Information Acquisition for the year ended December 31, 2019 and for the three months ended March 31, 2020 was $0.7 million and $0.7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 Transactions with Our Sponsors and Sponsor Portfolio Companies</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provide complimentary access to our platform to 22C Capital and Carlyle. We estimate the value of such access provided to each of 22C Capital and Carlyle in each of 2018 and 2019 to be approximately $38,000 and $40,000, respectively. We estimate the value of such access provided to 22C Capital in 2017 to be approximately $33,000. No complimentary access to our platform was provided to Carlyle in 2017. In addition, we provide our services to TA Associates in the ordinary course of our business. We recorded revenues from TA Associates in each of 2017, 2018 and 2019 of approximately $36,000, $39,000 and $65,000, respectively.</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Sponsors and their affiliates have ownership interests in a broad range of companies. We have entered and may in the future enter into commercial transactions in the ordinary course of our business with some of these companies, including the sale of goods and services and the purchase of goods and services. None of these transactions or arrangements has been or is expected to be material to us.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Policy Regarding Transactions with Related Persons</w:t>
      </w:r>
    </w:p>
    <w:p>
      <w:pPr>
        <w:spacing w:after="0" w:line="17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Prior to the completion of this offering, our board of directors will adopt a written statement of policy regarding transactions with related persons, which we refer to as our “related person policy.” Our related person policy requires that a “related person” (as defined in paragraph (a) of Item 404 of Regulation S-K) must promptly disclose to our general counsel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promptly communicate that information to our board of directors. No related person transaction entered into following this offering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the DGCL. In addition, our amended and restated certificate of incorporation provides that our directors will not be liable for monetary damages for breach of fiduciary duty to the fullest extent permitted by the DGCL.</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1240"/>
          </w:cols>
          <w:pgMar w:left="320" w:top="331"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following tables set forth information regarding the beneficial ownership of shares of our Class A common stock, our Class B common stock, and our Class C common stock by (1) each person known to us to beneficially own more than 5% of any class of the outstanding voting securities of ZoomInfo Technologies Inc., (2) each of our directors and named executive officers, and (3) all of our directors and executive officers as a group.</w:t>
      </w:r>
    </w:p>
    <w:p>
      <w:pPr>
        <w:spacing w:after="0" w:line="11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percentage of beneficial ownership of shares of our Class A common stock, our Class B common stock, and our Class C common stock outstanding before the offering set forth below is based on the number of shares of our common stock to be issued and outstanding immediately following the Reorganization Transactions without giving effect to this offering. The percentage of beneficial ownership of our Class A common stock, our Class B common stock, and our Class C common stock after the offering set forth below is based on shares of our common stock to be issued and outstanding immediately after the offering.</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Immediately following the consummation of this offering, the Pre-IPO OpCo Unitholders and Pre-IPO HoldCo Unitholders will hold all of the issued and outstanding shares of our Class B common stock. The shares of Class B common stock will have no economic rights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Immediately following the consummation of this offering, the Pre-IPO Blocker Holders will hold all of the issued and outstanding shares of our Class C common stock. The shares of Class C common stock will have the same economic rights as shares of Class A common stock, but each share will entitle the holder to ten votes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 stockholders of ZoomInfo Technologies Inc. are entitled to vote generally.</w:t>
      </w:r>
    </w:p>
    <w:p>
      <w:pPr>
        <w:spacing w:after="0" w:line="113"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voting power afforded to the Pre-IPO OpCo Unitholders and Pre-IPO HoldCo Unitholders, as applicable, by their shares of Class B common stock will be automatically and correspondingly reduced as they exchange shares of Class B common stock, together with a corresponding number of OpCo Units or HoldCo Units, as applicable, for shares of Class A common stock of ZoomInfo Technologies Inc., and the voting power afforded to Pre-IPO Blocker Holders will be automatically and correspondingly reduced as they transfer shares of Class C common stock, which, except in certain circumstances, will automatically convert into shares of Class A common stock. See “Certain Relationships and Related Party Transactions—ZoomInfo OpCo Amended and Restated Limited Liability Company Agreement,” “Certain Relationships and Related Party Transactions—ZoomInfo HoldCo Amended and Restated Limited Liability Company Agreement,” and “Description of Capital Stock.”</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1240"/>
          </w:cols>
          <w:pgMar w:left="320" w:top="331"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80" w:type="dxa"/>
            <w:vAlign w:val="bottom"/>
            <w:tcBorders>
              <w:bottom w:val="single" w:sz="8" w:color="auto"/>
            </w:tcBorders>
            <w:gridSpan w:val="11"/>
          </w:tcPr>
          <w:p>
            <w:pPr>
              <w:ind w:left="480"/>
              <w:spacing w:after="0"/>
              <w:rPr>
                <w:sz w:val="20"/>
                <w:szCs w:val="20"/>
                <w:color w:val="auto"/>
              </w:rPr>
            </w:pPr>
            <w:r>
              <w:rPr>
                <w:rFonts w:ascii="Arial" w:cs="Arial" w:eastAsia="Arial" w:hAnsi="Arial"/>
                <w:sz w:val="8"/>
                <w:szCs w:val="8"/>
                <w:b w:val="1"/>
                <w:bCs w:val="1"/>
                <w:color w:val="auto"/>
              </w:rPr>
              <w:t>Class A Common Stock Beneficially Owned</w:t>
            </w:r>
            <w:r>
              <w:rPr>
                <w:rFonts w:ascii="Arial" w:cs="Arial" w:eastAsia="Arial" w:hAnsi="Arial"/>
                <w:sz w:val="13"/>
                <w:szCs w:val="13"/>
                <w:b w:val="1"/>
                <w:bCs w:val="1"/>
                <w:color w:val="auto"/>
                <w:vertAlign w:val="superscript"/>
              </w:rPr>
              <w:t>(1)(3)</w:t>
            </w: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8"/>
          </w:tcPr>
          <w:p>
            <w:pPr>
              <w:jc w:val="center"/>
              <w:ind w:right="262"/>
              <w:spacing w:after="0"/>
              <w:rPr>
                <w:sz w:val="20"/>
                <w:szCs w:val="20"/>
                <w:color w:val="auto"/>
              </w:rPr>
            </w:pPr>
            <w:r>
              <w:rPr>
                <w:rFonts w:ascii="Arial" w:cs="Arial" w:eastAsia="Arial" w:hAnsi="Arial"/>
                <w:sz w:val="8"/>
                <w:szCs w:val="8"/>
                <w:b w:val="1"/>
                <w:bCs w:val="1"/>
                <w:color w:val="auto"/>
                <w:w w:val="85"/>
              </w:rPr>
              <w:t>Class B Common Stock Beneficially Owned</w:t>
            </w:r>
            <w:r>
              <w:rPr>
                <w:rFonts w:ascii="Arial" w:cs="Arial" w:eastAsia="Arial" w:hAnsi="Arial"/>
                <w:sz w:val="13"/>
                <w:szCs w:val="13"/>
                <w:b w:val="1"/>
                <w:bCs w:val="1"/>
                <w:color w:val="auto"/>
                <w:w w:val="85"/>
                <w:vertAlign w:val="superscript"/>
              </w:rPr>
              <w:t>(1)(2)</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8"/>
          </w:tcPr>
          <w:p>
            <w:pPr>
              <w:jc w:val="center"/>
              <w:ind w:right="242"/>
              <w:spacing w:after="0"/>
              <w:rPr>
                <w:sz w:val="20"/>
                <w:szCs w:val="20"/>
                <w:color w:val="auto"/>
              </w:rPr>
            </w:pPr>
            <w:r>
              <w:rPr>
                <w:rFonts w:ascii="Arial" w:cs="Arial" w:eastAsia="Arial" w:hAnsi="Arial"/>
                <w:sz w:val="8"/>
                <w:szCs w:val="8"/>
                <w:b w:val="1"/>
                <w:bCs w:val="1"/>
                <w:color w:val="auto"/>
                <w:w w:val="87"/>
              </w:rPr>
              <w:t>Class C Common Stock Beneficially Owned</w:t>
            </w:r>
            <w:r>
              <w:rPr>
                <w:rFonts w:ascii="Arial" w:cs="Arial" w:eastAsia="Arial" w:hAnsi="Arial"/>
                <w:sz w:val="13"/>
                <w:szCs w:val="13"/>
                <w:b w:val="1"/>
                <w:bCs w:val="1"/>
                <w:color w:val="auto"/>
                <w:w w:val="87"/>
                <w:vertAlign w:val="superscript"/>
              </w:rPr>
              <w:t>(3)</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Borders>
              <w:bottom w:val="single" w:sz="8" w:color="auto"/>
            </w:tcBorders>
            <w:gridSpan w:val="3"/>
          </w:tcPr>
          <w:p>
            <w:pPr>
              <w:ind w:left="440"/>
              <w:spacing w:after="0"/>
              <w:rPr>
                <w:sz w:val="20"/>
                <w:szCs w:val="20"/>
                <w:color w:val="auto"/>
              </w:rPr>
            </w:pPr>
            <w:r>
              <w:rPr>
                <w:rFonts w:ascii="Arial" w:cs="Arial" w:eastAsia="Arial" w:hAnsi="Arial"/>
                <w:sz w:val="8"/>
                <w:szCs w:val="8"/>
                <w:b w:val="1"/>
                <w:bCs w:val="1"/>
                <w:color w:val="auto"/>
              </w:rPr>
              <w:t>Combined Voting Power</w:t>
            </w:r>
            <w:r>
              <w:rPr>
                <w:rFonts w:ascii="Arial" w:cs="Arial" w:eastAsia="Arial" w:hAnsi="Arial"/>
                <w:sz w:val="13"/>
                <w:szCs w:val="13"/>
                <w:b w:val="1"/>
                <w:bCs w:val="1"/>
                <w:color w:val="auto"/>
                <w:vertAlign w:val="superscript"/>
              </w:rPr>
              <w:t>(4)</w:t>
            </w: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4"/>
          </w:tcPr>
          <w:p>
            <w:pPr>
              <w:jc w:val="center"/>
              <w:ind w:right="120"/>
              <w:spacing w:after="0" w:line="86" w:lineRule="exact"/>
              <w:rPr>
                <w:sz w:val="20"/>
                <w:szCs w:val="20"/>
                <w:color w:val="auto"/>
              </w:rPr>
            </w:pPr>
            <w:r>
              <w:rPr>
                <w:rFonts w:ascii="Arial" w:cs="Arial" w:eastAsia="Arial" w:hAnsi="Arial"/>
                <w:sz w:val="8"/>
                <w:szCs w:val="8"/>
                <w:b w:val="1"/>
                <w:bCs w:val="1"/>
                <w:color w:val="auto"/>
                <w:w w:val="93"/>
              </w:rPr>
              <w:t>After the Offering</w:t>
            </w: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8"/>
                <w:szCs w:val="8"/>
                <w:b w:val="1"/>
                <w:bCs w:val="1"/>
                <w:color w:val="auto"/>
                <w:w w:val="94"/>
              </w:rPr>
              <w:t>% After the</w:t>
            </w:r>
          </w:p>
        </w:tc>
        <w:tc>
          <w:tcPr>
            <w:tcW w:w="640" w:type="dxa"/>
            <w:vAlign w:val="bottom"/>
            <w:vMerge w:val="restart"/>
          </w:tcPr>
          <w:p>
            <w:pPr>
              <w:jc w:val="center"/>
              <w:ind w:left="85"/>
              <w:spacing w:after="0"/>
              <w:rPr>
                <w:sz w:val="20"/>
                <w:szCs w:val="20"/>
                <w:color w:val="auto"/>
              </w:rPr>
            </w:pPr>
            <w:r>
              <w:rPr>
                <w:rFonts w:ascii="Arial" w:cs="Arial" w:eastAsia="Arial" w:hAnsi="Arial"/>
                <w:sz w:val="8"/>
                <w:szCs w:val="8"/>
                <w:b w:val="1"/>
                <w:bCs w:val="1"/>
                <w:color w:val="auto"/>
                <w:w w:val="94"/>
              </w:rPr>
              <w:t>% After the</w:t>
            </w:r>
          </w:p>
        </w:tc>
        <w:tc>
          <w:tcPr>
            <w:tcW w:w="0" w:type="dxa"/>
            <w:vAlign w:val="bottom"/>
          </w:tcPr>
          <w:p>
            <w:pPr>
              <w:spacing w:after="0"/>
              <w:rPr>
                <w:sz w:val="1"/>
                <w:szCs w:val="1"/>
                <w:color w:val="auto"/>
              </w:rPr>
            </w:pPr>
          </w:p>
        </w:tc>
      </w:tr>
      <w:tr>
        <w:trPr>
          <w:trHeight w:val="39"/>
        </w:trPr>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2"/>
            <w:vMerge w:val="restart"/>
          </w:tcPr>
          <w:p>
            <w:pPr>
              <w:jc w:val="center"/>
              <w:ind w:left="102"/>
              <w:spacing w:after="0" w:line="79" w:lineRule="exact"/>
              <w:rPr>
                <w:sz w:val="20"/>
                <w:szCs w:val="20"/>
                <w:color w:val="auto"/>
              </w:rPr>
            </w:pPr>
            <w:r>
              <w:rPr>
                <w:rFonts w:ascii="Arial" w:cs="Arial" w:eastAsia="Arial" w:hAnsi="Arial"/>
                <w:sz w:val="8"/>
                <w:szCs w:val="8"/>
                <w:b w:val="1"/>
                <w:bCs w:val="1"/>
                <w:color w:val="auto"/>
                <w:w w:val="88"/>
              </w:rPr>
              <w:t>Prior to the</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jc w:val="center"/>
              <w:ind w:left="142"/>
              <w:spacing w:after="0" w:line="79" w:lineRule="exact"/>
              <w:rPr>
                <w:sz w:val="20"/>
                <w:szCs w:val="20"/>
                <w:color w:val="auto"/>
              </w:rPr>
            </w:pPr>
            <w:r>
              <w:rPr>
                <w:rFonts w:ascii="Arial" w:cs="Arial" w:eastAsia="Arial" w:hAnsi="Arial"/>
                <w:sz w:val="8"/>
                <w:szCs w:val="8"/>
                <w:b w:val="1"/>
                <w:bCs w:val="1"/>
                <w:color w:val="auto"/>
                <w:w w:val="88"/>
              </w:rPr>
              <w:t>Transactions,</w:t>
            </w: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3"/>
            <w:vMerge w:val="restart"/>
          </w:tcPr>
          <w:p>
            <w:pPr>
              <w:jc w:val="center"/>
              <w:ind w:right="100"/>
              <w:spacing w:after="0" w:line="79" w:lineRule="exact"/>
              <w:rPr>
                <w:sz w:val="20"/>
                <w:szCs w:val="20"/>
                <w:color w:val="auto"/>
              </w:rPr>
            </w:pPr>
            <w:r>
              <w:rPr>
                <w:rFonts w:ascii="Arial" w:cs="Arial" w:eastAsia="Arial" w:hAnsi="Arial"/>
                <w:sz w:val="8"/>
                <w:szCs w:val="8"/>
                <w:b w:val="1"/>
                <w:bCs w:val="1"/>
                <w:color w:val="auto"/>
                <w:w w:val="90"/>
              </w:rPr>
              <w:t>After the Offering</w:t>
            </w: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jc w:val="center"/>
              <w:spacing w:after="0" w:line="79" w:lineRule="exact"/>
              <w:rPr>
                <w:sz w:val="20"/>
                <w:szCs w:val="20"/>
                <w:color w:val="auto"/>
              </w:rPr>
            </w:pPr>
            <w:r>
              <w:rPr>
                <w:rFonts w:ascii="Arial" w:cs="Arial" w:eastAsia="Arial" w:hAnsi="Arial"/>
                <w:sz w:val="8"/>
                <w:szCs w:val="8"/>
                <w:b w:val="1"/>
                <w:bCs w:val="1"/>
                <w:color w:val="auto"/>
                <w:w w:val="90"/>
              </w:rPr>
              <w:t>After the Offering</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vMerge w:val="restart"/>
          </w:tcPr>
          <w:p>
            <w:pPr>
              <w:jc w:val="center"/>
              <w:spacing w:after="0" w:line="79" w:lineRule="exact"/>
              <w:rPr>
                <w:sz w:val="20"/>
                <w:szCs w:val="20"/>
                <w:color w:val="auto"/>
              </w:rPr>
            </w:pPr>
            <w:r>
              <w:rPr>
                <w:rFonts w:ascii="Arial" w:cs="Arial" w:eastAsia="Arial" w:hAnsi="Arial"/>
                <w:sz w:val="8"/>
                <w:szCs w:val="8"/>
                <w:b w:val="1"/>
                <w:bCs w:val="1"/>
                <w:color w:val="auto"/>
                <w:w w:val="89"/>
              </w:rPr>
              <w:t>Offering</w:t>
            </w:r>
          </w:p>
        </w:tc>
        <w:tc>
          <w:tcPr>
            <w:tcW w:w="640" w:type="dxa"/>
            <w:vAlign w:val="bottom"/>
            <w:vMerge w:val="restart"/>
          </w:tcPr>
          <w:p>
            <w:pPr>
              <w:jc w:val="center"/>
              <w:ind w:left="85"/>
              <w:spacing w:after="0" w:line="79" w:lineRule="exact"/>
              <w:rPr>
                <w:sz w:val="20"/>
                <w:szCs w:val="20"/>
                <w:color w:val="auto"/>
              </w:rPr>
            </w:pPr>
            <w:r>
              <w:rPr>
                <w:rFonts w:ascii="Arial" w:cs="Arial" w:eastAsia="Arial" w:hAnsi="Arial"/>
                <w:sz w:val="8"/>
                <w:szCs w:val="8"/>
                <w:b w:val="1"/>
                <w:bCs w:val="1"/>
                <w:color w:val="auto"/>
                <w:w w:val="89"/>
              </w:rPr>
              <w:t>Offering</w:t>
            </w:r>
          </w:p>
        </w:tc>
        <w:tc>
          <w:tcPr>
            <w:tcW w:w="0" w:type="dxa"/>
            <w:vAlign w:val="bottom"/>
          </w:tcPr>
          <w:p>
            <w:pPr>
              <w:spacing w:after="0" w:line="20" w:lineRule="exact"/>
              <w:rPr>
                <w:sz w:val="1"/>
                <w:szCs w:val="1"/>
                <w:color w:val="auto"/>
              </w:rPr>
            </w:pPr>
          </w:p>
        </w:tc>
      </w:tr>
      <w:tr>
        <w:trPr>
          <w:trHeight w:val="39"/>
        </w:trPr>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2"/>
            <w:vMerge w:val="restart"/>
          </w:tcPr>
          <w:p>
            <w:pPr>
              <w:jc w:val="center"/>
              <w:ind w:left="82"/>
              <w:spacing w:after="0" w:line="79" w:lineRule="exact"/>
              <w:rPr>
                <w:sz w:val="20"/>
                <w:szCs w:val="20"/>
                <w:color w:val="auto"/>
              </w:rPr>
            </w:pPr>
            <w:r>
              <w:rPr>
                <w:rFonts w:ascii="Arial" w:cs="Arial" w:eastAsia="Arial" w:hAnsi="Arial"/>
                <w:sz w:val="8"/>
                <w:szCs w:val="8"/>
                <w:b w:val="1"/>
                <w:bCs w:val="1"/>
                <w:color w:val="auto"/>
                <w:w w:val="89"/>
              </w:rPr>
              <w:t>Offering</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5"/>
            <w:vMerge w:val="restart"/>
          </w:tcPr>
          <w:p>
            <w:pPr>
              <w:jc w:val="center"/>
              <w:ind w:right="100"/>
              <w:spacing w:after="0" w:line="79" w:lineRule="exact"/>
              <w:rPr>
                <w:sz w:val="20"/>
                <w:szCs w:val="20"/>
                <w:color w:val="auto"/>
              </w:rPr>
            </w:pPr>
            <w:r>
              <w:rPr>
                <w:rFonts w:ascii="Arial" w:cs="Arial" w:eastAsia="Arial" w:hAnsi="Arial"/>
                <w:sz w:val="8"/>
                <w:szCs w:val="8"/>
                <w:b w:val="1"/>
                <w:bCs w:val="1"/>
                <w:color w:val="auto"/>
                <w:w w:val="90"/>
              </w:rPr>
              <w:t>After the Offering</w:t>
            </w:r>
          </w:p>
        </w:tc>
        <w:tc>
          <w:tcPr>
            <w:tcW w:w="940" w:type="dxa"/>
            <w:vAlign w:val="bottom"/>
            <w:gridSpan w:val="4"/>
            <w:vMerge w:val="restart"/>
          </w:tcPr>
          <w:p>
            <w:pPr>
              <w:jc w:val="center"/>
              <w:ind w:right="120"/>
              <w:spacing w:after="0" w:line="79" w:lineRule="exact"/>
              <w:rPr>
                <w:sz w:val="20"/>
                <w:szCs w:val="20"/>
                <w:color w:val="auto"/>
              </w:rPr>
            </w:pPr>
            <w:r>
              <w:rPr>
                <w:rFonts w:ascii="Arial" w:cs="Arial" w:eastAsia="Arial" w:hAnsi="Arial"/>
                <w:sz w:val="8"/>
                <w:szCs w:val="8"/>
                <w:b w:val="1"/>
                <w:bCs w:val="1"/>
                <w:color w:val="auto"/>
                <w:w w:val="92"/>
              </w:rPr>
              <w:t>Including Full Option</w:t>
            </w:r>
          </w:p>
        </w:tc>
        <w:tc>
          <w:tcPr>
            <w:tcW w:w="1060" w:type="dxa"/>
            <w:vAlign w:val="bottom"/>
            <w:gridSpan w:val="4"/>
            <w:vMerge w:val="restart"/>
          </w:tcPr>
          <w:p>
            <w:pPr>
              <w:ind w:left="120"/>
              <w:spacing w:after="0" w:line="79" w:lineRule="exact"/>
              <w:rPr>
                <w:sz w:val="20"/>
                <w:szCs w:val="20"/>
                <w:color w:val="auto"/>
              </w:rPr>
            </w:pPr>
            <w:r>
              <w:rPr>
                <w:rFonts w:ascii="Arial" w:cs="Arial" w:eastAsia="Arial" w:hAnsi="Arial"/>
                <w:sz w:val="8"/>
                <w:szCs w:val="8"/>
                <w:b w:val="1"/>
                <w:bCs w:val="1"/>
                <w:color w:val="auto"/>
              </w:rPr>
              <w:t>Prior to the Offering</w:t>
            </w:r>
          </w:p>
        </w:tc>
        <w:tc>
          <w:tcPr>
            <w:tcW w:w="1040" w:type="dxa"/>
            <w:vAlign w:val="bottom"/>
            <w:gridSpan w:val="5"/>
            <w:vMerge w:val="restart"/>
          </w:tcPr>
          <w:p>
            <w:pPr>
              <w:jc w:val="center"/>
              <w:ind w:right="100"/>
              <w:spacing w:after="0" w:line="79" w:lineRule="exact"/>
              <w:rPr>
                <w:sz w:val="20"/>
                <w:szCs w:val="20"/>
                <w:color w:val="auto"/>
              </w:rPr>
            </w:pPr>
            <w:r>
              <w:rPr>
                <w:rFonts w:ascii="Arial" w:cs="Arial" w:eastAsia="Arial" w:hAnsi="Arial"/>
                <w:sz w:val="8"/>
                <w:szCs w:val="8"/>
                <w:b w:val="1"/>
                <w:bCs w:val="1"/>
                <w:color w:val="auto"/>
                <w:w w:val="93"/>
              </w:rPr>
              <w:t>After the Offering</w:t>
            </w:r>
          </w:p>
        </w:tc>
        <w:tc>
          <w:tcPr>
            <w:tcW w:w="1060" w:type="dxa"/>
            <w:vAlign w:val="bottom"/>
            <w:gridSpan w:val="3"/>
            <w:vMerge w:val="restart"/>
          </w:tcPr>
          <w:p>
            <w:pPr>
              <w:jc w:val="center"/>
              <w:ind w:right="100"/>
              <w:spacing w:after="0" w:line="79" w:lineRule="exact"/>
              <w:rPr>
                <w:sz w:val="20"/>
                <w:szCs w:val="20"/>
                <w:color w:val="auto"/>
              </w:rPr>
            </w:pPr>
            <w:r>
              <w:rPr>
                <w:rFonts w:ascii="Arial" w:cs="Arial" w:eastAsia="Arial" w:hAnsi="Arial"/>
                <w:sz w:val="8"/>
                <w:szCs w:val="8"/>
                <w:b w:val="1"/>
                <w:bCs w:val="1"/>
                <w:color w:val="auto"/>
                <w:w w:val="89"/>
              </w:rPr>
              <w:t>Transactions, Including</w:t>
            </w:r>
          </w:p>
        </w:tc>
        <w:tc>
          <w:tcPr>
            <w:tcW w:w="1020" w:type="dxa"/>
            <w:vAlign w:val="bottom"/>
            <w:gridSpan w:val="4"/>
            <w:vMerge w:val="restart"/>
          </w:tcPr>
          <w:p>
            <w:pPr>
              <w:ind w:left="120"/>
              <w:spacing w:after="0" w:line="79" w:lineRule="exact"/>
              <w:rPr>
                <w:sz w:val="20"/>
                <w:szCs w:val="20"/>
                <w:color w:val="auto"/>
              </w:rPr>
            </w:pPr>
            <w:r>
              <w:rPr>
                <w:rFonts w:ascii="Arial" w:cs="Arial" w:eastAsia="Arial" w:hAnsi="Arial"/>
                <w:sz w:val="8"/>
                <w:szCs w:val="8"/>
                <w:b w:val="1"/>
                <w:bCs w:val="1"/>
                <w:color w:val="auto"/>
              </w:rPr>
              <w:t>Prior to the Offering</w:t>
            </w:r>
          </w:p>
        </w:tc>
        <w:tc>
          <w:tcPr>
            <w:tcW w:w="1000" w:type="dxa"/>
            <w:vAlign w:val="bottom"/>
            <w:gridSpan w:val="5"/>
            <w:vMerge w:val="restart"/>
          </w:tcPr>
          <w:p>
            <w:pPr>
              <w:jc w:val="center"/>
              <w:ind w:right="120"/>
              <w:spacing w:after="0" w:line="79" w:lineRule="exact"/>
              <w:rPr>
                <w:sz w:val="20"/>
                <w:szCs w:val="20"/>
                <w:color w:val="auto"/>
              </w:rPr>
            </w:pPr>
            <w:r>
              <w:rPr>
                <w:rFonts w:ascii="Arial" w:cs="Arial" w:eastAsia="Arial" w:hAnsi="Arial"/>
                <w:sz w:val="8"/>
                <w:szCs w:val="8"/>
                <w:b w:val="1"/>
                <w:bCs w:val="1"/>
                <w:color w:val="auto"/>
                <w:w w:val="90"/>
              </w:rPr>
              <w:t>After the Offering</w:t>
            </w:r>
          </w:p>
        </w:tc>
        <w:tc>
          <w:tcPr>
            <w:tcW w:w="880" w:type="dxa"/>
            <w:vAlign w:val="bottom"/>
            <w:gridSpan w:val="2"/>
            <w:vMerge w:val="restart"/>
          </w:tcPr>
          <w:p>
            <w:pPr>
              <w:jc w:val="center"/>
              <w:spacing w:after="0" w:line="79" w:lineRule="exact"/>
              <w:rPr>
                <w:sz w:val="20"/>
                <w:szCs w:val="20"/>
                <w:color w:val="auto"/>
              </w:rPr>
            </w:pPr>
            <w:r>
              <w:rPr>
                <w:rFonts w:ascii="Arial" w:cs="Arial" w:eastAsia="Arial" w:hAnsi="Arial"/>
                <w:sz w:val="8"/>
                <w:szCs w:val="8"/>
                <w:b w:val="1"/>
                <w:bCs w:val="1"/>
                <w:color w:val="auto"/>
                <w:w w:val="89"/>
              </w:rPr>
              <w:t>Transactions, Including</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5"/>
            <w:vMerge w:val="continue"/>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1040" w:type="dxa"/>
            <w:vAlign w:val="bottom"/>
            <w:gridSpan w:val="5"/>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vMerge w:val="restart"/>
          </w:tcPr>
          <w:p>
            <w:pPr>
              <w:jc w:val="center"/>
              <w:spacing w:after="0" w:line="79" w:lineRule="exact"/>
              <w:rPr>
                <w:sz w:val="20"/>
                <w:szCs w:val="20"/>
                <w:color w:val="auto"/>
              </w:rPr>
            </w:pPr>
            <w:r>
              <w:rPr>
                <w:rFonts w:ascii="Arial" w:cs="Arial" w:eastAsia="Arial" w:hAnsi="Arial"/>
                <w:sz w:val="8"/>
                <w:szCs w:val="8"/>
                <w:b w:val="1"/>
                <w:bCs w:val="1"/>
                <w:color w:val="auto"/>
                <w:w w:val="88"/>
              </w:rPr>
              <w:t>Transactions</w:t>
            </w:r>
          </w:p>
        </w:tc>
        <w:tc>
          <w:tcPr>
            <w:tcW w:w="640" w:type="dxa"/>
            <w:vAlign w:val="bottom"/>
            <w:vMerge w:val="restart"/>
          </w:tcPr>
          <w:p>
            <w:pPr>
              <w:jc w:val="center"/>
              <w:ind w:left="85"/>
              <w:spacing w:after="0" w:line="79" w:lineRule="exact"/>
              <w:rPr>
                <w:sz w:val="20"/>
                <w:szCs w:val="20"/>
                <w:color w:val="auto"/>
              </w:rPr>
            </w:pPr>
            <w:r>
              <w:rPr>
                <w:rFonts w:ascii="Arial" w:cs="Arial" w:eastAsia="Arial" w:hAnsi="Arial"/>
                <w:sz w:val="8"/>
                <w:szCs w:val="8"/>
                <w:b w:val="1"/>
                <w:bCs w:val="1"/>
                <w:color w:val="auto"/>
                <w:w w:val="88"/>
              </w:rPr>
              <w:t>Transactions</w:t>
            </w:r>
          </w:p>
        </w:tc>
        <w:tc>
          <w:tcPr>
            <w:tcW w:w="0" w:type="dxa"/>
            <w:vAlign w:val="bottom"/>
          </w:tcPr>
          <w:p>
            <w:pPr>
              <w:spacing w:after="0" w:line="20" w:lineRule="exact"/>
              <w:rPr>
                <w:sz w:val="1"/>
                <w:szCs w:val="1"/>
                <w:color w:val="auto"/>
              </w:rPr>
            </w:pPr>
          </w:p>
        </w:tc>
      </w:tr>
      <w:tr>
        <w:trPr>
          <w:trHeight w:val="39"/>
        </w:trPr>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gridSpan w:val="2"/>
            <w:vMerge w:val="restart"/>
          </w:tcPr>
          <w:p>
            <w:pPr>
              <w:jc w:val="center"/>
              <w:ind w:left="82"/>
              <w:spacing w:after="0"/>
              <w:rPr>
                <w:sz w:val="20"/>
                <w:szCs w:val="20"/>
                <w:color w:val="auto"/>
              </w:rPr>
            </w:pPr>
            <w:r>
              <w:rPr>
                <w:rFonts w:ascii="Arial" w:cs="Arial" w:eastAsia="Arial" w:hAnsi="Arial"/>
                <w:sz w:val="8"/>
                <w:szCs w:val="8"/>
                <w:b w:val="1"/>
                <w:bCs w:val="1"/>
                <w:color w:val="auto"/>
                <w:w w:val="88"/>
              </w:rPr>
              <w:t>Transactions</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3"/>
            <w:vMerge w:val="restart"/>
          </w:tcPr>
          <w:p>
            <w:pPr>
              <w:jc w:val="center"/>
              <w:ind w:left="143"/>
              <w:spacing w:after="0"/>
              <w:rPr>
                <w:sz w:val="20"/>
                <w:szCs w:val="20"/>
                <w:color w:val="auto"/>
              </w:rPr>
            </w:pPr>
            <w:r>
              <w:rPr>
                <w:rFonts w:ascii="Arial" w:cs="Arial" w:eastAsia="Arial" w:hAnsi="Arial"/>
                <w:sz w:val="8"/>
                <w:szCs w:val="8"/>
                <w:b w:val="1"/>
                <w:bCs w:val="1"/>
                <w:color w:val="auto"/>
                <w:w w:val="88"/>
              </w:rPr>
              <w:t>Transactions</w:t>
            </w: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jc w:val="center"/>
              <w:ind w:left="162"/>
              <w:spacing w:after="0"/>
              <w:rPr>
                <w:sz w:val="20"/>
                <w:szCs w:val="20"/>
                <w:color w:val="auto"/>
              </w:rPr>
            </w:pPr>
            <w:r>
              <w:rPr>
                <w:rFonts w:ascii="Arial" w:cs="Arial" w:eastAsia="Arial" w:hAnsi="Arial"/>
                <w:sz w:val="8"/>
                <w:szCs w:val="8"/>
                <w:b w:val="1"/>
                <w:bCs w:val="1"/>
                <w:color w:val="auto"/>
                <w:w w:val="84"/>
              </w:rPr>
              <w:t>Exercise</w:t>
            </w: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gridSpan w:val="2"/>
            <w:vMerge w:val="restart"/>
          </w:tcPr>
          <w:p>
            <w:pPr>
              <w:ind w:left="260"/>
              <w:spacing w:after="0"/>
              <w:rPr>
                <w:sz w:val="20"/>
                <w:szCs w:val="20"/>
                <w:color w:val="auto"/>
              </w:rPr>
            </w:pPr>
            <w:r>
              <w:rPr>
                <w:rFonts w:ascii="Arial" w:cs="Arial" w:eastAsia="Arial" w:hAnsi="Arial"/>
                <w:sz w:val="8"/>
                <w:szCs w:val="8"/>
                <w:b w:val="1"/>
                <w:bCs w:val="1"/>
                <w:color w:val="auto"/>
                <w:w w:val="84"/>
              </w:rPr>
              <w:t>Transactions</w:t>
            </w: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3"/>
            <w:vMerge w:val="restart"/>
          </w:tcPr>
          <w:p>
            <w:pPr>
              <w:jc w:val="center"/>
              <w:ind w:left="183"/>
              <w:spacing w:after="0"/>
              <w:rPr>
                <w:sz w:val="20"/>
                <w:szCs w:val="20"/>
                <w:color w:val="auto"/>
              </w:rPr>
            </w:pPr>
            <w:r>
              <w:rPr>
                <w:rFonts w:ascii="Arial" w:cs="Arial" w:eastAsia="Arial" w:hAnsi="Arial"/>
                <w:sz w:val="8"/>
                <w:szCs w:val="8"/>
                <w:b w:val="1"/>
                <w:bCs w:val="1"/>
                <w:color w:val="auto"/>
                <w:w w:val="84"/>
              </w:rPr>
              <w:t>Transactions</w:t>
            </w: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3"/>
            <w:vMerge w:val="restart"/>
          </w:tcPr>
          <w:p>
            <w:pPr>
              <w:jc w:val="center"/>
              <w:ind w:right="100"/>
              <w:spacing w:after="0"/>
              <w:rPr>
                <w:sz w:val="20"/>
                <w:szCs w:val="20"/>
                <w:color w:val="auto"/>
              </w:rPr>
            </w:pPr>
            <w:r>
              <w:rPr>
                <w:rFonts w:ascii="Arial" w:cs="Arial" w:eastAsia="Arial" w:hAnsi="Arial"/>
                <w:sz w:val="8"/>
                <w:szCs w:val="8"/>
                <w:b w:val="1"/>
                <w:bCs w:val="1"/>
                <w:color w:val="auto"/>
                <w:w w:val="87"/>
              </w:rPr>
              <w:t>Full Option Exercise</w:t>
            </w:r>
          </w:p>
        </w:tc>
        <w:tc>
          <w:tcPr>
            <w:tcW w:w="680" w:type="dxa"/>
            <w:vAlign w:val="bottom"/>
            <w:gridSpan w:val="2"/>
            <w:vMerge w:val="restart"/>
          </w:tcPr>
          <w:p>
            <w:pPr>
              <w:ind w:left="240"/>
              <w:spacing w:after="0"/>
              <w:rPr>
                <w:sz w:val="20"/>
                <w:szCs w:val="20"/>
                <w:color w:val="auto"/>
              </w:rPr>
            </w:pPr>
            <w:r>
              <w:rPr>
                <w:rFonts w:ascii="Arial" w:cs="Arial" w:eastAsia="Arial" w:hAnsi="Arial"/>
                <w:sz w:val="8"/>
                <w:szCs w:val="8"/>
                <w:b w:val="1"/>
                <w:bCs w:val="1"/>
                <w:color w:val="auto"/>
                <w:w w:val="84"/>
              </w:rPr>
              <w:t>Transactions</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3"/>
            <w:vMerge w:val="restart"/>
          </w:tcPr>
          <w:p>
            <w:pPr>
              <w:jc w:val="center"/>
              <w:ind w:left="163"/>
              <w:spacing w:after="0"/>
              <w:rPr>
                <w:sz w:val="20"/>
                <w:szCs w:val="20"/>
                <w:color w:val="auto"/>
              </w:rPr>
            </w:pPr>
            <w:r>
              <w:rPr>
                <w:rFonts w:ascii="Arial" w:cs="Arial" w:eastAsia="Arial" w:hAnsi="Arial"/>
                <w:sz w:val="8"/>
                <w:szCs w:val="8"/>
                <w:b w:val="1"/>
                <w:bCs w:val="1"/>
                <w:color w:val="auto"/>
                <w:w w:val="88"/>
              </w:rPr>
              <w:t>Transactions</w:t>
            </w: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8"/>
                <w:szCs w:val="8"/>
                <w:b w:val="1"/>
                <w:bCs w:val="1"/>
                <w:color w:val="auto"/>
                <w:w w:val="87"/>
              </w:rPr>
              <w:t>Full Option Exercise</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jc w:val="center"/>
              <w:spacing w:after="0"/>
              <w:rPr>
                <w:sz w:val="20"/>
                <w:szCs w:val="20"/>
                <w:color w:val="auto"/>
              </w:rPr>
            </w:pPr>
            <w:r>
              <w:rPr>
                <w:rFonts w:ascii="Arial" w:cs="Arial" w:eastAsia="Arial" w:hAnsi="Arial"/>
                <w:sz w:val="5"/>
                <w:szCs w:val="5"/>
                <w:b w:val="1"/>
                <w:bCs w:val="1"/>
                <w:color w:val="auto"/>
              </w:rPr>
              <w:t>Assuming</w:t>
            </w:r>
          </w:p>
        </w:tc>
        <w:tc>
          <w:tcPr>
            <w:tcW w:w="640" w:type="dxa"/>
            <w:vAlign w:val="bottom"/>
          </w:tcPr>
          <w:p>
            <w:pPr>
              <w:jc w:val="center"/>
              <w:ind w:left="85"/>
              <w:spacing w:after="0"/>
              <w:rPr>
                <w:sz w:val="20"/>
                <w:szCs w:val="20"/>
                <w:color w:val="auto"/>
              </w:rPr>
            </w:pPr>
            <w:r>
              <w:rPr>
                <w:rFonts w:ascii="Arial" w:cs="Arial" w:eastAsia="Arial" w:hAnsi="Arial"/>
                <w:sz w:val="5"/>
                <w:szCs w:val="5"/>
                <w:b w:val="1"/>
                <w:bCs w:val="1"/>
                <w:color w:val="auto"/>
              </w:rPr>
              <w:t>Assuming</w:t>
            </w:r>
          </w:p>
        </w:tc>
        <w:tc>
          <w:tcPr>
            <w:tcW w:w="0" w:type="dxa"/>
            <w:vAlign w:val="bottom"/>
          </w:tcPr>
          <w:p>
            <w:pPr>
              <w:spacing w:after="0"/>
              <w:rPr>
                <w:sz w:val="1"/>
                <w:szCs w:val="1"/>
                <w:color w:val="auto"/>
              </w:rPr>
            </w:pPr>
          </w:p>
        </w:tc>
      </w:tr>
      <w:tr>
        <w:trPr>
          <w:trHeight w:val="59"/>
        </w:trPr>
        <w:tc>
          <w:tcPr>
            <w:tcW w:w="680" w:type="dxa"/>
            <w:vAlign w:val="bottom"/>
            <w:gridSpan w:val="3"/>
            <w:vMerge w:val="restart"/>
          </w:tcPr>
          <w:p>
            <w:pPr>
              <w:spacing w:after="0"/>
              <w:rPr>
                <w:sz w:val="20"/>
                <w:szCs w:val="20"/>
                <w:color w:val="auto"/>
              </w:rPr>
            </w:pPr>
            <w:r>
              <w:rPr>
                <w:rFonts w:ascii="Arial" w:cs="Arial" w:eastAsia="Arial" w:hAnsi="Arial"/>
                <w:sz w:val="8"/>
                <w:szCs w:val="8"/>
                <w:b w:val="1"/>
                <w:bCs w:val="1"/>
                <w:color w:val="auto"/>
                <w:w w:val="92"/>
              </w:rPr>
              <w:t>Name of Beneficial</w:t>
            </w:r>
          </w:p>
        </w:tc>
        <w:tc>
          <w:tcPr>
            <w:tcW w:w="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jc w:val="center"/>
              <w:ind w:right="66"/>
              <w:spacing w:after="0"/>
              <w:rPr>
                <w:sz w:val="20"/>
                <w:szCs w:val="20"/>
                <w:color w:val="auto"/>
              </w:rPr>
            </w:pPr>
            <w:r>
              <w:rPr>
                <w:rFonts w:ascii="Arial" w:cs="Arial" w:eastAsia="Arial" w:hAnsi="Arial"/>
                <w:sz w:val="5"/>
                <w:szCs w:val="5"/>
                <w:b w:val="1"/>
                <w:bCs w:val="1"/>
                <w:color w:val="auto"/>
              </w:rPr>
              <w:t>% Prior to</w:t>
            </w:r>
          </w:p>
        </w:tc>
        <w:tc>
          <w:tcPr>
            <w:tcW w:w="540" w:type="dxa"/>
            <w:vAlign w:val="bottom"/>
          </w:tcPr>
          <w:p>
            <w:pPr>
              <w:jc w:val="center"/>
              <w:spacing w:after="0"/>
              <w:rPr>
                <w:sz w:val="20"/>
                <w:szCs w:val="20"/>
                <w:color w:val="auto"/>
              </w:rPr>
            </w:pPr>
            <w:r>
              <w:rPr>
                <w:rFonts w:ascii="Arial" w:cs="Arial" w:eastAsia="Arial" w:hAnsi="Arial"/>
                <w:sz w:val="5"/>
                <w:szCs w:val="5"/>
                <w:b w:val="1"/>
                <w:bCs w:val="1"/>
                <w:color w:val="auto"/>
              </w:rPr>
              <w:t>Underwriters’</w:t>
            </w:r>
          </w:p>
        </w:tc>
        <w:tc>
          <w:tcPr>
            <w:tcW w:w="640" w:type="dxa"/>
            <w:vAlign w:val="bottom"/>
          </w:tcPr>
          <w:p>
            <w:pPr>
              <w:jc w:val="center"/>
              <w:ind w:left="85"/>
              <w:spacing w:after="0"/>
              <w:rPr>
                <w:sz w:val="20"/>
                <w:szCs w:val="20"/>
                <w:color w:val="auto"/>
              </w:rPr>
            </w:pPr>
            <w:r>
              <w:rPr>
                <w:rFonts w:ascii="Arial" w:cs="Arial" w:eastAsia="Arial" w:hAnsi="Arial"/>
                <w:sz w:val="5"/>
                <w:szCs w:val="5"/>
                <w:b w:val="1"/>
                <w:bCs w:val="1"/>
                <w:color w:val="auto"/>
              </w:rPr>
              <w:t>Underwriters’</w:t>
            </w:r>
          </w:p>
        </w:tc>
        <w:tc>
          <w:tcPr>
            <w:tcW w:w="0" w:type="dxa"/>
            <w:vAlign w:val="bottom"/>
          </w:tcPr>
          <w:p>
            <w:pPr>
              <w:spacing w:after="0"/>
              <w:rPr>
                <w:sz w:val="1"/>
                <w:szCs w:val="1"/>
                <w:color w:val="auto"/>
              </w:rPr>
            </w:pPr>
          </w:p>
        </w:tc>
      </w:tr>
      <w:tr>
        <w:trPr>
          <w:trHeight w:val="84"/>
        </w:trPr>
        <w:tc>
          <w:tcPr>
            <w:tcW w:w="68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center"/>
              <w:ind w:right="66"/>
              <w:spacing w:after="0" w:line="79" w:lineRule="exact"/>
              <w:rPr>
                <w:sz w:val="20"/>
                <w:szCs w:val="20"/>
                <w:color w:val="auto"/>
              </w:rPr>
            </w:pPr>
            <w:r>
              <w:rPr>
                <w:rFonts w:ascii="Arial" w:cs="Arial" w:eastAsia="Arial" w:hAnsi="Arial"/>
                <w:sz w:val="8"/>
                <w:szCs w:val="8"/>
                <w:b w:val="1"/>
                <w:bCs w:val="1"/>
                <w:color w:val="auto"/>
                <w:w w:val="88"/>
              </w:rPr>
              <w:t>the Offering</w:t>
            </w:r>
          </w:p>
        </w:tc>
        <w:tc>
          <w:tcPr>
            <w:tcW w:w="540" w:type="dxa"/>
            <w:vAlign w:val="bottom"/>
          </w:tcPr>
          <w:p>
            <w:pPr>
              <w:jc w:val="center"/>
              <w:spacing w:after="0" w:line="79" w:lineRule="exact"/>
              <w:rPr>
                <w:sz w:val="20"/>
                <w:szCs w:val="20"/>
                <w:color w:val="auto"/>
              </w:rPr>
            </w:pPr>
            <w:r>
              <w:rPr>
                <w:rFonts w:ascii="Arial" w:cs="Arial" w:eastAsia="Arial" w:hAnsi="Arial"/>
                <w:sz w:val="8"/>
                <w:szCs w:val="8"/>
                <w:b w:val="1"/>
                <w:bCs w:val="1"/>
                <w:color w:val="auto"/>
                <w:w w:val="87"/>
              </w:rPr>
              <w:t>Option is Not</w:t>
            </w:r>
          </w:p>
        </w:tc>
        <w:tc>
          <w:tcPr>
            <w:tcW w:w="640" w:type="dxa"/>
            <w:vAlign w:val="bottom"/>
          </w:tcPr>
          <w:p>
            <w:pPr>
              <w:jc w:val="center"/>
              <w:ind w:left="85"/>
              <w:spacing w:after="0" w:line="79" w:lineRule="exact"/>
              <w:rPr>
                <w:sz w:val="20"/>
                <w:szCs w:val="20"/>
                <w:color w:val="auto"/>
              </w:rPr>
            </w:pPr>
            <w:r>
              <w:rPr>
                <w:rFonts w:ascii="Arial" w:cs="Arial" w:eastAsia="Arial" w:hAnsi="Arial"/>
                <w:sz w:val="8"/>
                <w:szCs w:val="8"/>
                <w:b w:val="1"/>
                <w:bCs w:val="1"/>
                <w:color w:val="auto"/>
                <w:w w:val="92"/>
              </w:rPr>
              <w:t>Option is</w:t>
            </w:r>
          </w:p>
        </w:tc>
        <w:tc>
          <w:tcPr>
            <w:tcW w:w="0" w:type="dxa"/>
            <w:vAlign w:val="bottom"/>
          </w:tcPr>
          <w:p>
            <w:pPr>
              <w:spacing w:after="0"/>
              <w:rPr>
                <w:sz w:val="1"/>
                <w:szCs w:val="1"/>
                <w:color w:val="auto"/>
              </w:rPr>
            </w:pPr>
          </w:p>
        </w:tc>
      </w:tr>
      <w:tr>
        <w:trPr>
          <w:trHeight w:val="65"/>
        </w:trPr>
        <w:tc>
          <w:tcPr>
            <w:tcW w:w="620" w:type="dxa"/>
            <w:vAlign w:val="bottom"/>
            <w:tcBorders>
              <w:top w:val="single" w:sz="8" w:color="auto"/>
            </w:tcBorders>
            <w:gridSpan w:val="2"/>
          </w:tcPr>
          <w:p>
            <w:pPr>
              <w:spacing w:after="0" w:line="66" w:lineRule="exact"/>
              <w:rPr>
                <w:sz w:val="20"/>
                <w:szCs w:val="20"/>
                <w:color w:val="auto"/>
              </w:rPr>
            </w:pPr>
            <w:r>
              <w:rPr>
                <w:rFonts w:ascii="Arial" w:cs="Arial" w:eastAsia="Arial" w:hAnsi="Arial"/>
                <w:sz w:val="7"/>
                <w:szCs w:val="7"/>
                <w:b w:val="1"/>
                <w:bCs w:val="1"/>
                <w:color w:val="auto"/>
              </w:rPr>
              <w:t>Owner</w:t>
            </w:r>
          </w:p>
        </w:tc>
        <w:tc>
          <w:tcPr>
            <w:tcW w:w="60" w:type="dxa"/>
            <w:vAlign w:val="bottom"/>
          </w:tcPr>
          <w:p>
            <w:pPr>
              <w:spacing w:after="0"/>
              <w:rPr>
                <w:sz w:val="5"/>
                <w:szCs w:val="5"/>
                <w:color w:val="auto"/>
              </w:rPr>
            </w:pPr>
          </w:p>
        </w:tc>
        <w:tc>
          <w:tcPr>
            <w:tcW w:w="600" w:type="dxa"/>
            <w:vAlign w:val="bottom"/>
            <w:gridSpan w:val="2"/>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120" w:type="dxa"/>
            <w:vAlign w:val="bottom"/>
          </w:tcPr>
          <w:p>
            <w:pPr>
              <w:jc w:val="right"/>
              <w:ind w:right="7"/>
              <w:spacing w:after="0" w:line="66" w:lineRule="exact"/>
              <w:rPr>
                <w:sz w:val="20"/>
                <w:szCs w:val="20"/>
                <w:color w:val="auto"/>
              </w:rPr>
            </w:pPr>
            <w:r>
              <w:rPr>
                <w:rFonts w:ascii="Arial" w:cs="Arial" w:eastAsia="Arial" w:hAnsi="Arial"/>
                <w:sz w:val="7"/>
                <w:szCs w:val="7"/>
                <w:b w:val="1"/>
                <w:bCs w:val="1"/>
                <w:color w:val="auto"/>
                <w:w w:val="95"/>
              </w:rPr>
              <w:t>%</w:t>
            </w:r>
          </w:p>
        </w:tc>
        <w:tc>
          <w:tcPr>
            <w:tcW w:w="120" w:type="dxa"/>
            <w:vAlign w:val="bottom"/>
          </w:tcPr>
          <w:p>
            <w:pPr>
              <w:spacing w:after="0"/>
              <w:rPr>
                <w:sz w:val="5"/>
                <w:szCs w:val="5"/>
                <w:color w:val="auto"/>
              </w:rPr>
            </w:pPr>
          </w:p>
        </w:tc>
        <w:tc>
          <w:tcPr>
            <w:tcW w:w="620" w:type="dxa"/>
            <w:vAlign w:val="bottom"/>
            <w:gridSpan w:val="3"/>
          </w:tcPr>
          <w:p>
            <w:pPr>
              <w:ind w:left="80"/>
              <w:spacing w:after="0" w:line="66" w:lineRule="exact"/>
              <w:rPr>
                <w:sz w:val="20"/>
                <w:szCs w:val="20"/>
                <w:color w:val="auto"/>
              </w:rPr>
            </w:pPr>
            <w:r>
              <w:rPr>
                <w:rFonts w:ascii="Arial" w:cs="Arial" w:eastAsia="Arial" w:hAnsi="Arial"/>
                <w:sz w:val="7"/>
                <w:szCs w:val="7"/>
                <w:b w:val="1"/>
                <w:bCs w:val="1"/>
                <w:color w:val="auto"/>
              </w:rPr>
              <w:t>Number</w:t>
            </w:r>
          </w:p>
        </w:tc>
        <w:tc>
          <w:tcPr>
            <w:tcW w:w="180" w:type="dxa"/>
            <w:vAlign w:val="bottom"/>
          </w:tcPr>
          <w:p>
            <w:pPr>
              <w:jc w:val="right"/>
              <w:ind w:right="47"/>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640" w:type="dxa"/>
            <w:vAlign w:val="bottom"/>
            <w:gridSpan w:val="2"/>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180" w:type="dxa"/>
            <w:vAlign w:val="bottom"/>
          </w:tcPr>
          <w:p>
            <w:pPr>
              <w:jc w:val="right"/>
              <w:ind w:right="67"/>
              <w:spacing w:after="0" w:line="66" w:lineRule="exact"/>
              <w:rPr>
                <w:sz w:val="20"/>
                <w:szCs w:val="20"/>
                <w:color w:val="auto"/>
              </w:rPr>
            </w:pPr>
            <w:r>
              <w:rPr>
                <w:rFonts w:ascii="Arial" w:cs="Arial" w:eastAsia="Arial" w:hAnsi="Arial"/>
                <w:sz w:val="7"/>
                <w:szCs w:val="7"/>
                <w:b w:val="1"/>
                <w:bCs w:val="1"/>
                <w:color w:val="auto"/>
                <w:w w:val="95"/>
              </w:rPr>
              <w:t>%</w:t>
            </w:r>
          </w:p>
        </w:tc>
        <w:tc>
          <w:tcPr>
            <w:tcW w:w="120" w:type="dxa"/>
            <w:vAlign w:val="bottom"/>
          </w:tcPr>
          <w:p>
            <w:pPr>
              <w:spacing w:after="0"/>
              <w:rPr>
                <w:sz w:val="5"/>
                <w:szCs w:val="5"/>
                <w:color w:val="auto"/>
              </w:rPr>
            </w:pPr>
          </w:p>
        </w:tc>
        <w:tc>
          <w:tcPr>
            <w:tcW w:w="700" w:type="dxa"/>
            <w:vAlign w:val="bottom"/>
            <w:gridSpan w:val="2"/>
          </w:tcPr>
          <w:p>
            <w:pPr>
              <w:ind w:left="140"/>
              <w:spacing w:after="0" w:line="66" w:lineRule="exact"/>
              <w:rPr>
                <w:sz w:val="20"/>
                <w:szCs w:val="20"/>
                <w:color w:val="auto"/>
              </w:rPr>
            </w:pPr>
            <w:r>
              <w:rPr>
                <w:rFonts w:ascii="Arial" w:cs="Arial" w:eastAsia="Arial" w:hAnsi="Arial"/>
                <w:sz w:val="7"/>
                <w:szCs w:val="7"/>
                <w:b w:val="1"/>
                <w:bCs w:val="1"/>
                <w:color w:val="auto"/>
              </w:rPr>
              <w:t>Number</w:t>
            </w:r>
          </w:p>
        </w:tc>
        <w:tc>
          <w:tcPr>
            <w:tcW w:w="260" w:type="dxa"/>
            <w:vAlign w:val="bottom"/>
          </w:tcPr>
          <w:p>
            <w:pPr>
              <w:jc w:val="right"/>
              <w:ind w:right="84"/>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720" w:type="dxa"/>
            <w:vAlign w:val="bottom"/>
            <w:gridSpan w:val="3"/>
          </w:tcPr>
          <w:p>
            <w:pPr>
              <w:ind w:left="120"/>
              <w:spacing w:after="0" w:line="66" w:lineRule="exact"/>
              <w:rPr>
                <w:sz w:val="20"/>
                <w:szCs w:val="20"/>
                <w:color w:val="auto"/>
              </w:rPr>
            </w:pPr>
            <w:r>
              <w:rPr>
                <w:rFonts w:ascii="Arial" w:cs="Arial" w:eastAsia="Arial" w:hAnsi="Arial"/>
                <w:sz w:val="7"/>
                <w:szCs w:val="7"/>
                <w:b w:val="1"/>
                <w:bCs w:val="1"/>
                <w:color w:val="auto"/>
              </w:rPr>
              <w:t>Number</w:t>
            </w:r>
          </w:p>
        </w:tc>
        <w:tc>
          <w:tcPr>
            <w:tcW w:w="220" w:type="dxa"/>
            <w:vAlign w:val="bottom"/>
          </w:tcPr>
          <w:p>
            <w:pPr>
              <w:jc w:val="right"/>
              <w:ind w:right="67"/>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540" w:type="dxa"/>
            <w:vAlign w:val="bottom"/>
          </w:tcPr>
          <w:p>
            <w:pPr>
              <w:ind w:left="140"/>
              <w:spacing w:after="0" w:line="66" w:lineRule="exact"/>
              <w:rPr>
                <w:sz w:val="20"/>
                <w:szCs w:val="20"/>
                <w:color w:val="auto"/>
              </w:rPr>
            </w:pPr>
            <w:r>
              <w:rPr>
                <w:rFonts w:ascii="Arial" w:cs="Arial" w:eastAsia="Arial" w:hAnsi="Arial"/>
                <w:sz w:val="7"/>
                <w:szCs w:val="7"/>
                <w:b w:val="1"/>
                <w:bCs w:val="1"/>
                <w:color w:val="auto"/>
              </w:rPr>
              <w:t>Number</w:t>
            </w:r>
          </w:p>
        </w:tc>
        <w:tc>
          <w:tcPr>
            <w:tcW w:w="400" w:type="dxa"/>
            <w:vAlign w:val="bottom"/>
          </w:tcPr>
          <w:p>
            <w:pPr>
              <w:jc w:val="right"/>
              <w:ind w:right="67"/>
              <w:spacing w:after="0" w:line="66" w:lineRule="exact"/>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5"/>
                <w:szCs w:val="5"/>
                <w:color w:val="auto"/>
              </w:rPr>
            </w:pPr>
          </w:p>
        </w:tc>
        <w:tc>
          <w:tcPr>
            <w:tcW w:w="680" w:type="dxa"/>
            <w:vAlign w:val="bottom"/>
            <w:gridSpan w:val="2"/>
          </w:tcPr>
          <w:p>
            <w:pPr>
              <w:ind w:left="120"/>
              <w:spacing w:after="0" w:line="66" w:lineRule="exact"/>
              <w:rPr>
                <w:sz w:val="20"/>
                <w:szCs w:val="20"/>
                <w:color w:val="auto"/>
              </w:rPr>
            </w:pPr>
            <w:r>
              <w:rPr>
                <w:rFonts w:ascii="Arial" w:cs="Arial" w:eastAsia="Arial" w:hAnsi="Arial"/>
                <w:sz w:val="7"/>
                <w:szCs w:val="7"/>
                <w:b w:val="1"/>
                <w:bCs w:val="1"/>
                <w:color w:val="auto"/>
              </w:rPr>
              <w:t>Number</w:t>
            </w:r>
          </w:p>
        </w:tc>
        <w:tc>
          <w:tcPr>
            <w:tcW w:w="240" w:type="dxa"/>
            <w:vAlign w:val="bottom"/>
          </w:tcPr>
          <w:p>
            <w:pPr>
              <w:jc w:val="right"/>
              <w:ind w:right="84"/>
              <w:spacing w:after="0" w:line="66" w:lineRule="exact"/>
              <w:rPr>
                <w:sz w:val="20"/>
                <w:szCs w:val="20"/>
                <w:color w:val="auto"/>
              </w:rPr>
            </w:pPr>
            <w:r>
              <w:rPr>
                <w:rFonts w:ascii="Arial" w:cs="Arial" w:eastAsia="Arial" w:hAnsi="Arial"/>
                <w:sz w:val="7"/>
                <w:szCs w:val="7"/>
                <w:b w:val="1"/>
                <w:bCs w:val="1"/>
                <w:color w:val="auto"/>
              </w:rPr>
              <w:t>%</w:t>
            </w:r>
          </w:p>
        </w:tc>
        <w:tc>
          <w:tcPr>
            <w:tcW w:w="100" w:type="dxa"/>
            <w:vAlign w:val="bottom"/>
          </w:tcPr>
          <w:p>
            <w:pPr>
              <w:spacing w:after="0"/>
              <w:rPr>
                <w:sz w:val="5"/>
                <w:szCs w:val="5"/>
                <w:color w:val="auto"/>
              </w:rPr>
            </w:pPr>
          </w:p>
        </w:tc>
        <w:tc>
          <w:tcPr>
            <w:tcW w:w="680" w:type="dxa"/>
            <w:vAlign w:val="bottom"/>
            <w:gridSpan w:val="3"/>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200" w:type="dxa"/>
            <w:vAlign w:val="bottom"/>
          </w:tcPr>
          <w:p>
            <w:pPr>
              <w:jc w:val="right"/>
              <w:ind w:right="67"/>
              <w:spacing w:after="0" w:line="66" w:lineRule="exact"/>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5"/>
                <w:szCs w:val="5"/>
                <w:color w:val="auto"/>
              </w:rPr>
            </w:pPr>
          </w:p>
        </w:tc>
        <w:tc>
          <w:tcPr>
            <w:tcW w:w="480" w:type="dxa"/>
            <w:vAlign w:val="bottom"/>
          </w:tcPr>
          <w:p>
            <w:pPr>
              <w:ind w:left="100"/>
              <w:spacing w:after="0" w:line="66" w:lineRule="exact"/>
              <w:rPr>
                <w:sz w:val="20"/>
                <w:szCs w:val="20"/>
                <w:color w:val="auto"/>
              </w:rPr>
            </w:pPr>
            <w:r>
              <w:rPr>
                <w:rFonts w:ascii="Arial" w:cs="Arial" w:eastAsia="Arial" w:hAnsi="Arial"/>
                <w:sz w:val="7"/>
                <w:szCs w:val="7"/>
                <w:b w:val="1"/>
                <w:bCs w:val="1"/>
                <w:color w:val="auto"/>
              </w:rPr>
              <w:t>Number</w:t>
            </w:r>
          </w:p>
        </w:tc>
        <w:tc>
          <w:tcPr>
            <w:tcW w:w="400" w:type="dxa"/>
            <w:vAlign w:val="bottom"/>
          </w:tcPr>
          <w:p>
            <w:pPr>
              <w:jc w:val="right"/>
              <w:ind w:right="67"/>
              <w:spacing w:after="0" w:line="66" w:lineRule="exact"/>
              <w:rPr>
                <w:sz w:val="20"/>
                <w:szCs w:val="20"/>
                <w:color w:val="auto"/>
              </w:rPr>
            </w:pPr>
            <w:r>
              <w:rPr>
                <w:rFonts w:ascii="Arial" w:cs="Arial" w:eastAsia="Arial" w:hAnsi="Arial"/>
                <w:sz w:val="7"/>
                <w:szCs w:val="7"/>
                <w:b w:val="1"/>
                <w:bCs w:val="1"/>
                <w:color w:val="auto"/>
              </w:rPr>
              <w:t>%</w:t>
            </w:r>
          </w:p>
        </w:tc>
        <w:tc>
          <w:tcPr>
            <w:tcW w:w="120" w:type="dxa"/>
            <w:vAlign w:val="bottom"/>
          </w:tcPr>
          <w:p>
            <w:pPr>
              <w:spacing w:after="0"/>
              <w:rPr>
                <w:sz w:val="5"/>
                <w:szCs w:val="5"/>
                <w:color w:val="auto"/>
              </w:rPr>
            </w:pPr>
          </w:p>
        </w:tc>
        <w:tc>
          <w:tcPr>
            <w:tcW w:w="580" w:type="dxa"/>
            <w:vAlign w:val="bottom"/>
          </w:tcPr>
          <w:p>
            <w:pPr>
              <w:jc w:val="center"/>
              <w:ind w:right="66"/>
              <w:spacing w:after="0" w:line="66" w:lineRule="exact"/>
              <w:rPr>
                <w:sz w:val="20"/>
                <w:szCs w:val="20"/>
                <w:color w:val="auto"/>
              </w:rPr>
            </w:pPr>
            <w:r>
              <w:rPr>
                <w:rFonts w:ascii="Arial" w:cs="Arial" w:eastAsia="Arial" w:hAnsi="Arial"/>
                <w:sz w:val="7"/>
                <w:szCs w:val="7"/>
                <w:b w:val="1"/>
                <w:bCs w:val="1"/>
                <w:color w:val="auto"/>
              </w:rPr>
              <w:t>Transactions</w:t>
            </w:r>
          </w:p>
        </w:tc>
        <w:tc>
          <w:tcPr>
            <w:tcW w:w="540" w:type="dxa"/>
            <w:vAlign w:val="bottom"/>
          </w:tcPr>
          <w:p>
            <w:pPr>
              <w:jc w:val="center"/>
              <w:spacing w:after="0" w:line="66" w:lineRule="exact"/>
              <w:rPr>
                <w:sz w:val="20"/>
                <w:szCs w:val="20"/>
                <w:color w:val="auto"/>
              </w:rPr>
            </w:pPr>
            <w:r>
              <w:rPr>
                <w:rFonts w:ascii="Arial" w:cs="Arial" w:eastAsia="Arial" w:hAnsi="Arial"/>
                <w:sz w:val="7"/>
                <w:szCs w:val="7"/>
                <w:b w:val="1"/>
                <w:bCs w:val="1"/>
                <w:color w:val="auto"/>
                <w:w w:val="96"/>
              </w:rPr>
              <w:t>Exercised</w:t>
            </w:r>
          </w:p>
        </w:tc>
        <w:tc>
          <w:tcPr>
            <w:tcW w:w="640" w:type="dxa"/>
            <w:vAlign w:val="bottom"/>
          </w:tcPr>
          <w:p>
            <w:pPr>
              <w:jc w:val="center"/>
              <w:ind w:left="85"/>
              <w:spacing w:after="0" w:line="66" w:lineRule="exact"/>
              <w:rPr>
                <w:sz w:val="20"/>
                <w:szCs w:val="20"/>
                <w:color w:val="auto"/>
              </w:rPr>
            </w:pPr>
            <w:r>
              <w:rPr>
                <w:rFonts w:ascii="Arial" w:cs="Arial" w:eastAsia="Arial" w:hAnsi="Arial"/>
                <w:sz w:val="7"/>
                <w:szCs w:val="7"/>
                <w:b w:val="1"/>
                <w:bCs w:val="1"/>
                <w:color w:val="auto"/>
                <w:w w:val="96"/>
              </w:rPr>
              <w:t>Exercised</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-7620</wp:posOffset>
            </wp:positionV>
            <wp:extent cx="7197725" cy="3676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7725" cy="3676015"/>
                    </a:xfrm>
                    <a:prstGeom prst="rect">
                      <a:avLst/>
                    </a:prstGeom>
                    <a:noFill/>
                  </pic:spPr>
                </pic:pic>
              </a:graphicData>
            </a:graphic>
          </wp:anchor>
        </w:drawing>
      </w:r>
    </w:p>
    <w:p>
      <w:pPr>
        <w:sectPr>
          <w:pgSz w:w="11900" w:h="16838" w:orient="portrait"/>
          <w:cols w:equalWidth="0" w:num="1">
            <w:col w:w="11300"/>
          </w:cols>
          <w:pgMar w:left="360" w:top="593" w:right="239" w:bottom="1440" w:gutter="0" w:footer="0" w:header="0"/>
        </w:sectPr>
      </w:pPr>
    </w:p>
    <w:tbl>
      <w:tblPr>
        <w:tblLayout w:type="fixed"/>
        <w:tblInd w:w="0" w:type="dxa"/>
        <w:tblCellMar>
          <w:top w:w="0" w:type="dxa"/>
          <w:left w:w="0" w:type="dxa"/>
          <w:bottom w:w="0" w:type="dxa"/>
          <w:right w:w="0" w:type="dxa"/>
        </w:tblCellMar>
      </w:tblPr>
      <w:tr>
        <w:trPr>
          <w:trHeight w:val="119"/>
        </w:trPr>
        <w:tc>
          <w:tcPr>
            <w:tcW w:w="700" w:type="dxa"/>
            <w:vAlign w:val="bottom"/>
          </w:tcPr>
          <w:p>
            <w:pPr>
              <w:spacing w:after="0" w:line="119" w:lineRule="exact"/>
              <w:rPr>
                <w:sz w:val="20"/>
                <w:szCs w:val="20"/>
                <w:color w:val="auto"/>
              </w:rPr>
            </w:pPr>
            <w:r>
              <w:rPr>
                <w:rFonts w:ascii="Arial" w:cs="Arial" w:eastAsia="Arial" w:hAnsi="Arial"/>
                <w:sz w:val="8"/>
                <w:szCs w:val="8"/>
                <w:color w:val="auto"/>
              </w:rPr>
              <w:t>TA Associates</w:t>
            </w:r>
            <w:r>
              <w:rPr>
                <w:rFonts w:ascii="Arial" w:cs="Arial" w:eastAsia="Arial" w:hAnsi="Arial"/>
                <w:sz w:val="13"/>
                <w:szCs w:val="13"/>
                <w:color w:val="auto"/>
                <w:vertAlign w:val="superscript"/>
              </w:rPr>
              <w:t>(5)</w:t>
            </w:r>
          </w:p>
        </w:tc>
        <w:tc>
          <w:tcPr>
            <w:tcW w:w="540" w:type="dxa"/>
            <w:vAlign w:val="bottom"/>
            <w:vMerge w:val="restart"/>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auto"/>
                <w:w w:val="87"/>
              </w:rPr>
              <w:t>91,933,630</w:t>
            </w: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4"/>
              </w:rPr>
              <w:t>37.9%</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3"/>
              </w:rPr>
              <w:t>90,091,812</w:t>
            </w:r>
          </w:p>
        </w:tc>
        <w:tc>
          <w:tcPr>
            <w:tcW w:w="10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91"/>
              </w:rPr>
              <w:t>37.7%</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7"/>
              </w:rPr>
              <w:t>90,091,812</w:t>
            </w: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4"/>
              </w:rPr>
              <w:t>37.7%</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auto"/>
                <w:w w:val="87"/>
              </w:rPr>
              <w:t>33,453,032</w:t>
            </w:r>
          </w:p>
        </w:tc>
        <w:tc>
          <w:tcPr>
            <w:tcW w:w="320" w:type="dxa"/>
            <w:vAlign w:val="bottom"/>
            <w:vMerge w:val="restart"/>
          </w:tcPr>
          <w:p>
            <w:pPr>
              <w:jc w:val="center"/>
              <w:spacing w:after="0"/>
              <w:rPr>
                <w:sz w:val="20"/>
                <w:szCs w:val="20"/>
                <w:color w:val="auto"/>
              </w:rPr>
            </w:pPr>
            <w:r>
              <w:rPr>
                <w:rFonts w:ascii="Arial" w:cs="Arial" w:eastAsia="Arial" w:hAnsi="Arial"/>
                <w:sz w:val="10"/>
                <w:szCs w:val="10"/>
                <w:color w:val="auto"/>
                <w:w w:val="84"/>
              </w:rPr>
              <w:t>34.0%</w:t>
            </w:r>
          </w:p>
        </w:tc>
        <w:tc>
          <w:tcPr>
            <w:tcW w:w="1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7"/>
              </w:rPr>
              <w:t>33,177,763</w:t>
            </w:r>
          </w:p>
        </w:tc>
        <w:tc>
          <w:tcPr>
            <w:tcW w:w="10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4"/>
              </w:rPr>
              <w:t>33.8%</w:t>
            </w:r>
          </w:p>
        </w:tc>
        <w:tc>
          <w:tcPr>
            <w:tcW w:w="12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3"/>
              </w:rPr>
              <w:t>33,177,763</w:t>
            </w:r>
          </w:p>
        </w:tc>
        <w:tc>
          <w:tcPr>
            <w:tcW w:w="500" w:type="dxa"/>
            <w:vAlign w:val="bottom"/>
            <w:vMerge w:val="restart"/>
          </w:tcPr>
          <w:p>
            <w:pPr>
              <w:jc w:val="center"/>
              <w:spacing w:after="0"/>
              <w:rPr>
                <w:sz w:val="20"/>
                <w:szCs w:val="20"/>
                <w:color w:val="auto"/>
              </w:rPr>
            </w:pPr>
            <w:r>
              <w:rPr>
                <w:rFonts w:ascii="Arial" w:cs="Arial" w:eastAsia="Arial" w:hAnsi="Arial"/>
                <w:sz w:val="10"/>
                <w:szCs w:val="10"/>
                <w:color w:val="auto"/>
                <w:w w:val="91"/>
              </w:rPr>
              <w:t>33.8%</w:t>
            </w:r>
          </w:p>
        </w:tc>
        <w:tc>
          <w:tcPr>
            <w:tcW w:w="600" w:type="dxa"/>
            <w:vAlign w:val="bottom"/>
            <w:vMerge w:val="restart"/>
          </w:tcPr>
          <w:p>
            <w:pPr>
              <w:jc w:val="center"/>
              <w:ind w:right="12"/>
              <w:spacing w:after="0"/>
              <w:rPr>
                <w:sz w:val="20"/>
                <w:szCs w:val="20"/>
                <w:color w:val="auto"/>
              </w:rPr>
            </w:pPr>
            <w:r>
              <w:rPr>
                <w:rFonts w:ascii="Arial" w:cs="Arial" w:eastAsia="Arial" w:hAnsi="Arial"/>
                <w:sz w:val="10"/>
                <w:szCs w:val="10"/>
                <w:color w:val="auto"/>
                <w:w w:val="91"/>
              </w:rPr>
              <w:t>36.8%</w:t>
            </w: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4"/>
              </w:rPr>
              <w:t>36.1%</w:t>
            </w:r>
          </w:p>
        </w:tc>
        <w:tc>
          <w:tcPr>
            <w:tcW w:w="0" w:type="dxa"/>
            <w:vAlign w:val="bottom"/>
          </w:tcPr>
          <w:p>
            <w:pPr>
              <w:spacing w:after="0"/>
              <w:rPr>
                <w:sz w:val="1"/>
                <w:szCs w:val="1"/>
                <w:color w:val="auto"/>
              </w:rPr>
            </w:pPr>
          </w:p>
        </w:tc>
      </w:tr>
      <w:tr>
        <w:trPr>
          <w:trHeight w:val="105"/>
        </w:trPr>
        <w:tc>
          <w:tcPr>
            <w:tcW w:w="700" w:type="dxa"/>
            <w:vAlign w:val="bottom"/>
          </w:tcPr>
          <w:p>
            <w:pPr>
              <w:ind w:left="140"/>
              <w:spacing w:after="0"/>
              <w:rPr>
                <w:sz w:val="20"/>
                <w:szCs w:val="20"/>
                <w:color w:val="auto"/>
              </w:rPr>
            </w:pPr>
            <w:r>
              <w:rPr>
                <w:rFonts w:ascii="Arial" w:cs="Arial" w:eastAsia="Arial" w:hAnsi="Arial"/>
                <w:sz w:val="8"/>
                <w:szCs w:val="8"/>
                <w:color w:val="auto"/>
              </w:rPr>
              <w:t>(22)</w:t>
            </w:r>
          </w:p>
        </w:tc>
        <w:tc>
          <w:tcPr>
            <w:tcW w:w="54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20"/>
                <w:szCs w:val="20"/>
                <w:color w:val="auto"/>
              </w:rPr>
            </w:pPr>
            <w:r>
              <w:rPr>
                <w:rFonts w:ascii="Arial" w:cs="Arial" w:eastAsia="Arial" w:hAnsi="Arial"/>
                <w:sz w:val="10"/>
                <w:szCs w:val="10"/>
                <w:color w:val="auto"/>
              </w:rPr>
              <w:t>Investment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00" w:type="dxa"/>
            <w:vAlign w:val="bottom"/>
          </w:tcPr>
          <w:p>
            <w:pPr>
              <w:ind w:left="140"/>
              <w:spacing w:after="0"/>
              <w:rPr>
                <w:sz w:val="20"/>
                <w:szCs w:val="20"/>
                <w:color w:val="auto"/>
              </w:rPr>
            </w:pPr>
            <w:r>
              <w:rPr>
                <w:rFonts w:ascii="Arial" w:cs="Arial" w:eastAsia="Arial" w:hAnsi="Arial"/>
                <w:sz w:val="10"/>
                <w:szCs w:val="10"/>
                <w:color w:val="auto"/>
              </w:rPr>
              <w:t>Funds</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tcPr>
          <w:p>
            <w:pPr>
              <w:ind w:left="140"/>
              <w:spacing w:after="0"/>
              <w:rPr>
                <w:sz w:val="20"/>
                <w:szCs w:val="20"/>
                <w:color w:val="auto"/>
              </w:rPr>
            </w:pPr>
            <w:r>
              <w:rPr>
                <w:rFonts w:ascii="Arial" w:cs="Arial" w:eastAsia="Arial" w:hAnsi="Arial"/>
                <w:sz w:val="10"/>
                <w:szCs w:val="10"/>
                <w:color w:val="auto"/>
              </w:rPr>
              <w:t>affiliated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40"/>
              <w:spacing w:after="0" w:line="108" w:lineRule="exact"/>
              <w:rPr>
                <w:sz w:val="20"/>
                <w:szCs w:val="20"/>
                <w:color w:val="auto"/>
              </w:rPr>
            </w:pPr>
            <w:r>
              <w:rPr>
                <w:rFonts w:ascii="Arial" w:cs="Arial" w:eastAsia="Arial" w:hAnsi="Arial"/>
                <w:sz w:val="10"/>
                <w:szCs w:val="10"/>
                <w:color w:val="auto"/>
              </w:rPr>
              <w:t>with</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140"/>
              <w:spacing w:after="0" w:line="171" w:lineRule="exact"/>
              <w:rPr>
                <w:sz w:val="20"/>
                <w:szCs w:val="20"/>
                <w:color w:val="auto"/>
              </w:rPr>
            </w:pPr>
            <w:r>
              <w:rPr>
                <w:rFonts w:ascii="Arial" w:cs="Arial" w:eastAsia="Arial" w:hAnsi="Arial"/>
                <w:sz w:val="19"/>
                <w:szCs w:val="19"/>
                <w:color w:val="auto"/>
                <w:w w:val="85"/>
                <w:vertAlign w:val="subscript"/>
              </w:rPr>
              <w:t>Carlyle</w:t>
            </w:r>
            <w:r>
              <w:rPr>
                <w:rFonts w:ascii="Arial" w:cs="Arial" w:eastAsia="Arial" w:hAnsi="Arial"/>
                <w:sz w:val="8"/>
                <w:szCs w:val="8"/>
                <w:color w:val="auto"/>
                <w:w w:val="85"/>
              </w:rPr>
              <w:t>(6)(22)</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87"/>
              </w:rPr>
              <w:t>44,943,347</w:t>
            </w: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18.5%</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3"/>
              </w:rPr>
              <w:t>44,943,347</w:t>
            </w:r>
          </w:p>
        </w:tc>
        <w:tc>
          <w:tcPr>
            <w:tcW w:w="1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1"/>
              </w:rPr>
              <w:t>18.8%</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7"/>
              </w:rPr>
              <w:t>44,943,347</w:t>
            </w:r>
          </w:p>
        </w:tc>
        <w:tc>
          <w:tcPr>
            <w:tcW w:w="480" w:type="dxa"/>
            <w:vAlign w:val="bottom"/>
          </w:tcPr>
          <w:p>
            <w:pPr>
              <w:jc w:val="center"/>
              <w:spacing w:after="0"/>
              <w:rPr>
                <w:sz w:val="20"/>
                <w:szCs w:val="20"/>
                <w:color w:val="auto"/>
              </w:rPr>
            </w:pPr>
            <w:r>
              <w:rPr>
                <w:rFonts w:ascii="Arial" w:cs="Arial" w:eastAsia="Arial" w:hAnsi="Arial"/>
                <w:sz w:val="10"/>
                <w:szCs w:val="10"/>
                <w:color w:val="auto"/>
                <w:w w:val="84"/>
              </w:rPr>
              <w:t>18.8%</w:t>
            </w:r>
          </w:p>
        </w:tc>
        <w:tc>
          <w:tcPr>
            <w:tcW w:w="640" w:type="dxa"/>
            <w:vAlign w:val="bottom"/>
          </w:tcPr>
          <w:p>
            <w:pPr>
              <w:jc w:val="center"/>
              <w:spacing w:after="0"/>
              <w:rPr>
                <w:sz w:val="20"/>
                <w:szCs w:val="20"/>
                <w:color w:val="auto"/>
              </w:rPr>
            </w:pPr>
            <w:r>
              <w:rPr>
                <w:rFonts w:ascii="Arial" w:cs="Arial" w:eastAsia="Arial" w:hAnsi="Arial"/>
                <w:sz w:val="10"/>
                <w:szCs w:val="10"/>
                <w:color w:val="auto"/>
                <w:w w:val="87"/>
              </w:rPr>
              <w:t>61,244,198</w:t>
            </w:r>
          </w:p>
        </w:tc>
        <w:tc>
          <w:tcPr>
            <w:tcW w:w="320" w:type="dxa"/>
            <w:vAlign w:val="bottom"/>
          </w:tcPr>
          <w:p>
            <w:pPr>
              <w:jc w:val="center"/>
              <w:spacing w:after="0"/>
              <w:rPr>
                <w:sz w:val="20"/>
                <w:szCs w:val="20"/>
                <w:color w:val="auto"/>
              </w:rPr>
            </w:pPr>
            <w:r>
              <w:rPr>
                <w:rFonts w:ascii="Arial" w:cs="Arial" w:eastAsia="Arial" w:hAnsi="Arial"/>
                <w:sz w:val="10"/>
                <w:szCs w:val="10"/>
                <w:color w:val="auto"/>
                <w:w w:val="84"/>
              </w:rPr>
              <w:t>62.3%</w:t>
            </w:r>
          </w:p>
        </w:tc>
        <w:tc>
          <w:tcPr>
            <w:tcW w:w="1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7"/>
              </w:rPr>
              <w:t>61,244,198</w:t>
            </w:r>
          </w:p>
        </w:tc>
        <w:tc>
          <w:tcPr>
            <w:tcW w:w="1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62.4%</w:t>
            </w:r>
          </w:p>
        </w:tc>
        <w:tc>
          <w:tcPr>
            <w:tcW w:w="1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3"/>
              </w:rPr>
              <w:t>61,244,198</w:t>
            </w:r>
          </w:p>
        </w:tc>
        <w:tc>
          <w:tcPr>
            <w:tcW w:w="500" w:type="dxa"/>
            <w:vAlign w:val="bottom"/>
          </w:tcPr>
          <w:p>
            <w:pPr>
              <w:jc w:val="center"/>
              <w:spacing w:after="0"/>
              <w:rPr>
                <w:sz w:val="20"/>
                <w:szCs w:val="20"/>
                <w:color w:val="auto"/>
              </w:rPr>
            </w:pPr>
            <w:r>
              <w:rPr>
                <w:rFonts w:ascii="Arial" w:cs="Arial" w:eastAsia="Arial" w:hAnsi="Arial"/>
                <w:sz w:val="10"/>
                <w:szCs w:val="10"/>
                <w:color w:val="auto"/>
                <w:w w:val="91"/>
              </w:rPr>
              <w:t>62.4%</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1"/>
              </w:rPr>
              <w:t>31.2%</w:t>
            </w:r>
          </w:p>
        </w:tc>
        <w:tc>
          <w:tcPr>
            <w:tcW w:w="540" w:type="dxa"/>
            <w:vAlign w:val="bottom"/>
          </w:tcPr>
          <w:p>
            <w:pPr>
              <w:jc w:val="center"/>
              <w:spacing w:after="0"/>
              <w:rPr>
                <w:sz w:val="20"/>
                <w:szCs w:val="20"/>
                <w:color w:val="auto"/>
              </w:rPr>
            </w:pPr>
            <w:r>
              <w:rPr>
                <w:rFonts w:ascii="Arial" w:cs="Arial" w:eastAsia="Arial" w:hAnsi="Arial"/>
                <w:sz w:val="10"/>
                <w:szCs w:val="10"/>
                <w:color w:val="auto"/>
                <w:w w:val="84"/>
              </w:rPr>
              <w:t>31.1%</w:t>
            </w:r>
          </w:p>
        </w:tc>
        <w:tc>
          <w:tcPr>
            <w:tcW w:w="0" w:type="dxa"/>
            <w:vAlign w:val="bottom"/>
          </w:tcPr>
          <w:p>
            <w:pPr>
              <w:spacing w:after="0"/>
              <w:rPr>
                <w:sz w:val="1"/>
                <w:szCs w:val="1"/>
                <w:color w:val="auto"/>
              </w:rPr>
            </w:pPr>
          </w:p>
        </w:tc>
      </w:tr>
      <w:tr>
        <w:trPr>
          <w:trHeight w:val="118"/>
        </w:trPr>
        <w:tc>
          <w:tcPr>
            <w:tcW w:w="700" w:type="dxa"/>
            <w:vAlign w:val="bottom"/>
          </w:tcPr>
          <w:p>
            <w:pPr>
              <w:spacing w:after="0" w:line="118" w:lineRule="exact"/>
              <w:rPr>
                <w:sz w:val="20"/>
                <w:szCs w:val="20"/>
                <w:color w:val="auto"/>
              </w:rPr>
            </w:pPr>
            <w:r>
              <w:rPr>
                <w:rFonts w:ascii="Arial" w:cs="Arial" w:eastAsia="Arial" w:hAnsi="Arial"/>
                <w:sz w:val="8"/>
                <w:szCs w:val="8"/>
                <w:color w:val="auto"/>
              </w:rPr>
              <w:t>22C Capital</w:t>
            </w:r>
            <w:r>
              <w:rPr>
                <w:rFonts w:ascii="Arial" w:cs="Arial" w:eastAsia="Arial" w:hAnsi="Arial"/>
                <w:sz w:val="13"/>
                <w:szCs w:val="13"/>
                <w:color w:val="auto"/>
                <w:vertAlign w:val="superscript"/>
              </w:rPr>
              <w:t>(7)</w:t>
            </w:r>
          </w:p>
        </w:tc>
        <w:tc>
          <w:tcPr>
            <w:tcW w:w="540" w:type="dxa"/>
            <w:vAlign w:val="bottom"/>
            <w:vMerge w:val="restart"/>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auto"/>
                <w:w w:val="87"/>
              </w:rPr>
              <w:t>18,065,575</w:t>
            </w: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7"/>
              </w:rPr>
              <w:t>7.5%</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3"/>
              </w:rPr>
              <w:t>18,065,575</w:t>
            </w:r>
          </w:p>
        </w:tc>
        <w:tc>
          <w:tcPr>
            <w:tcW w:w="10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7"/>
              </w:rPr>
              <w:t>7.6%</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7"/>
              </w:rPr>
              <w:t>18,065,575</w:t>
            </w: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7"/>
              </w:rPr>
              <w:t>7.6%</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auto"/>
                <w:w w:val="85"/>
              </w:rPr>
              <w:t>3,684,426</w:t>
            </w:r>
          </w:p>
        </w:tc>
        <w:tc>
          <w:tcPr>
            <w:tcW w:w="320" w:type="dxa"/>
            <w:vAlign w:val="bottom"/>
            <w:vMerge w:val="restart"/>
          </w:tcPr>
          <w:p>
            <w:pPr>
              <w:jc w:val="center"/>
              <w:spacing w:after="0"/>
              <w:rPr>
                <w:sz w:val="20"/>
                <w:szCs w:val="20"/>
                <w:color w:val="auto"/>
              </w:rPr>
            </w:pPr>
            <w:r>
              <w:rPr>
                <w:rFonts w:ascii="Arial" w:cs="Arial" w:eastAsia="Arial" w:hAnsi="Arial"/>
                <w:sz w:val="10"/>
                <w:szCs w:val="10"/>
                <w:color w:val="auto"/>
                <w:w w:val="87"/>
              </w:rPr>
              <w:t>3.7%</w:t>
            </w:r>
          </w:p>
        </w:tc>
        <w:tc>
          <w:tcPr>
            <w:tcW w:w="1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9"/>
              </w:rPr>
              <w:t>3,684,426</w:t>
            </w:r>
          </w:p>
        </w:tc>
        <w:tc>
          <w:tcPr>
            <w:tcW w:w="10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7"/>
              </w:rPr>
              <w:t>3.8%</w:t>
            </w:r>
          </w:p>
        </w:tc>
        <w:tc>
          <w:tcPr>
            <w:tcW w:w="12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5"/>
              </w:rPr>
              <w:t>3,684,426</w:t>
            </w:r>
          </w:p>
        </w:tc>
        <w:tc>
          <w:tcPr>
            <w:tcW w:w="500" w:type="dxa"/>
            <w:vAlign w:val="bottom"/>
            <w:vMerge w:val="restart"/>
          </w:tcPr>
          <w:p>
            <w:pPr>
              <w:jc w:val="center"/>
              <w:spacing w:after="0"/>
              <w:rPr>
                <w:sz w:val="20"/>
                <w:szCs w:val="20"/>
                <w:color w:val="auto"/>
              </w:rPr>
            </w:pPr>
            <w:r>
              <w:rPr>
                <w:rFonts w:ascii="Arial" w:cs="Arial" w:eastAsia="Arial" w:hAnsi="Arial"/>
                <w:sz w:val="10"/>
                <w:szCs w:val="10"/>
                <w:color w:val="auto"/>
                <w:w w:val="87"/>
              </w:rPr>
              <w:t>3.8%</w:t>
            </w:r>
          </w:p>
        </w:tc>
        <w:tc>
          <w:tcPr>
            <w:tcW w:w="600" w:type="dxa"/>
            <w:vAlign w:val="bottom"/>
            <w:vMerge w:val="restart"/>
          </w:tcPr>
          <w:p>
            <w:pPr>
              <w:jc w:val="center"/>
              <w:ind w:right="32"/>
              <w:spacing w:after="0"/>
              <w:rPr>
                <w:sz w:val="20"/>
                <w:szCs w:val="20"/>
                <w:color w:val="auto"/>
              </w:rPr>
            </w:pPr>
            <w:r>
              <w:rPr>
                <w:rFonts w:ascii="Arial" w:cs="Arial" w:eastAsia="Arial" w:hAnsi="Arial"/>
                <w:sz w:val="10"/>
                <w:szCs w:val="10"/>
                <w:color w:val="auto"/>
                <w:w w:val="87"/>
              </w:rPr>
              <w:t>6.4%</w:t>
            </w: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7"/>
              </w:rPr>
              <w:t>6.4%</w:t>
            </w:r>
          </w:p>
        </w:tc>
        <w:tc>
          <w:tcPr>
            <w:tcW w:w="0" w:type="dxa"/>
            <w:vAlign w:val="bottom"/>
          </w:tcPr>
          <w:p>
            <w:pPr>
              <w:spacing w:after="0"/>
              <w:rPr>
                <w:sz w:val="1"/>
                <w:szCs w:val="1"/>
                <w:color w:val="auto"/>
              </w:rPr>
            </w:pPr>
          </w:p>
        </w:tc>
      </w:tr>
      <w:tr>
        <w:trPr>
          <w:trHeight w:val="105"/>
        </w:trPr>
        <w:tc>
          <w:tcPr>
            <w:tcW w:w="700" w:type="dxa"/>
            <w:vAlign w:val="bottom"/>
          </w:tcPr>
          <w:p>
            <w:pPr>
              <w:ind w:left="140"/>
              <w:spacing w:after="0"/>
              <w:rPr>
                <w:sz w:val="20"/>
                <w:szCs w:val="20"/>
                <w:color w:val="auto"/>
              </w:rPr>
            </w:pPr>
            <w:r>
              <w:rPr>
                <w:rFonts w:ascii="Arial" w:cs="Arial" w:eastAsia="Arial" w:hAnsi="Arial"/>
                <w:sz w:val="8"/>
                <w:szCs w:val="8"/>
                <w:color w:val="auto"/>
              </w:rPr>
              <w:t>(22)</w:t>
            </w:r>
          </w:p>
        </w:tc>
        <w:tc>
          <w:tcPr>
            <w:tcW w:w="54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20"/>
                <w:szCs w:val="20"/>
                <w:color w:val="auto"/>
              </w:rPr>
            </w:pPr>
            <w:r>
              <w:rPr>
                <w:rFonts w:ascii="Arial" w:cs="Arial" w:eastAsia="Arial" w:hAnsi="Arial"/>
                <w:sz w:val="10"/>
                <w:szCs w:val="10"/>
                <w:color w:val="auto"/>
              </w:rPr>
              <w:t>DO Holdings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40"/>
              <w:spacing w:after="0" w:line="108" w:lineRule="exact"/>
              <w:rPr>
                <w:sz w:val="20"/>
                <w:szCs w:val="20"/>
                <w:color w:val="auto"/>
              </w:rPr>
            </w:pPr>
            <w:r>
              <w:rPr>
                <w:rFonts w:ascii="Arial" w:cs="Arial" w:eastAsia="Arial" w:hAnsi="Arial"/>
                <w:sz w:val="10"/>
                <w:szCs w:val="10"/>
                <w:color w:val="auto"/>
              </w:rPr>
              <w:t>(WA),</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700" w:type="dxa"/>
            <w:vAlign w:val="bottom"/>
          </w:tcPr>
          <w:p>
            <w:pPr>
              <w:ind w:left="140"/>
              <w:spacing w:after="0" w:line="171" w:lineRule="exact"/>
              <w:rPr>
                <w:sz w:val="20"/>
                <w:szCs w:val="20"/>
                <w:color w:val="auto"/>
              </w:rPr>
            </w:pPr>
            <w:r>
              <w:rPr>
                <w:rFonts w:ascii="Arial" w:cs="Arial" w:eastAsia="Arial" w:hAnsi="Arial"/>
                <w:sz w:val="19"/>
                <w:szCs w:val="19"/>
                <w:color w:val="auto"/>
                <w:vertAlign w:val="subscript"/>
              </w:rPr>
              <w:t>LLC</w:t>
            </w:r>
            <w:r>
              <w:rPr>
                <w:rFonts w:ascii="Arial" w:cs="Arial" w:eastAsia="Arial" w:hAnsi="Arial"/>
                <w:sz w:val="8"/>
                <w:szCs w:val="8"/>
                <w:color w:val="auto"/>
              </w:rPr>
              <w:t>(8)(22)</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87"/>
              </w:rPr>
              <w:t>58,647,878</w:t>
            </w: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24.2%</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3"/>
              </w:rPr>
              <w:t>58,647,878</w:t>
            </w:r>
          </w:p>
        </w:tc>
        <w:tc>
          <w:tcPr>
            <w:tcW w:w="1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1"/>
              </w:rPr>
              <w:t>24.5%</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7"/>
              </w:rPr>
              <w:t>58,647,878</w:t>
            </w:r>
          </w:p>
        </w:tc>
        <w:tc>
          <w:tcPr>
            <w:tcW w:w="480" w:type="dxa"/>
            <w:vAlign w:val="bottom"/>
          </w:tcPr>
          <w:p>
            <w:pPr>
              <w:jc w:val="center"/>
              <w:spacing w:after="0"/>
              <w:rPr>
                <w:sz w:val="20"/>
                <w:szCs w:val="20"/>
                <w:color w:val="auto"/>
              </w:rPr>
            </w:pPr>
            <w:r>
              <w:rPr>
                <w:rFonts w:ascii="Arial" w:cs="Arial" w:eastAsia="Arial" w:hAnsi="Arial"/>
                <w:sz w:val="10"/>
                <w:szCs w:val="10"/>
                <w:color w:val="auto"/>
                <w:w w:val="84"/>
              </w:rPr>
              <w:t>24.5%</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1"/>
              </w:rPr>
              <w:t>17.2%</w:t>
            </w:r>
          </w:p>
        </w:tc>
        <w:tc>
          <w:tcPr>
            <w:tcW w:w="540" w:type="dxa"/>
            <w:vAlign w:val="bottom"/>
          </w:tcPr>
          <w:p>
            <w:pPr>
              <w:jc w:val="center"/>
              <w:spacing w:after="0"/>
              <w:rPr>
                <w:sz w:val="20"/>
                <w:szCs w:val="20"/>
                <w:color w:val="auto"/>
              </w:rPr>
            </w:pPr>
            <w:r>
              <w:rPr>
                <w:rFonts w:ascii="Arial" w:cs="Arial" w:eastAsia="Arial" w:hAnsi="Arial"/>
                <w:sz w:val="10"/>
                <w:szCs w:val="10"/>
                <w:color w:val="auto"/>
                <w:w w:val="84"/>
              </w:rPr>
              <w:t>17.2%</w:t>
            </w:r>
          </w:p>
        </w:tc>
        <w:tc>
          <w:tcPr>
            <w:tcW w:w="0" w:type="dxa"/>
            <w:vAlign w:val="bottom"/>
          </w:tcPr>
          <w:p>
            <w:pPr>
              <w:spacing w:after="0"/>
              <w:rPr>
                <w:sz w:val="1"/>
                <w:szCs w:val="1"/>
                <w:color w:val="auto"/>
              </w:rPr>
            </w:pPr>
          </w:p>
        </w:tc>
      </w:tr>
      <w:tr>
        <w:trPr>
          <w:trHeight w:val="118"/>
        </w:trPr>
        <w:tc>
          <w:tcPr>
            <w:tcW w:w="700" w:type="dxa"/>
            <w:vAlign w:val="bottom"/>
          </w:tcPr>
          <w:p>
            <w:pPr>
              <w:spacing w:after="0" w:line="118" w:lineRule="exact"/>
              <w:rPr>
                <w:sz w:val="20"/>
                <w:szCs w:val="20"/>
                <w:color w:val="auto"/>
              </w:rPr>
            </w:pPr>
            <w:r>
              <w:rPr>
                <w:rFonts w:ascii="Arial" w:cs="Arial" w:eastAsia="Arial" w:hAnsi="Arial"/>
                <w:sz w:val="8"/>
                <w:szCs w:val="8"/>
                <w:color w:val="auto"/>
              </w:rPr>
              <w:t>Kirk Brown</w:t>
            </w:r>
            <w:r>
              <w:rPr>
                <w:rFonts w:ascii="Arial" w:cs="Arial" w:eastAsia="Arial" w:hAnsi="Arial"/>
                <w:sz w:val="13"/>
                <w:szCs w:val="13"/>
                <w:color w:val="auto"/>
                <w:vertAlign w:val="superscript"/>
              </w:rPr>
              <w:t>(8)(9)</w:t>
            </w:r>
          </w:p>
        </w:tc>
        <w:tc>
          <w:tcPr>
            <w:tcW w:w="540" w:type="dxa"/>
            <w:vAlign w:val="bottom"/>
            <w:vMerge w:val="restart"/>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auto"/>
                <w:w w:val="87"/>
              </w:rPr>
              <w:t>58,647,878</w:t>
            </w: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4"/>
              </w:rPr>
              <w:t>24.2%</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3"/>
              </w:rPr>
              <w:t>58,647,878</w:t>
            </w:r>
          </w:p>
        </w:tc>
        <w:tc>
          <w:tcPr>
            <w:tcW w:w="100" w:type="dxa"/>
            <w:vAlign w:val="bottom"/>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91"/>
              </w:rPr>
              <w:t>24.5%</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7"/>
              </w:rPr>
              <w:t>58,647,878</w:t>
            </w: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4"/>
              </w:rPr>
              <w:t>24.5%</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vMerge w:val="restart"/>
          </w:tcPr>
          <w:p>
            <w:pPr>
              <w:jc w:val="center"/>
              <w:ind w:right="12"/>
              <w:spacing w:after="0"/>
              <w:rPr>
                <w:sz w:val="20"/>
                <w:szCs w:val="20"/>
                <w:color w:val="auto"/>
              </w:rPr>
            </w:pPr>
            <w:r>
              <w:rPr>
                <w:rFonts w:ascii="Arial" w:cs="Arial" w:eastAsia="Arial" w:hAnsi="Arial"/>
                <w:sz w:val="10"/>
                <w:szCs w:val="10"/>
                <w:color w:val="auto"/>
                <w:w w:val="91"/>
              </w:rPr>
              <w:t>17.2%</w:t>
            </w: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4"/>
              </w:rPr>
              <w:t>17.2%</w:t>
            </w:r>
          </w:p>
        </w:tc>
        <w:tc>
          <w:tcPr>
            <w:tcW w:w="0" w:type="dxa"/>
            <w:vAlign w:val="bottom"/>
          </w:tcPr>
          <w:p>
            <w:pPr>
              <w:spacing w:after="0"/>
              <w:rPr>
                <w:sz w:val="1"/>
                <w:szCs w:val="1"/>
                <w:color w:val="auto"/>
              </w:rPr>
            </w:pPr>
          </w:p>
        </w:tc>
      </w:tr>
      <w:tr>
        <w:trPr>
          <w:trHeight w:val="105"/>
        </w:trPr>
        <w:tc>
          <w:tcPr>
            <w:tcW w:w="700" w:type="dxa"/>
            <w:vAlign w:val="bottom"/>
          </w:tcPr>
          <w:p>
            <w:pPr>
              <w:ind w:left="140"/>
              <w:spacing w:after="0"/>
              <w:rPr>
                <w:sz w:val="20"/>
                <w:szCs w:val="20"/>
                <w:color w:val="auto"/>
              </w:rPr>
            </w:pPr>
            <w:r>
              <w:rPr>
                <w:rFonts w:ascii="Arial" w:cs="Arial" w:eastAsia="Arial" w:hAnsi="Arial"/>
                <w:sz w:val="8"/>
                <w:szCs w:val="8"/>
                <w:color w:val="auto"/>
              </w:rPr>
              <w:t>(22)</w:t>
            </w:r>
          </w:p>
        </w:tc>
        <w:tc>
          <w:tcPr>
            <w:tcW w:w="54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line="157" w:lineRule="exact"/>
              <w:rPr>
                <w:sz w:val="20"/>
                <w:szCs w:val="20"/>
                <w:color w:val="auto"/>
              </w:rPr>
            </w:pPr>
            <w:r>
              <w:rPr>
                <w:rFonts w:ascii="Arial" w:cs="Arial" w:eastAsia="Arial" w:hAnsi="Arial"/>
                <w:sz w:val="10"/>
                <w:szCs w:val="10"/>
                <w:color w:val="auto"/>
                <w:w w:val="90"/>
              </w:rPr>
              <w:t>Henry Schuck</w:t>
            </w:r>
            <w:r>
              <w:rPr>
                <w:rFonts w:ascii="Arial" w:cs="Arial" w:eastAsia="Arial" w:hAnsi="Arial"/>
                <w:sz w:val="16"/>
                <w:szCs w:val="16"/>
                <w:color w:val="auto"/>
                <w:w w:val="90"/>
                <w:vertAlign w:val="superscript"/>
              </w:rPr>
              <w:t>(8)</w:t>
            </w:r>
          </w:p>
        </w:tc>
        <w:tc>
          <w:tcPr>
            <w:tcW w:w="540" w:type="dxa"/>
            <w:vAlign w:val="bottom"/>
            <w:vMerge w:val="restart"/>
          </w:tcPr>
          <w:p>
            <w:pPr>
              <w:jc w:val="center"/>
              <w:ind w:right="52"/>
              <w:spacing w:after="0"/>
              <w:rPr>
                <w:sz w:val="20"/>
                <w:szCs w:val="20"/>
                <w:color w:val="auto"/>
              </w:rPr>
            </w:pPr>
            <w:r>
              <w:rPr>
                <w:rFonts w:ascii="Arial" w:cs="Arial" w:eastAsia="Arial" w:hAnsi="Arial"/>
                <w:sz w:val="10"/>
                <w:szCs w:val="10"/>
                <w:color w:val="auto"/>
                <w:w w:val="88"/>
              </w:rPr>
              <w:t>845,794</w:t>
            </w:r>
          </w:p>
        </w:tc>
        <w:tc>
          <w:tcPr>
            <w:tcW w:w="280" w:type="dxa"/>
            <w:vAlign w:val="bottom"/>
            <w:gridSpan w:val="2"/>
            <w:vMerge w:val="restart"/>
          </w:tcPr>
          <w:p>
            <w:pPr>
              <w:ind w:left="40"/>
              <w:spacing w:after="0"/>
              <w:rPr>
                <w:sz w:val="20"/>
                <w:szCs w:val="20"/>
                <w:color w:val="auto"/>
              </w:rPr>
            </w:pPr>
            <w:r>
              <w:rPr>
                <w:rFonts w:ascii="Arial" w:cs="Arial" w:eastAsia="Arial" w:hAnsi="Arial"/>
                <w:sz w:val="10"/>
                <w:szCs w:val="10"/>
                <w:color w:val="auto"/>
              </w:rPr>
              <w:t>—</w:t>
            </w:r>
          </w:p>
        </w:tc>
        <w:tc>
          <w:tcPr>
            <w:tcW w:w="440" w:type="dxa"/>
            <w:vAlign w:val="bottom"/>
            <w:vMerge w:val="restart"/>
          </w:tcPr>
          <w:p>
            <w:pPr>
              <w:jc w:val="center"/>
              <w:spacing w:after="0"/>
              <w:rPr>
                <w:sz w:val="20"/>
                <w:szCs w:val="20"/>
                <w:color w:val="auto"/>
              </w:rPr>
            </w:pPr>
            <w:r>
              <w:rPr>
                <w:rFonts w:ascii="Arial" w:cs="Arial" w:eastAsia="Arial" w:hAnsi="Arial"/>
                <w:sz w:val="10"/>
                <w:szCs w:val="10"/>
                <w:color w:val="auto"/>
                <w:w w:val="82"/>
              </w:rPr>
              <w:t>845,794</w:t>
            </w:r>
          </w:p>
        </w:tc>
        <w:tc>
          <w:tcPr>
            <w:tcW w:w="100" w:type="dxa"/>
            <w:vAlign w:val="bottom"/>
          </w:tcPr>
          <w:p>
            <w:pPr>
              <w:spacing w:after="0"/>
              <w:rPr>
                <w:sz w:val="13"/>
                <w:szCs w:val="13"/>
                <w:color w:val="auto"/>
              </w:rPr>
            </w:pPr>
          </w:p>
        </w:tc>
        <w:tc>
          <w:tcPr>
            <w:tcW w:w="260" w:type="dxa"/>
            <w:vAlign w:val="bottom"/>
            <w:vMerge w:val="restart"/>
          </w:tcPr>
          <w:p>
            <w:pPr>
              <w:jc w:val="center"/>
              <w:spacing w:after="0"/>
              <w:rPr>
                <w:sz w:val="20"/>
                <w:szCs w:val="20"/>
                <w:color w:val="auto"/>
              </w:rPr>
            </w:pPr>
            <w:r>
              <w:rPr>
                <w:rFonts w:ascii="Arial" w:cs="Arial" w:eastAsia="Arial" w:hAnsi="Arial"/>
                <w:sz w:val="10"/>
                <w:szCs w:val="10"/>
                <w:color w:val="auto"/>
                <w:w w:val="87"/>
              </w:rPr>
              <w:t>1.8%</w:t>
            </w:r>
          </w:p>
        </w:tc>
        <w:tc>
          <w:tcPr>
            <w:tcW w:w="100" w:type="dxa"/>
            <w:vAlign w:val="bottom"/>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Arial" w:cs="Arial" w:eastAsia="Arial" w:hAnsi="Arial"/>
                <w:sz w:val="10"/>
                <w:szCs w:val="10"/>
                <w:color w:val="auto"/>
                <w:w w:val="82"/>
              </w:rPr>
              <w:t>845,794</w:t>
            </w:r>
          </w:p>
        </w:tc>
        <w:tc>
          <w:tcPr>
            <w:tcW w:w="420" w:type="dxa"/>
            <w:vAlign w:val="bottom"/>
            <w:vMerge w:val="restart"/>
          </w:tcPr>
          <w:p>
            <w:pPr>
              <w:jc w:val="center"/>
              <w:spacing w:after="0"/>
              <w:rPr>
                <w:sz w:val="20"/>
                <w:szCs w:val="20"/>
                <w:color w:val="auto"/>
              </w:rPr>
            </w:pPr>
            <w:r>
              <w:rPr>
                <w:rFonts w:ascii="Arial" w:cs="Arial" w:eastAsia="Arial" w:hAnsi="Arial"/>
                <w:sz w:val="10"/>
                <w:szCs w:val="10"/>
                <w:color w:val="auto"/>
                <w:w w:val="87"/>
              </w:rPr>
              <w:t>1.6%</w:t>
            </w:r>
          </w:p>
        </w:tc>
        <w:tc>
          <w:tcPr>
            <w:tcW w:w="720" w:type="dxa"/>
            <w:vAlign w:val="bottom"/>
            <w:vMerge w:val="restart"/>
          </w:tcPr>
          <w:p>
            <w:pPr>
              <w:jc w:val="center"/>
              <w:spacing w:after="0"/>
              <w:rPr>
                <w:sz w:val="20"/>
                <w:szCs w:val="20"/>
                <w:color w:val="auto"/>
              </w:rPr>
            </w:pPr>
            <w:r>
              <w:rPr>
                <w:rFonts w:ascii="Arial" w:cs="Arial" w:eastAsia="Arial" w:hAnsi="Arial"/>
                <w:sz w:val="10"/>
                <w:szCs w:val="10"/>
                <w:color w:val="auto"/>
                <w:w w:val="87"/>
              </w:rPr>
              <w:t>76,722,043</w:t>
            </w: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84"/>
              </w:rPr>
              <w:t>31.6%</w:t>
            </w:r>
          </w:p>
        </w:tc>
        <w:tc>
          <w:tcPr>
            <w:tcW w:w="10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3"/>
              </w:rPr>
              <w:t>76,722,043</w:t>
            </w:r>
          </w:p>
        </w:tc>
        <w:tc>
          <w:tcPr>
            <w:tcW w:w="100" w:type="dxa"/>
            <w:vAlign w:val="bottom"/>
          </w:tcPr>
          <w:p>
            <w:pPr>
              <w:spacing w:after="0"/>
              <w:rPr>
                <w:sz w:val="13"/>
                <w:szCs w:val="13"/>
                <w:color w:val="auto"/>
              </w:rPr>
            </w:pPr>
          </w:p>
        </w:tc>
        <w:tc>
          <w:tcPr>
            <w:tcW w:w="300" w:type="dxa"/>
            <w:vAlign w:val="bottom"/>
            <w:vMerge w:val="restart"/>
          </w:tcPr>
          <w:p>
            <w:pPr>
              <w:jc w:val="center"/>
              <w:spacing w:after="0"/>
              <w:rPr>
                <w:sz w:val="20"/>
                <w:szCs w:val="20"/>
                <w:color w:val="auto"/>
              </w:rPr>
            </w:pPr>
            <w:r>
              <w:rPr>
                <w:rFonts w:ascii="Arial" w:cs="Arial" w:eastAsia="Arial" w:hAnsi="Arial"/>
                <w:sz w:val="10"/>
                <w:szCs w:val="10"/>
                <w:color w:val="auto"/>
                <w:w w:val="91"/>
              </w:rPr>
              <w:t>32.1%</w:t>
            </w:r>
          </w:p>
        </w:tc>
        <w:tc>
          <w:tcPr>
            <w:tcW w:w="10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7"/>
              </w:rPr>
              <w:t>76,722,043</w:t>
            </w: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84"/>
              </w:rPr>
              <w:t>32.1%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vMerge w:val="restart"/>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vMerge w:val="restart"/>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vMerge w:val="restart"/>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vMerge w:val="restart"/>
          </w:tcPr>
          <w:p>
            <w:pPr>
              <w:jc w:val="center"/>
              <w:ind w:right="12"/>
              <w:spacing w:after="0"/>
              <w:rPr>
                <w:sz w:val="20"/>
                <w:szCs w:val="20"/>
                <w:color w:val="auto"/>
              </w:rPr>
            </w:pPr>
            <w:r>
              <w:rPr>
                <w:rFonts w:ascii="Arial" w:cs="Arial" w:eastAsia="Arial" w:hAnsi="Arial"/>
                <w:sz w:val="10"/>
                <w:szCs w:val="10"/>
                <w:color w:val="auto"/>
                <w:w w:val="91"/>
              </w:rPr>
              <w:t>22.5%</w:t>
            </w:r>
          </w:p>
        </w:tc>
        <w:tc>
          <w:tcPr>
            <w:tcW w:w="540" w:type="dxa"/>
            <w:vAlign w:val="bottom"/>
            <w:vMerge w:val="restart"/>
          </w:tcPr>
          <w:p>
            <w:pPr>
              <w:jc w:val="center"/>
              <w:spacing w:after="0"/>
              <w:rPr>
                <w:sz w:val="20"/>
                <w:szCs w:val="20"/>
                <w:color w:val="auto"/>
              </w:rPr>
            </w:pPr>
            <w:r>
              <w:rPr>
                <w:rFonts w:ascii="Arial" w:cs="Arial" w:eastAsia="Arial" w:hAnsi="Arial"/>
                <w:sz w:val="10"/>
                <w:szCs w:val="10"/>
                <w:color w:val="auto"/>
                <w:w w:val="84"/>
              </w:rPr>
              <w:t>22.5%</w:t>
            </w:r>
          </w:p>
        </w:tc>
        <w:tc>
          <w:tcPr>
            <w:tcW w:w="0" w:type="dxa"/>
            <w:vAlign w:val="bottom"/>
          </w:tcPr>
          <w:p>
            <w:pPr>
              <w:spacing w:after="0"/>
              <w:rPr>
                <w:sz w:val="1"/>
                <w:szCs w:val="1"/>
                <w:color w:val="auto"/>
              </w:rPr>
            </w:pPr>
          </w:p>
        </w:tc>
      </w:tr>
      <w:tr>
        <w:trPr>
          <w:trHeight w:val="105"/>
        </w:trPr>
        <w:tc>
          <w:tcPr>
            <w:tcW w:w="700" w:type="dxa"/>
            <w:vAlign w:val="bottom"/>
          </w:tcPr>
          <w:p>
            <w:pPr>
              <w:ind w:left="140"/>
              <w:spacing w:after="0"/>
              <w:rPr>
                <w:sz w:val="20"/>
                <w:szCs w:val="20"/>
                <w:color w:val="auto"/>
              </w:rPr>
            </w:pPr>
            <w:r>
              <w:rPr>
                <w:rFonts w:ascii="Arial" w:cs="Arial" w:eastAsia="Arial" w:hAnsi="Arial"/>
                <w:sz w:val="8"/>
                <w:szCs w:val="8"/>
                <w:color w:val="auto"/>
              </w:rPr>
              <w:t>(10)(22)</w:t>
            </w:r>
          </w:p>
        </w:tc>
        <w:tc>
          <w:tcPr>
            <w:tcW w:w="54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0"/>
                <w:szCs w:val="10"/>
                <w:color w:val="auto"/>
              </w:rPr>
              <w:t>Cameron</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700" w:type="dxa"/>
            <w:vAlign w:val="bottom"/>
          </w:tcPr>
          <w:p>
            <w:pPr>
              <w:ind w:left="140"/>
              <w:spacing w:after="0"/>
              <w:rPr>
                <w:sz w:val="20"/>
                <w:szCs w:val="20"/>
                <w:color w:val="auto"/>
              </w:rPr>
            </w:pPr>
            <w:r>
              <w:rPr>
                <w:rFonts w:ascii="Arial" w:cs="Arial" w:eastAsia="Arial" w:hAnsi="Arial"/>
                <w:sz w:val="10"/>
                <w:szCs w:val="10"/>
                <w:color w:val="auto"/>
              </w:rPr>
              <w:t>Hyzer</w:t>
            </w:r>
            <w:r>
              <w:rPr>
                <w:rFonts w:ascii="Arial" w:cs="Arial" w:eastAsia="Arial" w:hAnsi="Arial"/>
                <w:sz w:val="16"/>
                <w:szCs w:val="16"/>
                <w:color w:val="auto"/>
                <w:vertAlign w:val="superscript"/>
              </w:rPr>
              <w:t>(11)</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0"/>
                <w:szCs w:val="10"/>
                <w:color w:val="auto"/>
              </w:rPr>
              <w:t>Chris Hays</w:t>
            </w:r>
            <w:r>
              <w:rPr>
                <w:rFonts w:ascii="Arial" w:cs="Arial" w:eastAsia="Arial" w:hAnsi="Arial"/>
                <w:sz w:val="16"/>
                <w:szCs w:val="16"/>
                <w:color w:val="auto"/>
                <w:vertAlign w:val="superscript"/>
              </w:rPr>
              <w:t>(12)</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r>
              <w:rPr>
                <w:rFonts w:ascii="Arial" w:cs="Arial" w:eastAsia="Arial" w:hAnsi="Arial"/>
                <w:sz w:val="10"/>
                <w:szCs w:val="10"/>
                <w:color w:val="auto"/>
              </w:rPr>
              <w:t>Nir Keren</w:t>
            </w:r>
            <w:r>
              <w:rPr>
                <w:rFonts w:ascii="Arial" w:cs="Arial" w:eastAsia="Arial" w:hAnsi="Arial"/>
                <w:sz w:val="16"/>
                <w:szCs w:val="16"/>
                <w:color w:val="auto"/>
                <w:vertAlign w:val="superscript"/>
              </w:rPr>
              <w:t>(13)</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89"/>
              </w:rPr>
              <w:t>1,085,178</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40" w:type="dxa"/>
            <w:vAlign w:val="bottom"/>
          </w:tcPr>
          <w:p>
            <w:pPr>
              <w:jc w:val="center"/>
              <w:spacing w:after="0"/>
              <w:rPr>
                <w:sz w:val="20"/>
                <w:szCs w:val="20"/>
                <w:color w:val="auto"/>
              </w:rPr>
            </w:pPr>
            <w:r>
              <w:rPr>
                <w:rFonts w:ascii="Arial" w:cs="Arial" w:eastAsia="Arial" w:hAnsi="Arial"/>
                <w:sz w:val="10"/>
                <w:szCs w:val="10"/>
                <w:color w:val="auto"/>
                <w:w w:val="85"/>
              </w:rPr>
              <w:t>1,085,178</w:t>
            </w:r>
          </w:p>
        </w:tc>
        <w:tc>
          <w:tcPr>
            <w:tcW w:w="10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auto"/>
                <w:w w:val="87"/>
              </w:rPr>
              <w:t>2.3%</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0"/>
                <w:szCs w:val="10"/>
                <w:color w:val="auto"/>
                <w:w w:val="85"/>
              </w:rPr>
              <w:t>1,085,178</w:t>
            </w:r>
          </w:p>
        </w:tc>
        <w:tc>
          <w:tcPr>
            <w:tcW w:w="420" w:type="dxa"/>
            <w:vAlign w:val="bottom"/>
          </w:tcPr>
          <w:p>
            <w:pPr>
              <w:jc w:val="center"/>
              <w:spacing w:after="0"/>
              <w:rPr>
                <w:sz w:val="20"/>
                <w:szCs w:val="20"/>
                <w:color w:val="auto"/>
              </w:rPr>
            </w:pPr>
            <w:r>
              <w:rPr>
                <w:rFonts w:ascii="Arial" w:cs="Arial" w:eastAsia="Arial" w:hAnsi="Arial"/>
                <w:sz w:val="10"/>
                <w:szCs w:val="10"/>
                <w:color w:val="auto"/>
                <w:w w:val="87"/>
              </w:rPr>
              <w:t>2.0%</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rPr>
              <w:t>*</w:t>
            </w:r>
          </w:p>
        </w:tc>
        <w:tc>
          <w:tcPr>
            <w:tcW w:w="540" w:type="dxa"/>
            <w:vAlign w:val="bottom"/>
          </w:tcPr>
          <w:p>
            <w:pPr>
              <w:jc w:val="center"/>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700" w:type="dxa"/>
            <w:vAlign w:val="bottom"/>
          </w:tcPr>
          <w:p>
            <w:pPr>
              <w:spacing w:after="0" w:line="108" w:lineRule="exact"/>
              <w:rPr>
                <w:sz w:val="20"/>
                <w:szCs w:val="20"/>
                <w:color w:val="auto"/>
              </w:rPr>
            </w:pPr>
            <w:r>
              <w:rPr>
                <w:rFonts w:ascii="Arial" w:cs="Arial" w:eastAsia="Arial" w:hAnsi="Arial"/>
                <w:sz w:val="10"/>
                <w:szCs w:val="10"/>
                <w:color w:val="auto"/>
              </w:rPr>
              <w:t>Todd</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140"/>
              <w:spacing w:after="0" w:line="181" w:lineRule="exact"/>
              <w:rPr>
                <w:sz w:val="20"/>
                <w:szCs w:val="20"/>
                <w:color w:val="auto"/>
              </w:rPr>
            </w:pPr>
            <w:r>
              <w:rPr>
                <w:rFonts w:ascii="Arial" w:cs="Arial" w:eastAsia="Arial" w:hAnsi="Arial"/>
                <w:sz w:val="10"/>
                <w:szCs w:val="10"/>
                <w:color w:val="auto"/>
                <w:w w:val="96"/>
              </w:rPr>
              <w:t>Crockett</w:t>
            </w:r>
            <w:r>
              <w:rPr>
                <w:rFonts w:ascii="Arial" w:cs="Arial" w:eastAsia="Arial" w:hAnsi="Arial"/>
                <w:sz w:val="16"/>
                <w:szCs w:val="16"/>
                <w:color w:val="auto"/>
                <w:w w:val="96"/>
                <w:vertAlign w:val="superscript"/>
              </w:rPr>
              <w:t>(14)</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08"/>
        </w:trPr>
        <w:tc>
          <w:tcPr>
            <w:tcW w:w="700" w:type="dxa"/>
            <w:vAlign w:val="bottom"/>
          </w:tcPr>
          <w:p>
            <w:pPr>
              <w:spacing w:after="0" w:line="108" w:lineRule="exact"/>
              <w:rPr>
                <w:sz w:val="20"/>
                <w:szCs w:val="20"/>
                <w:color w:val="auto"/>
              </w:rPr>
            </w:pPr>
            <w:r>
              <w:rPr>
                <w:rFonts w:ascii="Arial" w:cs="Arial" w:eastAsia="Arial" w:hAnsi="Arial"/>
                <w:sz w:val="10"/>
                <w:szCs w:val="10"/>
                <w:color w:val="auto"/>
              </w:rPr>
              <w:t>Mitesh</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00" w:type="dxa"/>
            <w:vAlign w:val="bottom"/>
          </w:tcPr>
          <w:p>
            <w:pPr>
              <w:ind w:left="140"/>
              <w:spacing w:after="0"/>
              <w:rPr>
                <w:sz w:val="20"/>
                <w:szCs w:val="20"/>
                <w:color w:val="auto"/>
              </w:rPr>
            </w:pPr>
            <w:r>
              <w:rPr>
                <w:rFonts w:ascii="Arial" w:cs="Arial" w:eastAsia="Arial" w:hAnsi="Arial"/>
                <w:sz w:val="10"/>
                <w:szCs w:val="10"/>
                <w:color w:val="auto"/>
              </w:rPr>
              <w:t>Dhruv</w:t>
            </w:r>
            <w:r>
              <w:rPr>
                <w:rFonts w:ascii="Arial" w:cs="Arial" w:eastAsia="Arial" w:hAnsi="Arial"/>
                <w:sz w:val="16"/>
                <w:szCs w:val="16"/>
                <w:color w:val="auto"/>
                <w:vertAlign w:val="superscript"/>
              </w:rPr>
              <w:t>(15)</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0"/>
                <w:szCs w:val="10"/>
                <w:color w:val="auto"/>
                <w:w w:val="89"/>
              </w:rPr>
              <w:t>Keith Enright</w:t>
            </w:r>
            <w:r>
              <w:rPr>
                <w:rFonts w:ascii="Arial" w:cs="Arial" w:eastAsia="Arial" w:hAnsi="Arial"/>
                <w:sz w:val="16"/>
                <w:szCs w:val="16"/>
                <w:color w:val="auto"/>
                <w:w w:val="89"/>
                <w:vertAlign w:val="superscript"/>
              </w:rPr>
              <w:t>(16)</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62"/>
        </w:trPr>
        <w:tc>
          <w:tcPr>
            <w:tcW w:w="700" w:type="dxa"/>
            <w:vAlign w:val="bottom"/>
          </w:tcPr>
          <w:p>
            <w:pPr>
              <w:spacing w:after="0"/>
              <w:rPr>
                <w:sz w:val="20"/>
                <w:szCs w:val="20"/>
                <w:color w:val="auto"/>
              </w:rPr>
            </w:pPr>
            <w:r>
              <w:rPr>
                <w:rFonts w:ascii="Arial" w:cs="Arial" w:eastAsia="Arial" w:hAnsi="Arial"/>
                <w:sz w:val="10"/>
                <w:szCs w:val="10"/>
                <w:color w:val="auto"/>
                <w:w w:val="85"/>
              </w:rPr>
              <w:t>Ashley Evans</w:t>
            </w:r>
            <w:r>
              <w:rPr>
                <w:rFonts w:ascii="Arial" w:cs="Arial" w:eastAsia="Arial" w:hAnsi="Arial"/>
                <w:sz w:val="16"/>
                <w:szCs w:val="16"/>
                <w:color w:val="auto"/>
                <w:w w:val="85"/>
                <w:vertAlign w:val="superscript"/>
              </w:rPr>
              <w:t>(17)</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r>
              <w:rPr>
                <w:rFonts w:ascii="Arial" w:cs="Arial" w:eastAsia="Arial" w:hAnsi="Arial"/>
                <w:sz w:val="10"/>
                <w:szCs w:val="10"/>
                <w:color w:val="auto"/>
                <w:w w:val="93"/>
              </w:rPr>
              <w:t>Mark Mader</w:t>
            </w:r>
            <w:r>
              <w:rPr>
                <w:rFonts w:ascii="Arial" w:cs="Arial" w:eastAsia="Arial" w:hAnsi="Arial"/>
                <w:sz w:val="16"/>
                <w:szCs w:val="16"/>
                <w:color w:val="auto"/>
                <w:w w:val="93"/>
                <w:vertAlign w:val="superscript"/>
              </w:rPr>
              <w:t>(18)</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08"/>
        </w:trPr>
        <w:tc>
          <w:tcPr>
            <w:tcW w:w="700" w:type="dxa"/>
            <w:vAlign w:val="bottom"/>
          </w:tcPr>
          <w:p>
            <w:pPr>
              <w:spacing w:after="0" w:line="108" w:lineRule="exact"/>
              <w:rPr>
                <w:sz w:val="20"/>
                <w:szCs w:val="20"/>
                <w:color w:val="auto"/>
              </w:rPr>
            </w:pPr>
            <w:r>
              <w:rPr>
                <w:rFonts w:ascii="Arial" w:cs="Arial" w:eastAsia="Arial" w:hAnsi="Arial"/>
                <w:sz w:val="10"/>
                <w:szCs w:val="10"/>
                <w:color w:val="auto"/>
              </w:rPr>
              <w:t>Patrick</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140"/>
              <w:spacing w:after="0" w:line="181" w:lineRule="exact"/>
              <w:rPr>
                <w:sz w:val="20"/>
                <w:szCs w:val="20"/>
                <w:color w:val="auto"/>
              </w:rPr>
            </w:pPr>
            <w:r>
              <w:rPr>
                <w:rFonts w:ascii="Arial" w:cs="Arial" w:eastAsia="Arial" w:hAnsi="Arial"/>
                <w:sz w:val="10"/>
                <w:szCs w:val="10"/>
                <w:color w:val="auto"/>
                <w:w w:val="89"/>
              </w:rPr>
              <w:t>McCarter</w:t>
            </w:r>
            <w:r>
              <w:rPr>
                <w:rFonts w:ascii="Arial" w:cs="Arial" w:eastAsia="Arial" w:hAnsi="Arial"/>
                <w:sz w:val="16"/>
                <w:szCs w:val="16"/>
                <w:color w:val="auto"/>
                <w:w w:val="89"/>
                <w:vertAlign w:val="superscript"/>
              </w:rPr>
              <w:t>(19)</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08"/>
        </w:trPr>
        <w:tc>
          <w:tcPr>
            <w:tcW w:w="700" w:type="dxa"/>
            <w:vAlign w:val="bottom"/>
          </w:tcPr>
          <w:p>
            <w:pPr>
              <w:spacing w:after="0" w:line="108" w:lineRule="exact"/>
              <w:rPr>
                <w:sz w:val="20"/>
                <w:szCs w:val="20"/>
                <w:color w:val="auto"/>
              </w:rPr>
            </w:pPr>
            <w:r>
              <w:rPr>
                <w:rFonts w:ascii="Arial" w:cs="Arial" w:eastAsia="Arial" w:hAnsi="Arial"/>
                <w:sz w:val="10"/>
                <w:szCs w:val="10"/>
                <w:color w:val="auto"/>
              </w:rPr>
              <w:t>Jason</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140"/>
              <w:spacing w:after="0" w:line="181" w:lineRule="exact"/>
              <w:rPr>
                <w:sz w:val="20"/>
                <w:szCs w:val="20"/>
                <w:color w:val="auto"/>
              </w:rPr>
            </w:pPr>
            <w:r>
              <w:rPr>
                <w:rFonts w:ascii="Arial" w:cs="Arial" w:eastAsia="Arial" w:hAnsi="Arial"/>
                <w:sz w:val="10"/>
                <w:szCs w:val="10"/>
                <w:color w:val="auto"/>
                <w:w w:val="98"/>
              </w:rPr>
              <w:t>Mironov</w:t>
            </w:r>
            <w:r>
              <w:rPr>
                <w:rFonts w:ascii="Arial" w:cs="Arial" w:eastAsia="Arial" w:hAnsi="Arial"/>
                <w:sz w:val="16"/>
                <w:szCs w:val="16"/>
                <w:color w:val="auto"/>
                <w:w w:val="98"/>
                <w:vertAlign w:val="superscript"/>
              </w:rPr>
              <w:t>(20)</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64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79"/>
              </w:rPr>
              <w:t>—</w:t>
            </w:r>
          </w:p>
        </w:tc>
        <w:tc>
          <w:tcPr>
            <w:tcW w:w="6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00"/>
              <w:spacing w:after="0"/>
              <w:rPr>
                <w:sz w:val="20"/>
                <w:szCs w:val="20"/>
                <w:color w:val="auto"/>
              </w:rPr>
            </w:pPr>
            <w:r>
              <w:rPr>
                <w:rFonts w:ascii="Arial" w:cs="Arial" w:eastAsia="Arial" w:hAnsi="Arial"/>
                <w:sz w:val="10"/>
                <w:szCs w:val="10"/>
                <w:color w:val="auto"/>
                <w:w w:val="79"/>
              </w:rPr>
              <w:t>—</w:t>
            </w:r>
          </w:p>
        </w:tc>
        <w:tc>
          <w:tcPr>
            <w:tcW w:w="58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2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48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50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9"/>
              </w:rPr>
              <w:t>—</w:t>
            </w:r>
          </w:p>
        </w:tc>
        <w:tc>
          <w:tcPr>
            <w:tcW w:w="54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0" w:type="dxa"/>
            <w:vAlign w:val="bottom"/>
          </w:tcPr>
          <w:p>
            <w:pPr>
              <w:spacing w:after="0"/>
              <w:rPr>
                <w:sz w:val="1"/>
                <w:szCs w:val="1"/>
                <w:color w:val="auto"/>
              </w:rPr>
            </w:pPr>
          </w:p>
        </w:tc>
      </w:tr>
      <w:tr>
        <w:trPr>
          <w:trHeight w:val="108"/>
        </w:trPr>
        <w:tc>
          <w:tcPr>
            <w:tcW w:w="700" w:type="dxa"/>
            <w:vAlign w:val="bottom"/>
          </w:tcPr>
          <w:p>
            <w:pPr>
              <w:spacing w:after="0" w:line="108" w:lineRule="exact"/>
              <w:rPr>
                <w:sz w:val="20"/>
                <w:szCs w:val="20"/>
                <w:color w:val="auto"/>
              </w:rPr>
            </w:pPr>
            <w:r>
              <w:rPr>
                <w:rFonts w:ascii="Arial" w:cs="Arial" w:eastAsia="Arial" w:hAnsi="Arial"/>
                <w:sz w:val="10"/>
                <w:szCs w:val="10"/>
                <w:color w:val="auto"/>
              </w:rPr>
              <w:t>D. Randall</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700" w:type="dxa"/>
            <w:vAlign w:val="bottom"/>
          </w:tcPr>
          <w:p>
            <w:pPr>
              <w:ind w:left="140"/>
              <w:spacing w:after="0" w:line="181" w:lineRule="exact"/>
              <w:rPr>
                <w:sz w:val="20"/>
                <w:szCs w:val="20"/>
                <w:color w:val="auto"/>
              </w:rPr>
            </w:pPr>
            <w:r>
              <w:rPr>
                <w:rFonts w:ascii="Arial" w:cs="Arial" w:eastAsia="Arial" w:hAnsi="Arial"/>
                <w:sz w:val="10"/>
                <w:szCs w:val="10"/>
                <w:color w:val="auto"/>
              </w:rPr>
              <w:t>Winn</w:t>
            </w:r>
            <w:r>
              <w:rPr>
                <w:rFonts w:ascii="Arial" w:cs="Arial" w:eastAsia="Arial" w:hAnsi="Arial"/>
                <w:sz w:val="16"/>
                <w:szCs w:val="16"/>
                <w:color w:val="auto"/>
                <w:vertAlign w:val="superscript"/>
              </w:rPr>
              <w:t>(21)</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79"/>
              </w:rPr>
              <w:t>—</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right="120"/>
              <w:spacing w:after="0"/>
              <w:rPr>
                <w:sz w:val="20"/>
                <w:szCs w:val="20"/>
                <w:color w:val="auto"/>
              </w:rPr>
            </w:pPr>
            <w:r>
              <w:rPr>
                <w:rFonts w:ascii="Arial" w:cs="Arial" w:eastAsia="Arial" w:hAnsi="Arial"/>
                <w:sz w:val="10"/>
                <w:szCs w:val="10"/>
                <w:color w:val="auto"/>
                <w:w w:val="99"/>
              </w:rPr>
              <w:t>—</w:t>
            </w:r>
          </w:p>
        </w:tc>
        <w:tc>
          <w:tcPr>
            <w:tcW w:w="360" w:type="dxa"/>
            <w:vAlign w:val="bottom"/>
            <w:gridSpan w:val="2"/>
          </w:tcPr>
          <w:p>
            <w:pPr>
              <w:jc w:val="center"/>
              <w:ind w:right="100"/>
              <w:spacing w:after="0"/>
              <w:rPr>
                <w:sz w:val="20"/>
                <w:szCs w:val="20"/>
                <w:color w:val="auto"/>
              </w:rPr>
            </w:pPr>
            <w:r>
              <w:rPr>
                <w:rFonts w:ascii="Arial" w:cs="Arial" w:eastAsia="Arial" w:hAnsi="Arial"/>
                <w:sz w:val="10"/>
                <w:szCs w:val="10"/>
                <w:color w:val="auto"/>
                <w:w w:val="99"/>
              </w:rPr>
              <w:t>—</w:t>
            </w:r>
          </w:p>
        </w:tc>
        <w:tc>
          <w:tcPr>
            <w:tcW w:w="46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420" w:type="dxa"/>
            <w:vAlign w:val="bottom"/>
          </w:tcPr>
          <w:p>
            <w:pPr>
              <w:jc w:val="center"/>
              <w:spacing w:after="0"/>
              <w:rPr>
                <w:sz w:val="20"/>
                <w:szCs w:val="20"/>
                <w:color w:val="auto"/>
              </w:rPr>
            </w:pPr>
            <w:r>
              <w:rPr>
                <w:rFonts w:ascii="Arial" w:cs="Arial" w:eastAsia="Arial" w:hAnsi="Arial"/>
                <w:sz w:val="10"/>
                <w:szCs w:val="10"/>
                <w:color w:val="auto"/>
                <w:w w:val="99"/>
              </w:rPr>
              <w:t>—</w:t>
            </w:r>
          </w:p>
        </w:tc>
        <w:tc>
          <w:tcPr>
            <w:tcW w:w="720" w:type="dxa"/>
            <w:vAlign w:val="bottom"/>
          </w:tcPr>
          <w:p>
            <w:pPr>
              <w:jc w:val="center"/>
              <w:spacing w:after="0"/>
              <w:rPr>
                <w:sz w:val="20"/>
                <w:szCs w:val="20"/>
                <w:color w:val="auto"/>
              </w:rPr>
            </w:pPr>
            <w:r>
              <w:rPr>
                <w:rFonts w:ascii="Arial" w:cs="Arial" w:eastAsia="Arial" w:hAnsi="Arial"/>
                <w:sz w:val="10"/>
                <w:szCs w:val="10"/>
                <w:color w:val="auto"/>
                <w:w w:val="87"/>
              </w:rPr>
              <w:t>25,192,875</w:t>
            </w: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10.4%</w:t>
            </w:r>
          </w:p>
        </w:tc>
        <w:tc>
          <w:tcPr>
            <w:tcW w:w="1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3"/>
              </w:rPr>
              <w:t>25,192,875</w:t>
            </w:r>
          </w:p>
        </w:tc>
        <w:tc>
          <w:tcPr>
            <w:tcW w:w="1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1"/>
              </w:rPr>
              <w:t>10.5%</w:t>
            </w:r>
          </w:p>
        </w:tc>
        <w:tc>
          <w:tcPr>
            <w:tcW w:w="1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7"/>
              </w:rPr>
              <w:t>25,192,875</w:t>
            </w:r>
          </w:p>
        </w:tc>
        <w:tc>
          <w:tcPr>
            <w:tcW w:w="480" w:type="dxa"/>
            <w:vAlign w:val="bottom"/>
          </w:tcPr>
          <w:p>
            <w:pPr>
              <w:jc w:val="center"/>
              <w:spacing w:after="0"/>
              <w:rPr>
                <w:sz w:val="20"/>
                <w:szCs w:val="20"/>
                <w:color w:val="auto"/>
              </w:rPr>
            </w:pPr>
            <w:r>
              <w:rPr>
                <w:rFonts w:ascii="Arial" w:cs="Arial" w:eastAsia="Arial" w:hAnsi="Arial"/>
                <w:sz w:val="10"/>
                <w:szCs w:val="10"/>
                <w:color w:val="auto"/>
                <w:w w:val="84"/>
              </w:rPr>
              <w:t>10.5%</w:t>
            </w:r>
          </w:p>
        </w:tc>
        <w:tc>
          <w:tcPr>
            <w:tcW w:w="640" w:type="dxa"/>
            <w:vAlign w:val="bottom"/>
          </w:tcPr>
          <w:p>
            <w:pPr>
              <w:jc w:val="center"/>
              <w:spacing w:after="0"/>
              <w:rPr>
                <w:sz w:val="20"/>
                <w:szCs w:val="20"/>
                <w:color w:val="auto"/>
              </w:rPr>
            </w:pPr>
            <w:r>
              <w:rPr>
                <w:rFonts w:ascii="Arial" w:cs="Arial" w:eastAsia="Arial" w:hAnsi="Arial"/>
                <w:sz w:val="10"/>
                <w:szCs w:val="10"/>
                <w:color w:val="auto"/>
                <w:w w:val="85"/>
              </w:rPr>
              <w:t>3,684,426</w:t>
            </w:r>
          </w:p>
        </w:tc>
        <w:tc>
          <w:tcPr>
            <w:tcW w:w="320" w:type="dxa"/>
            <w:vAlign w:val="bottom"/>
          </w:tcPr>
          <w:p>
            <w:pPr>
              <w:jc w:val="center"/>
              <w:spacing w:after="0"/>
              <w:rPr>
                <w:sz w:val="20"/>
                <w:szCs w:val="20"/>
                <w:color w:val="auto"/>
              </w:rPr>
            </w:pPr>
            <w:r>
              <w:rPr>
                <w:rFonts w:ascii="Arial" w:cs="Arial" w:eastAsia="Arial" w:hAnsi="Arial"/>
                <w:sz w:val="10"/>
                <w:szCs w:val="10"/>
                <w:color w:val="auto"/>
                <w:w w:val="87"/>
              </w:rPr>
              <w:t>3.7%</w:t>
            </w:r>
          </w:p>
        </w:tc>
        <w:tc>
          <w:tcPr>
            <w:tcW w:w="1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9"/>
              </w:rPr>
              <w:t>3,684,426</w:t>
            </w:r>
          </w:p>
        </w:tc>
        <w:tc>
          <w:tcPr>
            <w:tcW w:w="1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7"/>
              </w:rPr>
              <w:t>3.8%</w:t>
            </w:r>
          </w:p>
        </w:tc>
        <w:tc>
          <w:tcPr>
            <w:tcW w:w="12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5"/>
              </w:rPr>
              <w:t>3,684,426</w:t>
            </w:r>
          </w:p>
        </w:tc>
        <w:tc>
          <w:tcPr>
            <w:tcW w:w="500" w:type="dxa"/>
            <w:vAlign w:val="bottom"/>
          </w:tcPr>
          <w:p>
            <w:pPr>
              <w:jc w:val="center"/>
              <w:spacing w:after="0"/>
              <w:rPr>
                <w:sz w:val="20"/>
                <w:szCs w:val="20"/>
                <w:color w:val="auto"/>
              </w:rPr>
            </w:pPr>
            <w:r>
              <w:rPr>
                <w:rFonts w:ascii="Arial" w:cs="Arial" w:eastAsia="Arial" w:hAnsi="Arial"/>
                <w:sz w:val="10"/>
                <w:szCs w:val="10"/>
                <w:color w:val="auto"/>
                <w:w w:val="87"/>
              </w:rPr>
              <w:t>3.8%</w:t>
            </w:r>
          </w:p>
        </w:tc>
        <w:tc>
          <w:tcPr>
            <w:tcW w:w="600" w:type="dxa"/>
            <w:vAlign w:val="bottom"/>
          </w:tcPr>
          <w:p>
            <w:pPr>
              <w:jc w:val="center"/>
              <w:ind w:right="32"/>
              <w:spacing w:after="0"/>
              <w:rPr>
                <w:sz w:val="20"/>
                <w:szCs w:val="20"/>
                <w:color w:val="auto"/>
              </w:rPr>
            </w:pPr>
            <w:r>
              <w:rPr>
                <w:rFonts w:ascii="Arial" w:cs="Arial" w:eastAsia="Arial" w:hAnsi="Arial"/>
                <w:sz w:val="10"/>
                <w:szCs w:val="10"/>
                <w:color w:val="auto"/>
                <w:w w:val="87"/>
              </w:rPr>
              <w:t>8.5%</w:t>
            </w:r>
          </w:p>
        </w:tc>
        <w:tc>
          <w:tcPr>
            <w:tcW w:w="540" w:type="dxa"/>
            <w:vAlign w:val="bottom"/>
          </w:tcPr>
          <w:p>
            <w:pPr>
              <w:jc w:val="center"/>
              <w:spacing w:after="0"/>
              <w:rPr>
                <w:sz w:val="20"/>
                <w:szCs w:val="20"/>
                <w:color w:val="auto"/>
              </w:rPr>
            </w:pPr>
            <w:r>
              <w:rPr>
                <w:rFonts w:ascii="Arial" w:cs="Arial" w:eastAsia="Arial" w:hAnsi="Arial"/>
                <w:sz w:val="10"/>
                <w:szCs w:val="10"/>
                <w:color w:val="auto"/>
                <w:w w:val="87"/>
              </w:rPr>
              <w:t>8.4%</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20"/>
                <w:szCs w:val="20"/>
                <w:color w:val="auto"/>
              </w:rPr>
            </w:pPr>
            <w:r>
              <w:rPr>
                <w:rFonts w:ascii="Arial" w:cs="Arial" w:eastAsia="Arial" w:hAnsi="Arial"/>
                <w:sz w:val="10"/>
                <w:szCs w:val="10"/>
                <w:color w:val="auto"/>
              </w:rPr>
              <w:t>Directors and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tcPr>
          <w:p>
            <w:pPr>
              <w:ind w:left="140"/>
              <w:spacing w:after="0"/>
              <w:rPr>
                <w:sz w:val="20"/>
                <w:szCs w:val="20"/>
                <w:color w:val="auto"/>
              </w:rPr>
            </w:pPr>
            <w:r>
              <w:rPr>
                <w:rFonts w:ascii="Arial" w:cs="Arial" w:eastAsia="Arial" w:hAnsi="Arial"/>
                <w:sz w:val="10"/>
                <w:szCs w:val="10"/>
                <w:color w:val="auto"/>
              </w:rPr>
              <w:t>executive</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tcPr>
          <w:p>
            <w:pPr>
              <w:ind w:left="140"/>
              <w:spacing w:after="0"/>
              <w:rPr>
                <w:sz w:val="20"/>
                <w:szCs w:val="20"/>
                <w:color w:val="auto"/>
              </w:rPr>
            </w:pPr>
            <w:r>
              <w:rPr>
                <w:rFonts w:ascii="Arial" w:cs="Arial" w:eastAsia="Arial" w:hAnsi="Arial"/>
                <w:sz w:val="10"/>
                <w:szCs w:val="10"/>
                <w:color w:val="auto"/>
              </w:rPr>
              <w:t>officers as a</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00" w:type="dxa"/>
            <w:vAlign w:val="bottom"/>
          </w:tcPr>
          <w:p>
            <w:pPr>
              <w:ind w:left="140"/>
              <w:spacing w:after="0"/>
              <w:rPr>
                <w:sz w:val="20"/>
                <w:szCs w:val="20"/>
                <w:color w:val="auto"/>
              </w:rPr>
            </w:pPr>
            <w:r>
              <w:rPr>
                <w:rFonts w:ascii="Arial" w:cs="Arial" w:eastAsia="Arial" w:hAnsi="Arial"/>
                <w:sz w:val="10"/>
                <w:szCs w:val="10"/>
                <w:color w:val="auto"/>
              </w:rPr>
              <w:t>group</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00" w:type="dxa"/>
            <w:vAlign w:val="bottom"/>
          </w:tcPr>
          <w:p>
            <w:pPr>
              <w:ind w:left="140"/>
              <w:spacing w:after="0"/>
              <w:rPr>
                <w:sz w:val="20"/>
                <w:szCs w:val="20"/>
                <w:color w:val="auto"/>
              </w:rPr>
            </w:pPr>
            <w:r>
              <w:rPr>
                <w:rFonts w:ascii="Arial" w:cs="Arial" w:eastAsia="Arial" w:hAnsi="Arial"/>
                <w:sz w:val="10"/>
                <w:szCs w:val="10"/>
                <w:color w:val="auto"/>
                <w:w w:val="96"/>
              </w:rPr>
              <w:t>(12 persons)</w:t>
            </w:r>
          </w:p>
        </w:tc>
        <w:tc>
          <w:tcPr>
            <w:tcW w:w="540" w:type="dxa"/>
            <w:vAlign w:val="bottom"/>
          </w:tcPr>
          <w:p>
            <w:pPr>
              <w:jc w:val="center"/>
              <w:ind w:right="52"/>
              <w:spacing w:after="0"/>
              <w:rPr>
                <w:sz w:val="20"/>
                <w:szCs w:val="20"/>
                <w:color w:val="auto"/>
              </w:rPr>
            </w:pPr>
            <w:r>
              <w:rPr>
                <w:rFonts w:ascii="Arial" w:cs="Arial" w:eastAsia="Arial" w:hAnsi="Arial"/>
                <w:sz w:val="10"/>
                <w:szCs w:val="10"/>
                <w:color w:val="auto"/>
                <w:w w:val="89"/>
              </w:rPr>
              <w:t>1,930,972</w:t>
            </w:r>
          </w:p>
        </w:tc>
        <w:tc>
          <w:tcPr>
            <w:tcW w:w="28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440" w:type="dxa"/>
            <w:vAlign w:val="bottom"/>
          </w:tcPr>
          <w:p>
            <w:pPr>
              <w:jc w:val="center"/>
              <w:spacing w:after="0"/>
              <w:rPr>
                <w:sz w:val="20"/>
                <w:szCs w:val="20"/>
                <w:color w:val="auto"/>
              </w:rPr>
            </w:pPr>
            <w:r>
              <w:rPr>
                <w:rFonts w:ascii="Arial" w:cs="Arial" w:eastAsia="Arial" w:hAnsi="Arial"/>
                <w:sz w:val="10"/>
                <w:szCs w:val="10"/>
                <w:color w:val="auto"/>
                <w:w w:val="85"/>
              </w:rPr>
              <w:t>1,930,972</w:t>
            </w:r>
          </w:p>
        </w:tc>
        <w:tc>
          <w:tcPr>
            <w:tcW w:w="100" w:type="dxa"/>
            <w:vAlign w:val="bottom"/>
          </w:tcPr>
          <w:p>
            <w:pPr>
              <w:spacing w:after="0"/>
              <w:rPr>
                <w:sz w:val="10"/>
                <w:szCs w:val="10"/>
                <w:color w:val="auto"/>
              </w:rPr>
            </w:pPr>
          </w:p>
        </w:tc>
        <w:tc>
          <w:tcPr>
            <w:tcW w:w="260" w:type="dxa"/>
            <w:vAlign w:val="bottom"/>
          </w:tcPr>
          <w:p>
            <w:pPr>
              <w:jc w:val="center"/>
              <w:spacing w:after="0"/>
              <w:rPr>
                <w:sz w:val="20"/>
                <w:szCs w:val="20"/>
                <w:color w:val="auto"/>
              </w:rPr>
            </w:pPr>
            <w:r>
              <w:rPr>
                <w:rFonts w:ascii="Arial" w:cs="Arial" w:eastAsia="Arial" w:hAnsi="Arial"/>
                <w:sz w:val="10"/>
                <w:szCs w:val="10"/>
                <w:color w:val="auto"/>
                <w:w w:val="87"/>
              </w:rPr>
              <w:t>4.3%</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color w:val="auto"/>
                <w:w w:val="85"/>
              </w:rPr>
              <w:t>1,930,972</w:t>
            </w:r>
          </w:p>
        </w:tc>
        <w:tc>
          <w:tcPr>
            <w:tcW w:w="420" w:type="dxa"/>
            <w:vAlign w:val="bottom"/>
          </w:tcPr>
          <w:p>
            <w:pPr>
              <w:jc w:val="center"/>
              <w:spacing w:after="0"/>
              <w:rPr>
                <w:sz w:val="20"/>
                <w:szCs w:val="20"/>
                <w:color w:val="auto"/>
              </w:rPr>
            </w:pPr>
            <w:r>
              <w:rPr>
                <w:rFonts w:ascii="Arial" w:cs="Arial" w:eastAsia="Arial" w:hAnsi="Arial"/>
                <w:sz w:val="10"/>
                <w:szCs w:val="10"/>
                <w:color w:val="auto"/>
                <w:w w:val="87"/>
              </w:rPr>
              <w:t>3.7%</w:t>
            </w:r>
          </w:p>
        </w:tc>
        <w:tc>
          <w:tcPr>
            <w:tcW w:w="720" w:type="dxa"/>
            <w:vAlign w:val="bottom"/>
          </w:tcPr>
          <w:p>
            <w:pPr>
              <w:jc w:val="center"/>
              <w:spacing w:after="0"/>
              <w:rPr>
                <w:sz w:val="20"/>
                <w:szCs w:val="20"/>
                <w:color w:val="auto"/>
              </w:rPr>
            </w:pPr>
            <w:r>
              <w:rPr>
                <w:rFonts w:ascii="Arial" w:cs="Arial" w:eastAsia="Arial" w:hAnsi="Arial"/>
                <w:sz w:val="10"/>
                <w:szCs w:val="10"/>
                <w:color w:val="auto"/>
                <w:w w:val="86"/>
              </w:rPr>
              <w:t>101,914,918</w:t>
            </w:r>
          </w:p>
        </w:tc>
        <w:tc>
          <w:tcPr>
            <w:tcW w:w="300" w:type="dxa"/>
            <w:vAlign w:val="bottom"/>
          </w:tcPr>
          <w:p>
            <w:pPr>
              <w:jc w:val="center"/>
              <w:spacing w:after="0"/>
              <w:rPr>
                <w:sz w:val="20"/>
                <w:szCs w:val="20"/>
                <w:color w:val="auto"/>
              </w:rPr>
            </w:pPr>
            <w:r>
              <w:rPr>
                <w:rFonts w:ascii="Arial" w:cs="Arial" w:eastAsia="Arial" w:hAnsi="Arial"/>
                <w:sz w:val="10"/>
                <w:szCs w:val="10"/>
                <w:color w:val="auto"/>
                <w:w w:val="84"/>
              </w:rPr>
              <w:t>42.0%</w:t>
            </w: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6"/>
              </w:rPr>
              <w:t>101,914,918</w:t>
            </w:r>
          </w:p>
        </w:tc>
        <w:tc>
          <w:tcPr>
            <w:tcW w:w="10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91"/>
              </w:rPr>
              <w:t>42.6%</w:t>
            </w: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color w:val="auto"/>
                <w:w w:val="86"/>
              </w:rPr>
              <w:t>101,914,918</w:t>
            </w:r>
          </w:p>
        </w:tc>
        <w:tc>
          <w:tcPr>
            <w:tcW w:w="480" w:type="dxa"/>
            <w:vAlign w:val="bottom"/>
          </w:tcPr>
          <w:p>
            <w:pPr>
              <w:jc w:val="center"/>
              <w:spacing w:after="0"/>
              <w:rPr>
                <w:sz w:val="20"/>
                <w:szCs w:val="20"/>
                <w:color w:val="auto"/>
              </w:rPr>
            </w:pPr>
            <w:r>
              <w:rPr>
                <w:rFonts w:ascii="Arial" w:cs="Arial" w:eastAsia="Arial" w:hAnsi="Arial"/>
                <w:sz w:val="10"/>
                <w:szCs w:val="10"/>
                <w:color w:val="auto"/>
                <w:w w:val="84"/>
              </w:rPr>
              <w:t>42.6%</w:t>
            </w:r>
          </w:p>
        </w:tc>
        <w:tc>
          <w:tcPr>
            <w:tcW w:w="640" w:type="dxa"/>
            <w:vAlign w:val="bottom"/>
          </w:tcPr>
          <w:p>
            <w:pPr>
              <w:jc w:val="center"/>
              <w:spacing w:after="0"/>
              <w:rPr>
                <w:sz w:val="20"/>
                <w:szCs w:val="20"/>
                <w:color w:val="auto"/>
              </w:rPr>
            </w:pPr>
            <w:r>
              <w:rPr>
                <w:rFonts w:ascii="Arial" w:cs="Arial" w:eastAsia="Arial" w:hAnsi="Arial"/>
                <w:sz w:val="10"/>
                <w:szCs w:val="10"/>
                <w:color w:val="auto"/>
                <w:w w:val="85"/>
              </w:rPr>
              <w:t>3,684,426</w:t>
            </w:r>
          </w:p>
        </w:tc>
        <w:tc>
          <w:tcPr>
            <w:tcW w:w="320" w:type="dxa"/>
            <w:vAlign w:val="bottom"/>
          </w:tcPr>
          <w:p>
            <w:pPr>
              <w:jc w:val="center"/>
              <w:spacing w:after="0"/>
              <w:rPr>
                <w:sz w:val="20"/>
                <w:szCs w:val="20"/>
                <w:color w:val="auto"/>
              </w:rPr>
            </w:pPr>
            <w:r>
              <w:rPr>
                <w:rFonts w:ascii="Arial" w:cs="Arial" w:eastAsia="Arial" w:hAnsi="Arial"/>
                <w:sz w:val="10"/>
                <w:szCs w:val="10"/>
                <w:color w:val="auto"/>
                <w:w w:val="87"/>
              </w:rPr>
              <w:t>3.7%</w:t>
            </w:r>
          </w:p>
        </w:tc>
        <w:tc>
          <w:tcPr>
            <w:tcW w:w="1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9"/>
              </w:rPr>
              <w:t>3,684,426</w:t>
            </w:r>
          </w:p>
        </w:tc>
        <w:tc>
          <w:tcPr>
            <w:tcW w:w="10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color w:val="auto"/>
                <w:w w:val="87"/>
              </w:rPr>
              <w:t>3.8%</w:t>
            </w:r>
          </w:p>
        </w:tc>
        <w:tc>
          <w:tcPr>
            <w:tcW w:w="12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color w:val="auto"/>
                <w:w w:val="85"/>
              </w:rPr>
              <w:t>3,684,426</w:t>
            </w:r>
          </w:p>
        </w:tc>
        <w:tc>
          <w:tcPr>
            <w:tcW w:w="500" w:type="dxa"/>
            <w:vAlign w:val="bottom"/>
          </w:tcPr>
          <w:p>
            <w:pPr>
              <w:jc w:val="center"/>
              <w:spacing w:after="0"/>
              <w:rPr>
                <w:sz w:val="20"/>
                <w:szCs w:val="20"/>
                <w:color w:val="auto"/>
              </w:rPr>
            </w:pPr>
            <w:r>
              <w:rPr>
                <w:rFonts w:ascii="Arial" w:cs="Arial" w:eastAsia="Arial" w:hAnsi="Arial"/>
                <w:sz w:val="10"/>
                <w:szCs w:val="10"/>
                <w:color w:val="auto"/>
                <w:w w:val="87"/>
              </w:rPr>
              <w:t>3.8%</w:t>
            </w:r>
          </w:p>
        </w:tc>
        <w:tc>
          <w:tcPr>
            <w:tcW w:w="600" w:type="dxa"/>
            <w:vAlign w:val="bottom"/>
          </w:tcPr>
          <w:p>
            <w:pPr>
              <w:jc w:val="center"/>
              <w:ind w:right="12"/>
              <w:spacing w:after="0"/>
              <w:rPr>
                <w:sz w:val="20"/>
                <w:szCs w:val="20"/>
                <w:color w:val="auto"/>
              </w:rPr>
            </w:pPr>
            <w:r>
              <w:rPr>
                <w:rFonts w:ascii="Arial" w:cs="Arial" w:eastAsia="Arial" w:hAnsi="Arial"/>
                <w:sz w:val="10"/>
                <w:szCs w:val="10"/>
                <w:color w:val="auto"/>
                <w:w w:val="91"/>
              </w:rPr>
              <w:t>31.0%</w:t>
            </w:r>
          </w:p>
        </w:tc>
        <w:tc>
          <w:tcPr>
            <w:tcW w:w="540" w:type="dxa"/>
            <w:vAlign w:val="bottom"/>
          </w:tcPr>
          <w:p>
            <w:pPr>
              <w:jc w:val="center"/>
              <w:spacing w:after="0"/>
              <w:rPr>
                <w:sz w:val="20"/>
                <w:szCs w:val="20"/>
                <w:color w:val="auto"/>
              </w:rPr>
            </w:pPr>
            <w:r>
              <w:rPr>
                <w:rFonts w:ascii="Arial" w:cs="Arial" w:eastAsia="Arial" w:hAnsi="Arial"/>
                <w:sz w:val="10"/>
                <w:szCs w:val="10"/>
                <w:color w:val="auto"/>
                <w:w w:val="84"/>
              </w:rPr>
              <w:t>31.0%</w:t>
            </w:r>
          </w:p>
        </w:tc>
        <w:tc>
          <w:tcPr>
            <w:tcW w:w="0" w:type="dxa"/>
            <w:vAlign w:val="bottom"/>
          </w:tcPr>
          <w:p>
            <w:pPr>
              <w:spacing w:after="0"/>
              <w:rPr>
                <w:sz w:val="1"/>
                <w:szCs w:val="1"/>
                <w:color w:val="auto"/>
              </w:rPr>
            </w:pPr>
          </w:p>
        </w:tc>
      </w:tr>
      <w:tr>
        <w:trPr>
          <w:trHeight w:val="24"/>
        </w:trPr>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8"/>
          <w:szCs w:val="8"/>
          <w:color w:val="auto"/>
        </w:rPr>
        <w:t>36.0%</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8"/>
          <w:szCs w:val="8"/>
          <w:color w:val="auto"/>
        </w:rPr>
        <w:t>31.0%</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0"/>
          <w:szCs w:val="10"/>
          <w:color w:val="auto"/>
        </w:rPr>
        <w:t>6.4%</w:t>
      </w:r>
    </w:p>
    <w:p>
      <w:pPr>
        <w:spacing w:after="0" w:line="291" w:lineRule="exact"/>
        <w:rPr>
          <w:sz w:val="20"/>
          <w:szCs w:val="20"/>
          <w:color w:val="auto"/>
        </w:rPr>
      </w:pPr>
    </w:p>
    <w:p>
      <w:pPr>
        <w:spacing w:after="0"/>
        <w:rPr>
          <w:sz w:val="20"/>
          <w:szCs w:val="20"/>
          <w:color w:val="auto"/>
        </w:rPr>
      </w:pPr>
      <w:r>
        <w:rPr>
          <w:rFonts w:ascii="Arial" w:cs="Arial" w:eastAsia="Arial" w:hAnsi="Arial"/>
          <w:sz w:val="8"/>
          <w:szCs w:val="8"/>
          <w:color w:val="auto"/>
        </w:rPr>
        <w:t>17.1%</w:t>
      </w:r>
    </w:p>
    <w:p>
      <w:pPr>
        <w:spacing w:after="0" w:line="170" w:lineRule="exact"/>
        <w:rPr>
          <w:sz w:val="20"/>
          <w:szCs w:val="20"/>
          <w:color w:val="auto"/>
        </w:rPr>
      </w:pPr>
    </w:p>
    <w:p>
      <w:pPr>
        <w:spacing w:after="0"/>
        <w:rPr>
          <w:sz w:val="20"/>
          <w:szCs w:val="20"/>
          <w:color w:val="auto"/>
        </w:rPr>
      </w:pPr>
      <w:r>
        <w:rPr>
          <w:rFonts w:ascii="Arial" w:cs="Arial" w:eastAsia="Arial" w:hAnsi="Arial"/>
          <w:sz w:val="8"/>
          <w:szCs w:val="8"/>
          <w:color w:val="auto"/>
        </w:rPr>
        <w:t>17.1%</w:t>
      </w:r>
    </w:p>
    <w:p>
      <w:pPr>
        <w:spacing w:after="0" w:line="170" w:lineRule="exact"/>
        <w:rPr>
          <w:sz w:val="20"/>
          <w:szCs w:val="20"/>
          <w:color w:val="auto"/>
        </w:rPr>
      </w:pPr>
    </w:p>
    <w:p>
      <w:pPr>
        <w:spacing w:after="0"/>
        <w:rPr>
          <w:sz w:val="20"/>
          <w:szCs w:val="20"/>
          <w:color w:val="auto"/>
        </w:rPr>
      </w:pPr>
      <w:r>
        <w:rPr>
          <w:rFonts w:ascii="Arial" w:cs="Arial" w:eastAsia="Arial" w:hAnsi="Arial"/>
          <w:sz w:val="8"/>
          <w:szCs w:val="8"/>
          <w:color w:val="auto"/>
        </w:rPr>
        <w:t>22.4%</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0"/>
          <w:szCs w:val="10"/>
          <w:color w:val="auto"/>
        </w:rPr>
        <w:t>*</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0"/>
          <w:szCs w:val="10"/>
          <w:color w:val="auto"/>
        </w:rPr>
        <w:t>—</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0"/>
          <w:szCs w:val="10"/>
          <w:color w:val="auto"/>
        </w:rPr>
        <w:t>8.4%</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8"/>
          <w:szCs w:val="8"/>
          <w:color w:val="auto"/>
        </w:rPr>
        <w:t>30.9%</w:t>
      </w:r>
    </w:p>
    <w:p>
      <w:pPr>
        <w:spacing w:after="0" w:line="267" w:lineRule="exact"/>
        <w:rPr>
          <w:sz w:val="20"/>
          <w:szCs w:val="20"/>
          <w:color w:val="auto"/>
        </w:rPr>
      </w:pPr>
    </w:p>
    <w:p>
      <w:pPr>
        <w:sectPr>
          <w:pgSz w:w="11900" w:h="16838" w:orient="portrait"/>
          <w:cols w:equalWidth="0" w:num="2">
            <w:col w:w="10660" w:space="260"/>
            <w:col w:w="380"/>
          </w:cols>
          <w:pgMar w:left="360" w:top="593" w:right="239" w:bottom="1440" w:gutter="0" w:footer="0" w:header="0"/>
          <w:type w:val="continuous"/>
        </w:sectPr>
      </w:pPr>
    </w:p>
    <w:p>
      <w:pPr>
        <w:spacing w:after="0" w:line="364"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1300"/>
          </w:cols>
          <w:pgMar w:left="360" w:top="593" w:right="239"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4"/>
          <w:szCs w:val="14"/>
          <w:color w:val="auto"/>
        </w:rPr>
        <w:t>________________</w:t>
      </w:r>
    </w:p>
    <w:p>
      <w:pPr>
        <w:spacing w:after="0" w:line="4" w:lineRule="exact"/>
        <w:rPr>
          <w:sz w:val="20"/>
          <w:szCs w:val="20"/>
          <w:color w:val="auto"/>
        </w:rPr>
      </w:pPr>
    </w:p>
    <w:p>
      <w:pPr>
        <w:ind w:left="320" w:hanging="315"/>
        <w:spacing w:after="0"/>
        <w:tabs>
          <w:tab w:leader="none" w:pos="3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less than 1%.</w:t>
      </w:r>
    </w:p>
    <w:p>
      <w:pPr>
        <w:jc w:val="both"/>
        <w:ind w:left="320" w:hanging="315"/>
        <w:spacing w:after="0" w:line="234" w:lineRule="auto"/>
        <w:tabs>
          <w:tab w:leader="none" w:pos="3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Subject to the terms of the amended and restated limited liability company agreement of each of ZoomInfo OpCo and ZoomInfo HoldCo, the OpCo Units and HoldCo Units, each paired with equal number of shares of Class B common stock, are exchangeable for shares of our Class A common stock on a one-for-one basis after the completion of this offering. See “Organizational Structure,” “Certain Relationships and Related Person Transactions—ZoomInfo OpCo Amended and Restated Limited Liability Company Agreement,” and “Certain Relationships and Related Person Transactions—ZoomInfo HoldCo Amended and Restated Limited Liability Company Agreement.” Beneficial ownership of shares of Class B common stock reflected in this table has not been also reflected as beneficial ownership of shares of our Class A common stock for which such shares, paired with equal number of OpCo Units or HoldCo Units, as applicable, may be exchanged.</w:t>
      </w:r>
    </w:p>
    <w:p>
      <w:pPr>
        <w:spacing w:after="0" w:line="1" w:lineRule="exact"/>
        <w:rPr>
          <w:rFonts w:ascii="Arial" w:cs="Arial" w:eastAsia="Arial" w:hAnsi="Arial"/>
          <w:sz w:val="14"/>
          <w:szCs w:val="14"/>
          <w:color w:val="auto"/>
        </w:rPr>
      </w:pPr>
    </w:p>
    <w:p>
      <w:pPr>
        <w:ind w:left="320" w:hanging="315"/>
        <w:spacing w:after="0" w:line="234" w:lineRule="auto"/>
        <w:tabs>
          <w:tab w:leader="none" w:pos="3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Represents OpCo Units which are paired with an equal number of shares of Class B common stock, except as noted in footnote (7) below.</w:t>
      </w:r>
    </w:p>
    <w:p>
      <w:pPr>
        <w:jc w:val="both"/>
        <w:ind w:left="320" w:hanging="315"/>
        <w:spacing w:after="0" w:line="273" w:lineRule="auto"/>
        <w:tabs>
          <w:tab w:leader="none" w:pos="3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the aggregate number of our outstanding shares of common stock. Once converted into Class A common stock, Class C common stock will not be reissued. See “Description of Capital Stock—Common Stock—Class C Common Stock.” Beneficial ownership of shares of Class C common stock reflected in this table has not been also reflected as beneficial ownership of shares of our Class A common stock for which such shares may be converted.</w:t>
      </w:r>
    </w:p>
    <w:p>
      <w:pPr>
        <w:spacing w:after="0" w:line="1" w:lineRule="exact"/>
        <w:rPr>
          <w:rFonts w:ascii="Arial" w:cs="Arial" w:eastAsia="Arial" w:hAnsi="Arial"/>
          <w:sz w:val="12"/>
          <w:szCs w:val="12"/>
          <w:color w:val="auto"/>
        </w:rPr>
      </w:pPr>
    </w:p>
    <w:p>
      <w:pPr>
        <w:ind w:left="320" w:hanging="315"/>
        <w:spacing w:after="0" w:line="234" w:lineRule="auto"/>
        <w:tabs>
          <w:tab w:leader="none" w:pos="3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Represents percentage of voting power of the Class A common stock, Class B common stock, and Class C common stock of ZoomInfo Technologies Inc. voting together as a single class. See “Description of Capital Stock—Common Stock.”</w:t>
      </w:r>
    </w:p>
    <w:p>
      <w:pPr>
        <w:jc w:val="both"/>
        <w:ind w:left="320" w:hanging="315"/>
        <w:spacing w:after="0" w:line="252" w:lineRule="auto"/>
        <w:tabs>
          <w:tab w:leader="none" w:pos="3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Amounts beneficially owned reflect (i) 66,197,636 OpCo Units (and associated shares of Class B common stock) held by TA XI DO AIV, L.P., (ii) 1,708,916 OpCo Units (and associated shares of Class B common stock) held by TA SDF III DO AIV, L.P., (iii) 11,432,270 OpCo Units (and associated shares of Class B common stock) held by TA Atlantic and Pacific VII-A, L.P., (iv) 2,458,550 OpCo Units (and associated shares of Class B common stock) held by TA Investors IV, L.P., (v) 4,328,976 OpCo Units (and associated shares of Class B common stock) held by TA XI DO AIV II, L.P., (vi) 81,634 OpCo Units (and associated shares of Class B common stock) held by TA SDF III DO AIV II, L.P., (vii) 3,883,830 OpCo Units (and associated shares of Class B common stock) held by TA AP VII-B DO Subsidiary Partnership, L.P., (viii) 17,315,904 shares of Class C common stock held by TA XI DO Feeder, L.P., (ix) 326,537 shares of Class C common stock held by TA SDF III DO Feeder, L.P., and (x) 15,535,322 shares of Class C common stock held by TA Atlantic and Pacific VII-B, L.P. (collectively, the “TA Associates Funds”) in each case, following this offering. TA Associates, L.P. is the ultimate general partner of each of such entity. Investment and voting control of the TA Associates Funds is held by TA Associates, L.P. No stockholder, director, or officer of TA Associates, L.P. has voting or investment power with respect to our shares of common stock held by the TA Associates Funds. Voting and investment power with respect to such shares is vested in a five-person investment committee consisting of the following employees of TA Associates, L.P.: Todd R. Crockett, Jason P. Werlin, Jason S. Mironov, Kurt R. Jaggers, and Jeffrey T. Chambers. The address of each TA Associates Fund is 200 Clarendon Street, 56th floor, Boston, Massachusetts 02116.</w:t>
      </w:r>
    </w:p>
    <w:p>
      <w:pPr>
        <w:spacing w:after="0" w:line="2" w:lineRule="exact"/>
        <w:rPr>
          <w:rFonts w:ascii="Arial" w:cs="Arial" w:eastAsia="Arial" w:hAnsi="Arial"/>
          <w:sz w:val="13"/>
          <w:szCs w:val="13"/>
          <w:color w:val="auto"/>
        </w:rPr>
      </w:pPr>
    </w:p>
    <w:p>
      <w:pPr>
        <w:jc w:val="both"/>
        <w:ind w:left="320" w:hanging="315"/>
        <w:spacing w:after="0" w:line="252" w:lineRule="auto"/>
        <w:tabs>
          <w:tab w:leader="none" w:pos="32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Carlyle Partners VI Evergreen Holdings, L.P. (“Carlyle Evergreen”) is the record holder of 44,943,347 OpCo Units (and associated shares of Class B common stock) following this offering. CP VI Evergreen Holdings, L.P. (“CP VI Evergreen”) is the record holder of 45,193,415 shares of Class C common stock following this offering. Carlyle Partners VI Dash Holdings, L.P. (together with Carlyle Evergreen and CP VI Evergreen, the “Carlyle Investors”) is the record holder of 16,050,783 shares of Class C common stock following this offering.</w:t>
      </w:r>
    </w:p>
    <w:p>
      <w:pPr>
        <w:jc w:val="both"/>
        <w:ind w:left="320"/>
        <w:spacing w:after="0" w:line="234" w:lineRule="auto"/>
        <w:rPr>
          <w:rFonts w:ascii="Arial" w:cs="Arial" w:eastAsia="Arial" w:hAnsi="Arial"/>
          <w:sz w:val="13"/>
          <w:szCs w:val="13"/>
          <w:color w:val="auto"/>
        </w:rPr>
      </w:pPr>
      <w:r>
        <w:rPr>
          <w:rFonts w:ascii="Arial" w:cs="Arial" w:eastAsia="Arial" w:hAnsi="Arial"/>
          <w:sz w:val="14"/>
          <w:szCs w:val="14"/>
          <w:color w:val="auto"/>
        </w:rPr>
        <w:t>Carlyle Group Management L.L.C. holds an irrevocable proxy to vote a majority of the shares of The Carlyle Group Inc., which is a publicly traded entity listed on the Nasdaq. The Carlyle Group Inc. is the sole shareholder of Carlyle Holdings I GP Inc., which is the managing member of Carlyle Holdings I GP Sub L.L.C., which is the general partner of Carlyle Holdings I L.P., which, with respect to the securities held of record by Carlyle Evergreen and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1" w:lineRule="exact"/>
        <w:rPr>
          <w:rFonts w:ascii="Arial" w:cs="Arial" w:eastAsia="Arial" w:hAnsi="Arial"/>
          <w:sz w:val="13"/>
          <w:szCs w:val="13"/>
          <w:color w:val="auto"/>
        </w:rPr>
      </w:pPr>
    </w:p>
    <w:p>
      <w:pPr>
        <w:jc w:val="both"/>
        <w:ind w:left="320"/>
        <w:spacing w:after="0" w:line="234" w:lineRule="auto"/>
        <w:rPr>
          <w:rFonts w:ascii="Arial" w:cs="Arial" w:eastAsia="Arial" w:hAnsi="Arial"/>
          <w:sz w:val="13"/>
          <w:szCs w:val="13"/>
          <w:color w:val="auto"/>
        </w:rPr>
      </w:pPr>
      <w:r>
        <w:rPr>
          <w:rFonts w:ascii="Arial" w:cs="Arial" w:eastAsia="Arial" w:hAnsi="Arial"/>
          <w:sz w:val="14"/>
          <w:szCs w:val="14"/>
          <w:color w:val="auto"/>
        </w:rPr>
        <w:t>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jc w:val="both"/>
        <w:ind w:left="320"/>
        <w:spacing w:after="0" w:line="234" w:lineRule="auto"/>
        <w:rPr>
          <w:rFonts w:ascii="Arial" w:cs="Arial" w:eastAsia="Arial" w:hAnsi="Arial"/>
          <w:sz w:val="13"/>
          <w:szCs w:val="13"/>
          <w:color w:val="auto"/>
        </w:rPr>
      </w:pPr>
      <w:r>
        <w:rPr>
          <w:rFonts w:ascii="Arial" w:cs="Arial" w:eastAsia="Arial" w:hAnsi="Arial"/>
          <w:sz w:val="14"/>
          <w:szCs w:val="14"/>
          <w:color w:val="auto"/>
        </w:rPr>
        <w:t>Voting and investment determinations with respect to the securities held by Carlyle Evergreen and CP VI Evergreen are made by an investment committee of TC Group VI S1, L.P., and voting and investment determinations with respect to the securities held by Carlyle Partners VI Dash Holdings, L.P. are made by an investment committee of TC Group VI, L.P., each of which is comprised of Allan Holt, William Conway, Jr., Daniel D’Aniello, David Rubenstein, Peter Clare, Kewsong Lee, Norma Kuntz, Sandra Horbach, and Marco De Benedetti, as a non-voting observer. Accordingly, each of the entities and individuals named in this footnote may be deemed to share beneficial ownership of the securities held of record by the Carlyle Investors. Each of them disclaims beneficial ownership of such securities.</w:t>
      </w:r>
    </w:p>
    <w:p>
      <w:pPr>
        <w:spacing w:after="0" w:line="1" w:lineRule="exact"/>
        <w:rPr>
          <w:rFonts w:ascii="Arial" w:cs="Arial" w:eastAsia="Arial" w:hAnsi="Arial"/>
          <w:sz w:val="13"/>
          <w:szCs w:val="13"/>
          <w:color w:val="auto"/>
        </w:rPr>
      </w:pPr>
    </w:p>
    <w:p>
      <w:pPr>
        <w:jc w:val="both"/>
        <w:ind w:left="320"/>
        <w:spacing w:after="0" w:line="234" w:lineRule="auto"/>
        <w:rPr>
          <w:rFonts w:ascii="Arial" w:cs="Arial" w:eastAsia="Arial" w:hAnsi="Arial"/>
          <w:sz w:val="13"/>
          <w:szCs w:val="13"/>
          <w:color w:val="auto"/>
        </w:rPr>
      </w:pPr>
      <w:r>
        <w:rPr>
          <w:rFonts w:ascii="Arial" w:cs="Arial" w:eastAsia="Arial" w:hAnsi="Arial"/>
          <w:sz w:val="14"/>
          <w:szCs w:val="14"/>
          <w:color w:val="auto"/>
        </w:rPr>
        <w:t>The address of each of TC Group Cayman Investment Holdings, L.P. and TC Group Cayman Investment Holdings Sub L.P. is c/o Walkers, Cayman Corporate Center, 27 Hospital Road, George Town, Grand Cayman KY1-9008, Cayman Islands. The address of each of the other entities named in this footnote is c/o The Carlyle Group Inc., 1001 Pennsylvania Avenue, NW, Suite 220 South, Washington, District of Columbia 20004.</w:t>
      </w:r>
    </w:p>
    <w:p>
      <w:pPr>
        <w:jc w:val="both"/>
        <w:ind w:left="320" w:hanging="315"/>
        <w:spacing w:after="0" w:line="237" w:lineRule="auto"/>
        <w:tabs>
          <w:tab w:leader="none" w:pos="3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Amounts beneficially owned reflect (i) 3,201,378 shares of Class C common stock and 17,978,075 OpCo Units (and associated shares of Class B common stock) held directly following this offering by 22C Magellan Holdings LLC, whose two principal members are 22C DiscoverOrg Investors, LLC and 22C Capital I, L.P., and (ii) 483,048 shares of Class C common stock and 87,500 HoldCo Units (and associated shares of Class B common stock) held directly by 22C Capital I-A, L.P. 22C DiscoverOrg MM, LLC is the managing member of 22C DiscoverOrg Investors, LLC. 22C DiscoverOrg Advisors, LLC is the managing member of 22C DiscoverOrg MM, LLC. 22C Capital GP I, L.L.C. is the general partner of 22C Capital I, L.P. and of 22C Capital I-A, L.P. 22C Capital GP I MM LLC is the managing member of 22C Capital GP 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1240"/>
          </w:cols>
          <w:pgMar w:left="320" w:top="331" w:right="339" w:bottom="1440" w:gutter="0" w:footer="0" w:header="0"/>
        </w:sectPr>
      </w:pPr>
    </w:p>
    <w:bookmarkStart w:id="210" w:name="page211"/>
    <w:bookmarkEnd w:id="210"/>
    <w:p>
      <w:pPr>
        <w:jc w:val="both"/>
        <w:ind w:left="320"/>
        <w:spacing w:after="0" w:line="305" w:lineRule="auto"/>
        <w:rPr>
          <w:sz w:val="20"/>
          <w:szCs w:val="20"/>
          <w:color w:val="auto"/>
        </w:rPr>
      </w:pPr>
      <w:r>
        <w:rPr>
          <w:rFonts w:ascii="Arial" w:cs="Arial" w:eastAsia="Arial" w:hAnsi="Arial"/>
          <w:sz w:val="14"/>
          <w:szCs w:val="14"/>
          <w:color w:val="auto"/>
        </w:rPr>
        <w:t>L.L.C. Eric Edell and D. Randall Winn are co-managing members of 22C DiscoverOrg Advisors, LLC and co-members of 22C Capital GP I MM LLC and, in such capacities, exercise voting or investment power over the shares of Class C common stock and OpCo Units (and associated shares of Class B common stock) held directly by 22C Magellan Holdings LLC and the shares of Class C common stock and HoldCo Units (and associated shares of Class B common stock) held directly by 22C Capital I-A, L.P. In addition, following this offering, as disclosed in footnote (21) below, D. Randall Winn exercises voting and investment power over OpCo Units (and associated shares of Class B common stock) held directly by Mr. Winn in his individual capacity, and over OpCo Units (and associated shares of Class B common stock) held directly by Five W DiscoverOrg, LLC. The address of 22C Magellan Holdings LLC, 22C Capital I-A, L.P., Eric Edell and D. Randall Winn is 70 East 55th Street, 14th Floor, New York, New York 10022.</w:t>
      </w:r>
    </w:p>
    <w:p>
      <w:pPr>
        <w:spacing w:after="0" w:line="4" w:lineRule="exact"/>
        <w:rPr>
          <w:sz w:val="20"/>
          <w:szCs w:val="20"/>
          <w:color w:val="auto"/>
        </w:rPr>
      </w:pPr>
    </w:p>
    <w:p>
      <w:pPr>
        <w:jc w:val="both"/>
        <w:ind w:left="320" w:hanging="315"/>
        <w:spacing w:after="0"/>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Amounts beneficially owned reflect 58,647,878 OpCo Units (and associated shares of Class B common stock) held directly by DO Holdings (WA), LLC. DO Holdings (WA), LLC is owned by Henry Schuck and Kirk Brown. Messrs. Schuck and Brown may be deemed to share voting and dispositive power over the securities held by DO Holdings (WA), LLC. The principal business address of DO Holdings (WA), LLC is</w:t>
      </w:r>
    </w:p>
    <w:p>
      <w:pPr>
        <w:ind w:left="320"/>
        <w:spacing w:after="0" w:line="234" w:lineRule="auto"/>
        <w:rPr>
          <w:rFonts w:ascii="Arial" w:cs="Arial" w:eastAsia="Arial" w:hAnsi="Arial"/>
          <w:sz w:val="14"/>
          <w:szCs w:val="14"/>
          <w:color w:val="auto"/>
        </w:rPr>
      </w:pPr>
      <w:r>
        <w:rPr>
          <w:rFonts w:ascii="Arial" w:cs="Arial" w:eastAsia="Arial" w:hAnsi="Arial"/>
          <w:sz w:val="14"/>
          <w:szCs w:val="14"/>
          <w:color w:val="auto"/>
        </w:rPr>
        <w:t>c/o 805 Broadway Street, Suite 900 Vancouver, Washington 98660.</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Amounts beneficially owned reflect the 58,647,878 OpCo Units (and associated shares of Class B common stock) held directly by DO Holdings (WA), LLC (as described above). The principal business address of Mr. Brown is c/o 1012 SE 64th Court, Vancouver, Washington 98661.</w:t>
      </w:r>
    </w:p>
    <w:p>
      <w:pPr>
        <w:jc w:val="both"/>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Amounts beneficially owned reflect the vested Class P Units convertible for 845,794 shares of Class A common stock held directly by Henry Schuck, 15,295,355 OpCo Units (and associated shares of Class B common stock) held directly by HSKB Funds, LLC, 58,647,878 OpCo Units (and associated shares of Class B common stock) held directly by DO Holdings (WA), LLC (as described above), and 2,778,810 HoldCo Units (and associated shares of Class B common stock) held by HSKB Funds II, LLC. HSKB Funds, LLC and HSKB Funds II, LLC are managed by HLS Management, LLC. Henry Schuck is the sole member of HLS Management, LLC. The principal business address of Mr. Schuck is c/o 805 Broadway Street, Suite 900 Vancouver, Washington 98660.</w:t>
      </w:r>
    </w:p>
    <w:p>
      <w:pPr>
        <w:spacing w:after="0" w:line="1" w:lineRule="exact"/>
        <w:rPr>
          <w:rFonts w:ascii="Arial" w:cs="Arial" w:eastAsia="Arial" w:hAnsi="Arial"/>
          <w:sz w:val="14"/>
          <w:szCs w:val="14"/>
          <w:color w:val="auto"/>
        </w:rPr>
      </w:pP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Mr. Hyzer is c/o 805 Broadway Street, Suite 900 Vancouver, Washington 98660.</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Mr. Hays is c/o 805 Broadway Street, Suite 900 Vancouver, Washington 98660.</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Amounts beneficially owned reflect the vested Class P Units held directly by Nir Keren convertible for 1,085,178 shares of Class A common stock. The principal business address of Mr. Keren is c/o 805 Broadway Street, Suite 900 Vancouver, Washington 98660.</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Mr. Crockett is c/o 200 Clarendon Street, 56th floor, Boston, Massachusetts 02116.</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Mr. Dhruv is c/o 20 Davis Drive, Belmont, California 94002.</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Mr. Enright is c/o 345 Spear Street, 4th Floor, San Francisco, California 94105.</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Ms. Evans is c/o 2710 Sand Hill Road, Menlo Park, California 94025.</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Mr. Mader is c/o 10500 NE 8th Street, Suite 1300, Bellevue, Washington 98004.</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Mr. McCarter is c/o 2710 Sand Hill Road, Menlo Park, California 94025.</w:t>
      </w:r>
    </w:p>
    <w:p>
      <w:pPr>
        <w:ind w:left="320" w:hanging="315"/>
        <w:spacing w:after="0" w:line="234"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principal business address of Mr. Mironov is c/o 200 Clarendon Street, 56th floor, Boston, Massachusetts 02116.</w:t>
      </w:r>
    </w:p>
    <w:p>
      <w:pPr>
        <w:jc w:val="both"/>
        <w:ind w:left="320" w:hanging="315"/>
        <w:spacing w:after="0" w:line="252" w:lineRule="auto"/>
        <w:tabs>
          <w:tab w:leader="none" w:pos="32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Amounts beneficially owned reflect: (i) 3,684,426 shares of Class C common stock, 17,978,075 OpCo Units (and associated shares of Class B common stock), and 87,500 HoldCo Units (and associated shares of Class B common stock) beneficially owned by 22C Capital, as disclosed in footnote (7) above; (ii) 1,496,269 OpCo Units (and associated shares of Class B common stock) directly held by Mr. Winn in his individual capacity; and (iii) 5,631,031 OpCo Units (and associated shares of Class B common stock) held directly by Five W DiscoverOrg, LLC, over which Mr. Winn exercises voting and investment power. The principal business address of Mr. Winn is 70 East 55th Street, 14th Floor, New York, New York 10022.</w:t>
      </w:r>
    </w:p>
    <w:p>
      <w:pPr>
        <w:jc w:val="both"/>
        <w:ind w:left="320" w:hanging="315"/>
        <w:spacing w:after="0" w:line="237" w:lineRule="auto"/>
        <w:tabs>
          <w:tab w:leader="none" w:pos="32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On June 3, 2020, 22C Capital granted an irrevocable proxy in favor of Carlyle, TA Associates, DO Holdings (WA), LLC, HSKB Funds, LLC, and HSKB Funds II, LLC (each a “Proxyholder”) pursuant to which the shares held of record by 22C Capital will be voted in favor of the election or removal, as applicable, of any member of our board of directors who is properly designated for election to or removal from our board of directors by any Proxyholder pursuant to and in accordance with the stockholders agreement. By virtue of the irrevocable proxy, the Proxyholders may be deemed to have shared voting power over the shares held of record by 22C Capital.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1240"/>
          </w:cols>
          <w:pgMar w:left="320" w:top="357" w:right="339" w:bottom="1440" w:gutter="0" w:footer="0" w:header="0"/>
        </w:sectPr>
      </w:pPr>
    </w:p>
    <w:bookmarkStart w:id="211" w:name="page212"/>
    <w:bookmarkEnd w:id="211"/>
    <w:p>
      <w:pPr>
        <w:ind w:left="3760"/>
        <w:spacing w:after="0"/>
        <w:rPr>
          <w:sz w:val="20"/>
          <w:szCs w:val="20"/>
          <w:color w:val="auto"/>
        </w:rPr>
      </w:pPr>
      <w:r>
        <w:rPr>
          <w:rFonts w:ascii="Arial" w:cs="Arial" w:eastAsia="Arial" w:hAnsi="Arial"/>
          <w:sz w:val="17"/>
          <w:szCs w:val="17"/>
          <w:b w:val="1"/>
          <w:bCs w:val="1"/>
          <w:color w:val="auto"/>
        </w:rPr>
        <w:t>DESCRIPTION OF CERTAIN INDEBTEDNESS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section summarizes the terms of our material principal indebtedness.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First Lien Credit Agreement</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first lien credit agreement with Morgan Stanley Senior Funding, Inc., as the administrative agent, collateral agent and a letter of credit issuer, Morgan Stanley Senior Funding, Inc., Barclays Bank plc and Antares Capital LP, as joint lead arrangers and joint bookrunners and the other lenders and letter of credit issuers from time to time party thereto (as amended from time to time, the “first lien credit agreement”). On February 19, 2020, ZoomInfo LLC and ZoomInfo Midco LLC entered into an amendment to the first lien credit agreement with Morgan Stanley Bank, N.A., as the new term loan lender, the revolving credit lenders party thereto and Morgan Stanley Senior Funding, Inc. as administrative agent, collateral agent and letter of credit issuer to amend certain pricing terms of the first lien credit agreement.</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Our borrowings under the first lien credit agreement consist of $865.0 million initial term loans, maturing February 1, 2026, and a $100.0 million revolving credit facility, maturing February 1, 2024. Of these first lien term loans, $856.4 million was outstanding as of March 31, 2020.</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 portion of the revolving credit facility is available for letters of credit, of which none was utilized as of March 31, 2020. Including letters of credit, there were $35.0 million of borrowings outstanding under the revolving credit facility as of March 31, 2020.</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Borrowings under the first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13"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With respect to the first lien term loans that bear interest by reference to an adjusted LIBOR rate, the applicable margin is 4.00% per annum and with respect to the first lien term loans that bear interest by reference to a base rate, the applicable margin is 3.00% per annum. The applicable margin for the borrowings under the revolving credit facility varies depending on a consolidated first lien debt to consolidated EBITDA ratio calculated pursuant to the first lien credit agreement (the “consolidated first lien net leverage ratio”) and is 3.75% or 4.00% per annum for the loans that bear interest by reference to the adjusted LIBOR rate and 2.75% of 3.00% per annum for the loans that bear interest by reference to the base rate. Upon the consummation of a qualified IPO, the applicable margin will be reduced by 0.25%. The applicable margin was 4.0% in the case of LIBOR rate loans and 3.0% in the case of base rate loans as of March 31, 2020.</w:t>
      </w:r>
    </w:p>
    <w:p>
      <w:pPr>
        <w:spacing w:after="0" w:line="130"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addition, we pay certain recurring fees with respect to the first lien credit agreement, including (i) a fee for the unused commitments of the lenders under the revolving credit facility, accruing at a rate equal to (x) 0.50% per annum if the consolidated first lien net leverage ratio is greater than 4.40 to 1.00, (y) 0.375% if the consolidated first lien secured leverage ratio is equal to or less than 4.40 to 1.00 but greater than 3.90 to 1.00 or (z) 0.125% if the consolidated first lien leverage ratio is equal to or less than 3.90 to 1.00, (ii) letter of credit fees, including a fronting fee and processing fees to each issuing bank, which vary depending on the consolidated first lien net leverage ratio, and (iii) administration fees. We paid $0.5 million of such fees for fiscal year 2019.</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may prepay, in full or in part, borrowings under the first lien credit agreement, subject to notice requirements, minimum prepayment amounts, and increment limitations. If any prepayment of term loans is made in connection with a repricing event prior to the six-month anniversary of the amendment no. 1 effective date, a premium of 1.00% of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1240"/>
          </w:cols>
          <w:pgMar w:left="320" w:top="331" w:right="339" w:bottom="1440" w:gutter="0" w:footer="0" w:header="0"/>
        </w:sectPr>
      </w:pPr>
    </w:p>
    <w:bookmarkStart w:id="212" w:name="page213"/>
    <w:bookmarkEnd w:id="212"/>
    <w:p>
      <w:pPr>
        <w:spacing w:after="0"/>
        <w:rPr>
          <w:sz w:val="20"/>
          <w:szCs w:val="20"/>
          <w:color w:val="auto"/>
        </w:rPr>
      </w:pPr>
      <w:r>
        <w:rPr>
          <w:rFonts w:ascii="Arial" w:cs="Arial" w:eastAsia="Arial" w:hAnsi="Arial"/>
          <w:sz w:val="17"/>
          <w:szCs w:val="17"/>
          <w:color w:val="auto"/>
        </w:rPr>
        <w:t>principal amount prepaid is required to be paid. After the six-month anniversary of the amendment no. 1 effective date, no premium is required.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first lien credit agreement requires us to prepay outstanding first lien term loans, subject to certain exceptions, with:</w:t>
      </w:r>
    </w:p>
    <w:p>
      <w:pPr>
        <w:spacing w:after="0" w:line="171" w:lineRule="exact"/>
        <w:rPr>
          <w:sz w:val="20"/>
          <w:szCs w:val="20"/>
          <w:color w:val="auto"/>
        </w:rPr>
      </w:pPr>
    </w:p>
    <w:p>
      <w:pPr>
        <w:ind w:left="640" w:hanging="321"/>
        <w:spacing w:after="0" w:line="322" w:lineRule="auto"/>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50% (which percentage will be reduced to (i) 25%, if the consolidated first lien net leverage ratio is less than or equal to 4.40 to 1.00 but greater than 3.90 to 1.00 and to (ii) 0%, if the consolidated first lien net leverage ratio is less than or equal to 3.90 to 1.00) of our annual excess cash flow;</w:t>
      </w:r>
    </w:p>
    <w:p>
      <w:pPr>
        <w:spacing w:after="0" w:line="82" w:lineRule="exact"/>
        <w:rPr>
          <w:rFonts w:ascii="Arial" w:cs="Arial" w:eastAsia="Arial" w:hAnsi="Arial"/>
          <w:sz w:val="16"/>
          <w:szCs w:val="16"/>
          <w:color w:val="auto"/>
        </w:rPr>
      </w:pPr>
    </w:p>
    <w:p>
      <w:pPr>
        <w:jc w:val="both"/>
        <w:ind w:left="640" w:hanging="321"/>
        <w:spacing w:after="0" w:line="283" w:lineRule="auto"/>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ZoomInfo LLC (formerly known as DiscoverOrg, LLC) or certain of its subsidiaries do not reinvest or commit to reinvest those proceeds in assets to be used in our business or to make certain other permitted investments within 540 days as long as such 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credit agreement;</w:t>
      </w:r>
    </w:p>
    <w:p>
      <w:pPr>
        <w:spacing w:after="0" w:line="112" w:lineRule="exact"/>
        <w:rPr>
          <w:rFonts w:ascii="Arial" w:cs="Arial" w:eastAsia="Arial" w:hAnsi="Arial"/>
          <w:sz w:val="16"/>
          <w:szCs w:val="16"/>
          <w:color w:val="auto"/>
        </w:rPr>
      </w:pPr>
    </w:p>
    <w:p>
      <w:pPr>
        <w:ind w:left="640" w:hanging="321"/>
        <w:spacing w:after="0" w:line="289" w:lineRule="auto"/>
        <w:tabs>
          <w:tab w:leader="none" w:pos="6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100% of the net cash proceeds of all incurrence or issuance by ZoomInfo LLC or certain of its subsidiaries of any indebtedness (except for permitted debt (other than refinancing debt)); and</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100% of the net cash proceeds of the incurrence of any specified refinancing debt constituting revolving credit facilities.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also required to prepay the amount by which we exceed the revolving credit commitment.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171" w:lineRule="exact"/>
        <w:rPr>
          <w:sz w:val="20"/>
          <w:szCs w:val="20"/>
          <w:color w:val="auto"/>
        </w:rPr>
      </w:pPr>
    </w:p>
    <w:p>
      <w:pPr>
        <w:ind w:firstLine="314"/>
        <w:spacing w:after="0" w:line="322" w:lineRule="auto"/>
        <w:rPr>
          <w:sz w:val="20"/>
          <w:szCs w:val="20"/>
          <w:color w:val="auto"/>
        </w:rPr>
      </w:pPr>
      <w:r>
        <w:rPr>
          <w:rFonts w:ascii="Arial" w:cs="Arial" w:eastAsia="Arial" w:hAnsi="Arial"/>
          <w:sz w:val="16"/>
          <w:szCs w:val="16"/>
          <w:color w:val="auto"/>
        </w:rPr>
        <w:t>We are required to repay installments of the first lien term loans in quarterly installments equal to 0.25% of the aggregate principal amount of the initial term loan facility funded on February 1, 2019, with the remaining amount payable on the applicable maturity date with respect to such term loans.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Principal amounts outstanding under the revolving credit facility are due and payable in full at maturity.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71"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All obligations under the first lien credit agreement are unconditionally guaranteed by substantially all existing and future, direct and indirect, wholly owned material domestic subsidiaries of ZoomInfo LLC, subject to certain exceptions.</w:t>
      </w:r>
    </w:p>
    <w:p>
      <w:pPr>
        <w:spacing w:after="0" w:line="106" w:lineRule="exact"/>
        <w:rPr>
          <w:sz w:val="20"/>
          <w:szCs w:val="20"/>
          <w:color w:val="auto"/>
        </w:rPr>
      </w:pPr>
    </w:p>
    <w:p>
      <w:pPr>
        <w:ind w:firstLine="314"/>
        <w:spacing w:after="0" w:line="322" w:lineRule="auto"/>
        <w:rPr>
          <w:sz w:val="20"/>
          <w:szCs w:val="20"/>
          <w:color w:val="auto"/>
        </w:rPr>
      </w:pPr>
      <w:r>
        <w:rPr>
          <w:rFonts w:ascii="Arial" w:cs="Arial" w:eastAsia="Arial" w:hAnsi="Arial"/>
          <w:sz w:val="16"/>
          <w:szCs w:val="16"/>
          <w:color w:val="auto"/>
        </w:rPr>
        <w:t>All obligations under the first lien credit agreement, and the guarantees of such obligations, are secured, subject to permitted liens and other exceptions, by the equity interests of ZoomInfo LLC and substantially all assets of DiscoverOrg, LLC and certain of its subsidiaries, subject to certain exceptions.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171" w:lineRule="exact"/>
        <w:rPr>
          <w:sz w:val="20"/>
          <w:szCs w:val="20"/>
          <w:color w:val="auto"/>
        </w:rPr>
      </w:pPr>
    </w:p>
    <w:p>
      <w:pPr>
        <w:ind w:left="640" w:hanging="321"/>
        <w:spacing w:after="0"/>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1240"/>
          </w:cols>
          <w:pgMar w:left="320" w:top="337" w:right="339" w:bottom="1440" w:gutter="0" w:footer="0" w:header="0"/>
        </w:sectPr>
      </w:pPr>
    </w:p>
    <w:bookmarkStart w:id="213" w:name="page214"/>
    <w:bookmarkEnd w:id="213"/>
    <w:p>
      <w:pPr>
        <w:ind w:left="640" w:hanging="321"/>
        <w:spacing w:after="0"/>
        <w:tabs>
          <w:tab w:leader="none" w:pos="6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Lien Credit Agreement</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February 1, 2019, ZoomInfo LLC (formerly known as DiscoverOrg, LLC) and ZoomInfo Midco LLC (formerly known as DiscoverOrg Midco, LLC) entered into a second lien credit agreement with Morgan Stanley Senior Funding, Inc., as the administrative agent and collateral agent, Morgan Stanley Senior Funding, Inc., Barclays Bank plc and Antares Capital LP, as joint lead arrangers and joint bookrunners and the other lenders from time to time party thereto (as amended from time to time, the “second lien credit agreement”).</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second lien credit agreement provides for $370.0 million initial term loan facility, maturing on February 1, 2027 of which $370 million was outstanding as of March 31, 2020.</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Borrowings under the second lien credit agreement bear interest at a rate per annum equal to, at our option, either (A) a LIBOR rate determined by reference to the Reuters LIBOR rate for dollar deposits with a term equivalent to the interest rate relevant to such borrowing, as adjusted by reserve percentages established by the Federal Reserve (subject to a floor of 0.00%), plus an applicable margin or (B) a base rate determined by reference to highest of (i) 0.50% above the federal funds effective rate, (ii) the rate of interest established by the administrative agent as its “prime rate,” (iii) 1.0% above the adjusted LIBOR rate for dollar deposits with a one month term commencing that day, and (iv) 1.00% per annum, plus an applicable margin.</w:t>
      </w:r>
    </w:p>
    <w:p>
      <w:pPr>
        <w:spacing w:after="0" w:line="11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With respect to the second lien term loans that bear interest by reference to an adjusted LIBOR rate, the applicable margin is 8.50% per annum and with respect to the second lien term loans that bear interest by reference to a base rate, the applicable margin is 7.50% per annum. In addition, we pay certain administration fees with respect to the second lien credit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may prepay, in full or in part, borrowings under the second lien credit agreement, subject to notice requirements, minimum prepayment amounts, and increment limitations. If any prepayment of loans is made on or prior to the first anniversary of the closing date, a premium of 2.00% of the principal amount prepaid is required to be paid. If any prepayment of loans is made after the first anniversary but on or before the second anniversary of the closing date, a premium of 1.00% is required to be paid. After the second anniversary of the closing date, no premium is required.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Subject to the mandatory prepayments under the first lien credit agreement, the second lien credit agreement requires us to prepay outstanding second lien term loans, subject to certain exceptions, with:</w:t>
      </w:r>
    </w:p>
    <w:p>
      <w:pPr>
        <w:spacing w:after="0" w:line="106" w:lineRule="exact"/>
        <w:rPr>
          <w:sz w:val="20"/>
          <w:szCs w:val="20"/>
          <w:color w:val="auto"/>
        </w:rPr>
      </w:pPr>
    </w:p>
    <w:p>
      <w:pPr>
        <w:jc w:val="both"/>
        <w:ind w:left="640" w:hanging="321"/>
        <w:spacing w:after="0" w:line="297" w:lineRule="auto"/>
        <w:tabs>
          <w:tab w:leader="none" w:pos="6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or any loss or government taking of property for which insurance proceeds or condemnation awards are received, if ZoomInfo LLC or certain of its subsidiaries do not reinvest or commit to reinvest those proceeds in assets to be used in our business or to make certain other permitted investments within 540 days as long as such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1240"/>
          </w:cols>
          <w:pgMar w:left="320" w:top="337" w:right="339" w:bottom="1440" w:gutter="0" w:footer="0" w:header="0"/>
        </w:sectPr>
      </w:pPr>
    </w:p>
    <w:bookmarkStart w:id="214" w:name="page215"/>
    <w:bookmarkEnd w:id="214"/>
    <w:p>
      <w:pPr>
        <w:jc w:val="both"/>
        <w:ind w:left="640"/>
        <w:spacing w:after="0" w:line="273" w:lineRule="auto"/>
        <w:rPr>
          <w:sz w:val="20"/>
          <w:szCs w:val="20"/>
          <w:color w:val="auto"/>
        </w:rPr>
      </w:pPr>
      <w:r>
        <w:rPr>
          <w:rFonts w:ascii="Arial" w:cs="Arial" w:eastAsia="Arial" w:hAnsi="Arial"/>
          <w:sz w:val="17"/>
          <w:szCs w:val="17"/>
          <w:color w:val="auto"/>
        </w:rPr>
        <w:t>reinvestment is completed within 180 days from the date of such commitment to reinvest, with certain exceptions; provided that, solely with respect to any collateral, ZoomInfo LLC or certain of its subsidiaries may use a portion of such net cash proceeds to prepay or repurchase certain permitted other indebtedness with a lien in accordance with the terms of the first lien and second lien credit agreement; and</w:t>
      </w:r>
    </w:p>
    <w:p>
      <w:pPr>
        <w:spacing w:after="0" w:line="119" w:lineRule="exact"/>
        <w:rPr>
          <w:sz w:val="20"/>
          <w:szCs w:val="20"/>
          <w:color w:val="auto"/>
        </w:rPr>
      </w:pPr>
    </w:p>
    <w:p>
      <w:pPr>
        <w:ind w:left="640" w:hanging="321"/>
        <w:spacing w:after="0" w:line="289" w:lineRule="auto"/>
        <w:tabs>
          <w:tab w:leader="none" w:pos="6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100% of the net cash proceeds of all incurrence or issuance by ZoomInfo LLC or certain of its subsidiaries of any indebtedness (except for permitted debt (other than refinancing debt)).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All obligations under the second lien credit agreement are unconditionally guaranteed by substantially all existing and future, direct and indirect, wholly owned material domestic subsidiaries of ZoomInfo LLC, subject to certain exceptions.</w:t>
      </w:r>
    </w:p>
    <w:p>
      <w:pPr>
        <w:spacing w:after="0" w:line="10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Subject to the intercreditor agreement which provides that liens under the second lien credit agreement are junior to the liens under the first lien credit agreement, all obligations under the second lien credit agreement, and the guarantees of such obligations, are secured, subject to permitted liens and other exceptions, by the equity interests of ZoomInfo LLC and substantially all assets of ZoomInfo LLC and certain of its subsidiaries, subject to certain exceptions.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second lien credit agreement contains a number of covenants that restrict, subject to certain exceptions, our ability to, among other things:</w:t>
      </w:r>
    </w:p>
    <w:p>
      <w:pPr>
        <w:spacing w:after="0" w:line="171" w:lineRule="exact"/>
        <w:rPr>
          <w:sz w:val="20"/>
          <w:szCs w:val="20"/>
          <w:color w:val="auto"/>
        </w:rPr>
      </w:pPr>
    </w:p>
    <w:p>
      <w:pPr>
        <w:ind w:left="640" w:hanging="321"/>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second lien credit agreement also contains certain customary affirmative covenants and events of default, including a change of control. If an event of default occurs, the lenders under the second lien credit agreement will be entitled to take various actions, including the acceleration of amounts due under the second lien credit agreement and all actions permitted to be taken by a secured creditor.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1240"/>
          </w:cols>
          <w:pgMar w:left="320" w:top="337"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connection with this offering, we will amend and restate our certificate of incorporation and our bylaws. 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ZoomInfo Technologies Inc. and not to any of its subsidiaries.</w:t>
      </w:r>
    </w:p>
    <w:p>
      <w:pPr>
        <w:spacing w:after="0" w:line="109"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purpose is to engage in any lawful act or activity for which corporations may be organized under the DGCL. Upon the consummation of this offering, our authorized capital stock will consist of 2,500,000,000 shares of Class A common stock, par value $0.01 per share, 500,000,000 shares of Class B common stock, par value $0.01 per share, 300,000,000 shares of Class C common stock, par value $0.01 per share, and 200,000,000 shares of preferred stock, par value $0.01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Holders of outstanding shares of our Class A common stock, Class B common stock, and Class C common stock will vote as a single class on all matters on which stockholders are entitled to vote generally, except as otherwise required by law. Delaware law entitles the holders of the outstanding shares of Class A common stock, Class B common stock, and Class C common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that the holders of Class B common stock would otherwise have with respect to an amendment to the certificate of incorporation increasing or decreasing the number of shares of Class B common stock the Company is entitled to issue and that the holders of Class C common stock would otherwise have with respect to an amendment to the certificate of incorporation increasing or decreasing the number of shares of Class C common stock the Company is entitled to issue. Thus, subject to any other voting requirements contained in the certificate of incorporation, any amendment to the certificate of incorporation increasing or decreasing the number of shares of either Class A common stock, Class B common stock, or Class C common stock that the Company is authorized to issue would require a vote of a majority of the outstanding voting power of all capital stock (including the Class A common stock, Class B common stock, and Class C common stock), voting together as a single class.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19"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Holders of shares of our Class A common stock and Class C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If we pay a dividend or distribution on the Class A common stock, payable in shares of Class A common stock, we also will be required to pay a pro rata and simultaneous dividend or distribution on the Class C common stock, payable in shares of Class C common stock. Similarly, if we pay a dividend or distribution on the Class C common stock, payable in shares of Class C common stock, we also will be required to make a pro rata and simultaneous dividend or distribution on the Class A common stock, payable in shares of Class A common stock.</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subject to the rights of the holders of one or more outstanding series of preferred stock having liquidation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1240"/>
          </w:cols>
          <w:pgMar w:left="320" w:top="331" w:right="339" w:bottom="1440" w:gutter="0" w:footer="0" w:header="0"/>
        </w:sectPr>
      </w:pPr>
    </w:p>
    <w:bookmarkStart w:id="216" w:name="page217"/>
    <w:bookmarkEnd w:id="216"/>
    <w:p>
      <w:pPr>
        <w:jc w:val="both"/>
        <w:spacing w:after="0" w:line="289" w:lineRule="auto"/>
        <w:rPr>
          <w:sz w:val="20"/>
          <w:szCs w:val="20"/>
          <w:color w:val="auto"/>
        </w:rPr>
      </w:pPr>
      <w:r>
        <w:rPr>
          <w:rFonts w:ascii="Arial" w:cs="Arial" w:eastAsia="Arial" w:hAnsi="Arial"/>
          <w:sz w:val="17"/>
          <w:szCs w:val="17"/>
          <w:color w:val="auto"/>
        </w:rPr>
        <w:t>preferences, the holders of shares of our Class A common stock and Class C common stock will be entitled to receive pro rata our remaining assets available for distribution.</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Holders of shares of our Class B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 The holders of our Class B common stock do not have cumulative voting rights in the election of directors. The voting power afforded to Pre-IPO OpCo Unitholders and Pre-IPO HoldCo Unitholders, as applicable, by their shares of Class B common stock will be automatically and correspondingly reduced as they exchange shares of Class B common stock, together with a corresponding number of OpCo Units and HoldCo Units, as applicable, for shares of Class A common stock of ZoomInfo Technologies Inc. See “Certain Relationships and Related Person Transactions—ZoomInfo OpCo Amended and Restated Limited Liability Company Agreement” and “Certain Relationships and Related Person Transactions—ZoomInfo HoldCo Amended and Restated Limited Liability Company Agreement.”</w:t>
      </w:r>
    </w:p>
    <w:p>
      <w:pPr>
        <w:spacing w:after="0" w:line="130"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Upon completion of the Offering Transactions, there will be 382,649,466 OpCo Units outstanding (or 389,324,466 OpCo Units if the underwriters exercise in full their option to purchase additional shares of Class A common stock) and 147,716,681 HoldCo Units outstanding (or 154,391,681 HoldCo Units if the underwriters exercise in full their option to purchase additional shares of Class A common stock). ZoomInfo Technologies Inc. will hold 143,485,371 HoldCo Units (or 150,160,371 HoldCo Units if the underwriters exercise in full their option to purchase additional shares of Class A common stock), ZoomInfo HoldCo will hold 147,716,681 OpCo Units (or 154,391,681 OpCo Units if the underwriters exercise in full their option to purchase additional shares of Class A common stock), the Pre-IPO HoldCo Unitholders will hold 4,231,310 HoldCo Units and the Pre-IPO OpCo Unitholders will hold 234,932,785 OpCo Units.</w:t>
      </w:r>
    </w:p>
    <w:p>
      <w:pPr>
        <w:spacing w:after="0" w:line="11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Holders of our Class B common stock do not have any right to receive dividends or to receive a distribution upon a liquidation, dissolution, or winding up of ZoomInfo Technologies Inc. Upon the exchange of an OpCo Unit or a HoldCo Unit (together with a share of Class B common stock), as applicable, the shares of Class B common stock will be automatically canceled with no consideration and no longer outstanding.</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Shares of Class B common stock will not be transferable except for (i) transfers to us for no consideration upon which transfer such share of Class B common stock will be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C Common Stock</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shares of Class A common stock and Class C common stock will be identical in all respects, except for voting rights, certain conversion rights and transfer restrictions in respect of the shares of Class C common stock, as described below.</w:t>
      </w:r>
    </w:p>
    <w:p>
      <w:pPr>
        <w:spacing w:after="0" w:line="10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Holders of shares of our Class C common stock are entitled to ten votes for each share held of record (for so long as the aggregate number of outstanding shares of our Class B common stock and Class C common stock represents at least 5% of the aggregate number of our outstanding shares of common stock, and thereafter, one vote per share upon the automatic conversion of our Class C common stock into shares of Class A common stock) on all matters on which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1240"/>
          </w:cols>
          <w:pgMar w:left="320" w:top="337" w:right="339" w:bottom="1440" w:gutter="0" w:footer="0" w:header="0"/>
        </w:sectPr>
      </w:pPr>
    </w:p>
    <w:bookmarkStart w:id="217" w:name="page218"/>
    <w:bookmarkEnd w:id="217"/>
    <w:p>
      <w:pPr>
        <w:jc w:val="both"/>
        <w:spacing w:after="0" w:line="267" w:lineRule="auto"/>
        <w:rPr>
          <w:sz w:val="20"/>
          <w:szCs w:val="20"/>
          <w:color w:val="auto"/>
        </w:rPr>
      </w:pPr>
      <w:r>
        <w:rPr>
          <w:rFonts w:ascii="Arial" w:cs="Arial" w:eastAsia="Arial" w:hAnsi="Arial"/>
          <w:sz w:val="17"/>
          <w:szCs w:val="17"/>
          <w:color w:val="auto"/>
        </w:rPr>
        <w:t>stockholders of ZoomInfo Technologies Inc. are entitled to vote generally, including the election or removal of directors. The holders of our Class C common stock do not have cumulative voting rights in the election of directors. The voting power afforded to Pre-IPO Blocker Holders by their shares of Class C common stock will be automatically and correspondingly reduced as they transfer shares of Class C common stock, which, except in certain circumstances, will automatically convert into shares of Class A common stock.</w:t>
      </w:r>
    </w:p>
    <w:p>
      <w:pPr>
        <w:spacing w:after="0" w:line="12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outstanding shares of Class C common stock will be convertible at the option of the holder into shares of Class A common stock on a one-for-one basis. In addition, each share of Class C common stock will convert automatically into one share of Class A common stock upon any transfer, whether or not for value, except for certain affiliate transfers described in our amended and restated certificate of incorporation among the Sponsors, the Founders and their respective affiliates as of the date of the consummation of this offering. Each share of Class C common stock will also automatically convert into one share of Class A common stock if, on the record date for any meeting of the stockholders, the aggregate number of outstanding shares of our Class B common stock and Class C common stock is less than 5% of our outstanding shares of common stock. Once converted into Class A common stock, Class C common stock will not be reissued.</w:t>
      </w:r>
    </w:p>
    <w:p>
      <w:pPr>
        <w:spacing w:after="0" w:line="130"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All shares of our Class C common stock that will be outstanding at the time of the completion of the offering will be fully paid and non-assessable. The Class C common stock will not be subject to further calls or assessments by us. Holders of shares of our Class C common stock do not have preemptive, subscription or redemption rights. There will be no redemption or sinking fund provisions applicable to the Class C common stock. The rights, powers, preferences and privileges of holders of our Class C common stock will be subject to those of the holders of any shares of our preferred stock or any other series or class of stock we may authorize and issue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Class B, or Class C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3" w:lineRule="exact"/>
        <w:rPr>
          <w:sz w:val="20"/>
          <w:szCs w:val="20"/>
          <w:color w:val="auto"/>
        </w:rPr>
      </w:pPr>
    </w:p>
    <w:p>
      <w:pPr>
        <w:ind w:left="640" w:hanging="321"/>
        <w:spacing w:after="0"/>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71" w:lineRule="exact"/>
        <w:rPr>
          <w:rFonts w:ascii="Arial" w:cs="Arial" w:eastAsia="Arial" w:hAnsi="Arial"/>
          <w:sz w:val="17"/>
          <w:szCs w:val="17"/>
          <w:color w:val="auto"/>
        </w:rPr>
      </w:pPr>
    </w:p>
    <w:p>
      <w:pPr>
        <w:ind w:left="640" w:hanging="321"/>
        <w:spacing w:after="0" w:line="322" w:lineRule="auto"/>
        <w:tabs>
          <w:tab w:leader="none" w:pos="6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82" w:lineRule="exact"/>
        <w:rPr>
          <w:rFonts w:ascii="Arial" w:cs="Arial" w:eastAsia="Arial" w:hAnsi="Arial"/>
          <w:sz w:val="16"/>
          <w:szCs w:val="16"/>
          <w:color w:val="auto"/>
        </w:rPr>
      </w:pPr>
    </w:p>
    <w:p>
      <w:pPr>
        <w:ind w:left="640" w:hanging="321"/>
        <w:spacing w:after="0"/>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 on shares of such series;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our affairs or other event;</w:t>
      </w:r>
    </w:p>
    <w:p>
      <w:pPr>
        <w:spacing w:after="0" w:line="105"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8" w:lineRule="exact"/>
        <w:rPr>
          <w:rFonts w:ascii="Arial" w:cs="Arial" w:eastAsia="Arial" w:hAnsi="Arial"/>
          <w:sz w:val="17"/>
          <w:szCs w:val="17"/>
          <w:color w:val="auto"/>
        </w:rPr>
      </w:pPr>
    </w:p>
    <w:p>
      <w:pPr>
        <w:ind w:left="640" w:hanging="321"/>
        <w:spacing w:after="0"/>
        <w:tabs>
          <w:tab w:leader="none" w:pos="6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of our capital stock;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1240"/>
          </w:cols>
          <w:pgMar w:left="320" w:top="337" w:right="339" w:bottom="1440" w:gutter="0" w:footer="0" w:header="0"/>
        </w:sectPr>
      </w:pPr>
    </w:p>
    <w:bookmarkStart w:id="218" w:name="page219"/>
    <w:bookmarkEnd w:id="218"/>
    <w:p>
      <w:pPr>
        <w:ind w:left="640" w:hanging="321"/>
        <w:spacing w:after="0"/>
        <w:tabs>
          <w:tab w:leader="none" w:pos="6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71"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7" w:lineRule="exact"/>
        <w:rPr>
          <w:sz w:val="20"/>
          <w:szCs w:val="20"/>
          <w:color w:val="auto"/>
        </w:rPr>
      </w:pPr>
    </w:p>
    <w:p>
      <w:pPr>
        <w:jc w:val="both"/>
        <w:ind w:firstLine="314"/>
        <w:spacing w:after="0" w:line="305" w:lineRule="auto"/>
        <w:rPr>
          <w:sz w:val="20"/>
          <w:szCs w:val="20"/>
          <w:color w:val="auto"/>
        </w:rPr>
      </w:pPr>
      <w:r>
        <w:rPr>
          <w:rFonts w:ascii="Arial" w:cs="Arial" w:eastAsia="Arial" w:hAnsi="Arial"/>
          <w:sz w:val="15"/>
          <w:szCs w:val="15"/>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Stockholder Meetings</w:t>
      </w:r>
    </w:p>
    <w:p>
      <w:pPr>
        <w:spacing w:after="0" w:line="177"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77" w:lineRule="exact"/>
        <w:rPr>
          <w:sz w:val="20"/>
          <w:szCs w:val="20"/>
          <w:color w:val="auto"/>
        </w:rPr>
      </w:pPr>
    </w:p>
    <w:p>
      <w:pPr>
        <w:ind w:right="520"/>
        <w:spacing w:after="0" w:line="296"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100"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Multi-Class Structure</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As described above in “—Common Stock,” our amended and restated certificate of incorporation provides for a multi-class common stock structure, under which each share of our Class A common stock will have one vote per share while each share of our Class B common stock and Class C common stock will have ten votes per share until such time as the aggregate number of outstanding shares of our Class B common stock and Class C common stock is less than 5% of the aggregate number of our outstanding shares of common stock. Because of this multi-class structure, certain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1240"/>
          </w:cols>
          <w:pgMar w:left="320" w:top="337" w:right="339" w:bottom="1440" w:gutter="0" w:footer="0" w:header="0"/>
        </w:sectPr>
      </w:pPr>
    </w:p>
    <w:bookmarkStart w:id="219" w:name="page220"/>
    <w:bookmarkEnd w:id="219"/>
    <w:p>
      <w:pPr>
        <w:jc w:val="both"/>
        <w:spacing w:after="0" w:line="273" w:lineRule="auto"/>
        <w:rPr>
          <w:sz w:val="20"/>
          <w:szCs w:val="20"/>
          <w:color w:val="auto"/>
        </w:rPr>
      </w:pPr>
      <w:r>
        <w:rPr>
          <w:rFonts w:ascii="Arial" w:cs="Arial" w:eastAsia="Arial" w:hAnsi="Arial"/>
          <w:sz w:val="17"/>
          <w:szCs w:val="17"/>
          <w:color w:val="auto"/>
        </w:rPr>
        <w:t>of our stockholders will be able to control all matters submitted to our stockholders for approval, even if they own significantly less than 50% of the shares of our outstanding common stock. This concentrated control could discourage others from initiating a potential merger, takeover or other change of control transaction that other stockholders may view as beneficial.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Our amended and restated certificate of incorporation provides that, subject to the rights of holders of any series of preferred stock, our board of directors will be divided into three classes of directors,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intend to opt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119" w:lineRule="exact"/>
        <w:rPr>
          <w:sz w:val="20"/>
          <w:szCs w:val="20"/>
          <w:color w:val="auto"/>
        </w:rPr>
      </w:pPr>
    </w:p>
    <w:p>
      <w:pPr>
        <w:ind w:left="640" w:hanging="321"/>
        <w:spacing w:after="0" w:line="289" w:lineRule="auto"/>
        <w:tabs>
          <w:tab w:leader="none" w:pos="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that resulted in the stockholder becoming an interested stockholder;</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7"/>
          <w:szCs w:val="17"/>
          <w:color w:val="auto"/>
        </w:rPr>
      </w:pPr>
    </w:p>
    <w:p>
      <w:pPr>
        <w:ind w:left="640" w:hanging="321"/>
        <w:spacing w:after="0" w:line="329" w:lineRule="auto"/>
        <w:tabs>
          <w:tab w:leader="none" w:pos="6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7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Our amended and restated certificate of incorporation will provide that our Sponsors and their affiliates and any of their respective direct or indirect transferees, and any group as to which such persons are a party, do not constitute “interested stockholders” for purposes of this provision.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 Vacancies and Newly Created Directorships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1240"/>
          </w:cols>
          <w:pgMar w:left="320" w:top="337" w:right="339" w:bottom="1440" w:gutter="0" w:footer="0" w:header="0"/>
        </w:sectPr>
      </w:pPr>
    </w:p>
    <w:bookmarkStart w:id="220" w:name="page221"/>
    <w:bookmarkEnd w:id="220"/>
    <w:p>
      <w:pPr>
        <w:jc w:val="both"/>
        <w:spacing w:after="0" w:line="277" w:lineRule="auto"/>
        <w:rPr>
          <w:sz w:val="20"/>
          <w:szCs w:val="20"/>
          <w:color w:val="auto"/>
        </w:rPr>
      </w:pPr>
      <w:r>
        <w:rPr>
          <w:rFonts w:ascii="Arial" w:cs="Arial" w:eastAsia="Arial" w:hAnsi="Arial"/>
          <w:sz w:val="16"/>
          <w:szCs w:val="16"/>
          <w:color w:val="auto"/>
        </w:rPr>
        <w:t>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Nominations and Stockholder Proposals</w:t>
      </w:r>
    </w:p>
    <w:p>
      <w:pPr>
        <w:spacing w:after="0" w:line="171"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71"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1240"/>
          </w:cols>
          <w:pgMar w:left="320" w:top="337" w:right="339" w:bottom="1440" w:gutter="0" w:footer="0" w:header="0"/>
        </w:sectPr>
      </w:pPr>
    </w:p>
    <w:bookmarkStart w:id="221" w:name="page222"/>
    <w:bookmarkEnd w:id="221"/>
    <w:p>
      <w:pPr>
        <w:jc w:val="both"/>
        <w:spacing w:after="0" w:line="265" w:lineRule="auto"/>
        <w:rPr>
          <w:sz w:val="20"/>
          <w:szCs w:val="20"/>
          <w:color w:val="auto"/>
        </w:rPr>
      </w:pPr>
      <w:r>
        <w:rPr>
          <w:rFonts w:ascii="Arial" w:cs="Arial" w:eastAsia="Arial" w:hAnsi="Arial"/>
          <w:sz w:val="17"/>
          <w:szCs w:val="17"/>
          <w:color w:val="auto"/>
        </w:rPr>
        <w:t>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 but does permit our Class B common stockholders to act by consent in writing without requiring any such recommendation by the directors then in office.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2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 rescinded only by the affirmative vote of the holders of at least 66⅔% in voting power of all the then outstanding shares of our stock entitled to vote thereon, voting together as a single class:</w:t>
      </w:r>
    </w:p>
    <w:p>
      <w:pPr>
        <w:spacing w:after="0" w:line="97" w:lineRule="exact"/>
        <w:rPr>
          <w:sz w:val="20"/>
          <w:szCs w:val="20"/>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 requiring a 66⅔% supermajority vote for stockholders to amend our amended and restated bylaws;</w:t>
      </w:r>
    </w:p>
    <w:p>
      <w:pPr>
        <w:spacing w:after="0" w:line="203"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provisions regarding entering into business combinations with interested stockholders;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provision regarding forum selection; and</w:t>
      </w:r>
    </w:p>
    <w:p>
      <w:pPr>
        <w:spacing w:after="0" w:line="138" w:lineRule="exact"/>
        <w:rPr>
          <w:rFonts w:ascii="Arial" w:cs="Arial" w:eastAsia="Arial" w:hAnsi="Arial"/>
          <w:sz w:val="17"/>
          <w:szCs w:val="17"/>
          <w:color w:val="auto"/>
        </w:rPr>
      </w:pPr>
    </w:p>
    <w:p>
      <w:pPr>
        <w:ind w:left="640" w:hanging="321"/>
        <w:spacing w:after="0"/>
        <w:tabs>
          <w:tab w:leader="none" w:pos="6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66⅔% supermajority vote.</w:t>
      </w:r>
    </w:p>
    <w:p>
      <w:pPr>
        <w:spacing w:after="0" w:line="204"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1240"/>
          </w:cols>
          <w:pgMar w:left="320" w:top="337" w:right="339" w:bottom="1440" w:gutter="0" w:footer="0" w:header="0"/>
        </w:sectPr>
      </w:pPr>
    </w:p>
    <w:bookmarkStart w:id="222" w:name="page223"/>
    <w:bookmarkEnd w:id="222"/>
    <w:p>
      <w:pPr>
        <w:jc w:val="both"/>
        <w:ind w:firstLine="314"/>
        <w:spacing w:after="0" w:line="262"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Delaware Court of Chancery, plus interest, if any, on the amount determined to be the fair value, from the effective time of the merger or consolidation through the date of payment of the judgment.</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Derivative Actions</w:t>
      </w:r>
    </w:p>
    <w:p>
      <w:pPr>
        <w:spacing w:after="0" w:line="17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77" w:lineRule="exact"/>
        <w:rPr>
          <w:sz w:val="20"/>
          <w:szCs w:val="20"/>
          <w:color w:val="auto"/>
        </w:rPr>
      </w:pPr>
    </w:p>
    <w:p>
      <w:pPr>
        <w:jc w:val="both"/>
        <w:ind w:firstLine="314"/>
        <w:spacing w:after="0" w:line="299"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an alternative forum, the Court of Chancery of the State of Delaware will, to the fullest extent permitted by law, be the sole and exclusive forum for any (1) derivative action or proceeding brought on behalf of our Company, (2) action asserting a claim of breach of a fiduciary duty owed by any current or former director, officer, stockholder or employee of our Company to our Company or our Company’s stockholders, (3) action asserting a claim arising under any provision of the DGCL, our amended and restated certificate of incorporation or our amended and restated bylaws or as to which the DGCL confers jurisdiction on the Court of Chancery of the State of Delaware, or (4)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it is possible that a court could find our forum selection provisions to be inapplicable or unenforceable.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our Sponsors or any of their respective affiliates or any of our directors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or any non-employee director acquires knowledge of a</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1240"/>
          </w:cols>
          <w:pgMar w:left="320" w:top="337" w:right="339" w:bottom="1440" w:gutter="0" w:footer="0" w:header="0"/>
        </w:sectPr>
      </w:pPr>
    </w:p>
    <w:bookmarkStart w:id="223" w:name="page224"/>
    <w:bookmarkEnd w:id="223"/>
    <w:p>
      <w:pPr>
        <w:jc w:val="both"/>
        <w:spacing w:after="0" w:line="262" w:lineRule="auto"/>
        <w:rPr>
          <w:sz w:val="20"/>
          <w:szCs w:val="20"/>
          <w:color w:val="auto"/>
        </w:rPr>
      </w:pPr>
      <w:r>
        <w:rPr>
          <w:rFonts w:ascii="Arial" w:cs="Arial" w:eastAsia="Arial" w:hAnsi="Arial"/>
          <w:sz w:val="17"/>
          <w:szCs w:val="17"/>
          <w:color w:val="auto"/>
        </w:rPr>
        <w:t>potential transaction or other business opportunity which may be a corporate opportunity for itself, himself or herself or its, his or her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17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spacing w:after="0" w:line="13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Our amended and restated bylaws generally provide that we must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is currently no pending material litigation or proceeding involving any of our directors, officers or employees for which indemnification is sought.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transfer agent and registrar for shares of our Class A common stock will be Equiniti Trust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Our Class A common stock has been approved for listing on the Nasdaq under the symbol “ZI.” We do not anticipate listing our Class B common stock or Class C common stock on any stock market or exchange.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1240"/>
          </w:cols>
          <w:pgMar w:left="320" w:top="336"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7"/>
          <w:szCs w:val="17"/>
          <w:b w:val="1"/>
          <w:bCs w:val="1"/>
          <w:color w:val="auto"/>
        </w:rPr>
        <w:t>CERTAIN U.S. FEDERAL INCOME AND ESTATE TAX CONSEQUENCES TO NON-U.S. HOLDERS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following is a summary of certain United States federal income and estate tax consequences of the purchase, ownership, and disposition of our Class A common stock as of the date hereof. Except where noted, this summary deals only with Class A common stock purchased in this offering that is held as a capital asset by a non-U.S. holder (as defined below).</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 “non-U.S. holder” means a beneficial owner of our Class A common stock (other than an entity treated as a partnership for United States federal income tax purposes) that is not, for United States federal income tax purposes, any of the following:</w:t>
      </w:r>
    </w:p>
    <w:p>
      <w:pPr>
        <w:spacing w:after="0" w:line="106" w:lineRule="exact"/>
        <w:rPr>
          <w:sz w:val="20"/>
          <w:szCs w:val="20"/>
          <w:color w:val="auto"/>
        </w:rPr>
      </w:pPr>
    </w:p>
    <w:p>
      <w:pPr>
        <w:ind w:left="640" w:hanging="321"/>
        <w:spacing w:after="0"/>
        <w:tabs>
          <w:tab w:leader="none" w:pos="6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171" w:lineRule="exact"/>
        <w:rPr>
          <w:rFonts w:ascii="Arial" w:cs="Arial" w:eastAsia="Arial" w:hAnsi="Arial"/>
          <w:sz w:val="17"/>
          <w:szCs w:val="17"/>
          <w:color w:val="auto"/>
        </w:rPr>
      </w:pPr>
    </w:p>
    <w:p>
      <w:pPr>
        <w:jc w:val="both"/>
        <w:ind w:left="640" w:hanging="321"/>
        <w:spacing w:after="0" w:line="273" w:lineRule="auto"/>
        <w:tabs>
          <w:tab w:leader="none" w:pos="64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19"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This summary is based upon provisions of the Internal Revenue Code of 1986, as amended (the “Code”), and regulations, rulings, and judicial decisions as of the date hereof.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or other tax considerations that may be relevant to non-U.S. holders in light of their particular circumstances. In addition, it does not represent a detailed description of the United States federal income and estate tax consequences applicable to you if you are subject to special treatment under the United States federal income tax laws (including if you are a United States expatriate, foreign pension fund, financial institution, insurance company, tax-exempt organization, trader, broker or dealer in securities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Class A common stock as part of a straddle, hedge, conversion transaction or other integrated investment). We cannot assure you that a change in law will not alter significantly the tax considerations that we describe in this summary.</w:t>
      </w:r>
    </w:p>
    <w:p>
      <w:pPr>
        <w:spacing w:after="0" w:line="118"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If a partnership (or other entity treated as a partnership for United States federal income tax purposes) holds our Class A common stock, the tax treatment of a partner will generally depend upon the status of the partner and the activities of the partnership. If you are a partner of a partnership holding our Class A common stock, you should consult your tax advisors.</w:t>
      </w:r>
    </w:p>
    <w:p>
      <w:pPr>
        <w:spacing w:after="0" w:line="113"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If you are considering the purchase of our Class A common stock, you should consult your own tax advisors concerning the particular United States federal income and estate tax consequences to you of the purchase, ownership and disposition of our Class A common stock, as well as the consequences to you arising under other United States federal tax laws and the laws of any other taxing jurisdiction.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7"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the event that we make a distribution of cash or other property (other than certain pro rata distributions of our stock) in respect of our Class A common stock, the distribution generally will be treated as a dividend for United States federal income tax purposes to the extent it is paid from our current or accumulated earnings and profits, as determined under United States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1240"/>
          </w:cols>
          <w:pgMar w:left="320" w:top="331" w:right="339" w:bottom="1440" w:gutter="0" w:footer="0" w:header="0"/>
        </w:sectPr>
      </w:pPr>
    </w:p>
    <w:bookmarkStart w:id="225" w:name="page226"/>
    <w:bookmarkEnd w:id="225"/>
    <w:p>
      <w:pPr>
        <w:spacing w:after="0"/>
        <w:rPr>
          <w:sz w:val="20"/>
          <w:szCs w:val="20"/>
          <w:color w:val="auto"/>
        </w:rPr>
      </w:pPr>
      <w:r>
        <w:rPr>
          <w:rFonts w:ascii="Arial" w:cs="Arial" w:eastAsia="Arial" w:hAnsi="Arial"/>
          <w:sz w:val="17"/>
          <w:szCs w:val="17"/>
          <w:color w:val="auto"/>
        </w:rPr>
        <w:t>of our Class A common stock (the tax treatment of which is discussed below under “—Gain on Disposition of Class A Common Stock”).</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are not subject to the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30"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for dividends will be required (a) to provide the applicable withholding agent with a properly executed IRS Form W-BEN or Form W-8BEN-E (or other applicable form) certifying under penalty of perjury that such holder is not a United States person as defined under the Code and is eligible for treaty benefits or (b) if our Class A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 non-U.S. holder eligible for a reduced rate of United States federal withholding tax pursuant to an income tax treaty may obtain a refund of any excess amounts withheld by timely filing an appropriate claim for refund with the IRS.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Class A Common Stock</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Subject to the discussion of backup withholding below, any gain realized by a non-U.S. holder on the sale or other disposition of our Class A common stock generally will not be subject to United States federal income tax unless:</w:t>
      </w:r>
    </w:p>
    <w:p>
      <w:pPr>
        <w:spacing w:after="0" w:line="106" w:lineRule="exact"/>
        <w:rPr>
          <w:sz w:val="20"/>
          <w:szCs w:val="20"/>
          <w:color w:val="auto"/>
        </w:rPr>
      </w:pPr>
    </w:p>
    <w:p>
      <w:pPr>
        <w:ind w:left="640" w:hanging="321"/>
        <w:spacing w:after="0" w:line="289" w:lineRule="auto"/>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that disposition, and certain other conditions are met; or</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 and certain other conditions are met.</w:t>
      </w:r>
    </w:p>
    <w:p>
      <w:pPr>
        <w:spacing w:after="0" w:line="106"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A non-U.S. holder described in the first bullet point immediately above will be subject to tax on the gain derived from the sale or other disposition in the same manner as if the non-U.S. holder were a United States person as defined under the Code.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United States source capital losses even though the individual is not considered a resident of the United States.</w:t>
      </w:r>
    </w:p>
    <w:p>
      <w:pPr>
        <w:spacing w:after="0" w:line="1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we are not and do not anticipate becoming a “United States real property holding corporation” for United States federal income tax purposes.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218</w:t>
      </w:r>
    </w:p>
    <w:p>
      <w:pPr>
        <w:sectPr>
          <w:pgSz w:w="11900" w:h="16838" w:orient="portrait"/>
          <w:cols w:equalWidth="0" w:num="1">
            <w:col w:w="11240"/>
          </w:cols>
          <w:pgMar w:left="320" w:top="336" w:right="339" w:bottom="1440" w:gutter="0" w:footer="0" w:header="0"/>
        </w:sectPr>
      </w:pPr>
    </w:p>
    <w:bookmarkStart w:id="226" w:name="page227"/>
    <w:bookmarkEnd w:id="226"/>
    <w:p>
      <w:pPr>
        <w:spacing w:after="0"/>
        <w:rPr>
          <w:sz w:val="20"/>
          <w:szCs w:val="20"/>
          <w:color w:val="auto"/>
        </w:rPr>
      </w:pPr>
      <w:r>
        <w:rPr>
          <w:rFonts w:ascii="Arial" w:cs="Arial" w:eastAsia="Arial" w:hAnsi="Arial"/>
          <w:sz w:val="17"/>
          <w:szCs w:val="17"/>
          <w:b w:val="1"/>
          <w:bCs w:val="1"/>
          <w:color w:val="auto"/>
        </w:rPr>
        <w:t>Federal Estate Tax</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Class A common stock held by an individual non-U.S. holder at the time of death will be included in such holder’s gross estate for United States federal estate tax purposes, unless an applicable estate tax treaty provides otherwise.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Class A common stock made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Backup withholding is not an additional tax and any amounts withheld under the backup withholding rules will be allowed as a refund or a credit against a non-U.S. holder’s United States federal income tax liability provided the required information is timely furnished to the IRS.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Requirements</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 Dividends,” the withholding under FATCA may be credited against, and therefore reduce, such other withholding tax. You should consult your own tax advisors regarding these requirements and whether they may be relevant to your ownership and disposition of our Class A common stock.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219</w:t>
      </w:r>
    </w:p>
    <w:p>
      <w:pPr>
        <w:sectPr>
          <w:pgSz w:w="11900" w:h="16838" w:orient="portrait"/>
          <w:cols w:equalWidth="0" w:num="1">
            <w:col w:w="11240"/>
          </w:cols>
          <w:pgMar w:left="320" w:top="331"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16"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Upon completion of this offering we will have a total of 45,378,984 shares of our Class A common stock outstanding (or 52,053,984 shares of Class A common stock if the underwriters exercise in full their option to purchase additional shares of Class A common stock).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98,106,387 shares of our Class C common stock held by the Pre-IPO Blocker Holders will be “restricted securities,” as defined in Rule 144, and may not be sold absent registration under the Securities Act or compliance with Rule 144 thereunder or in reliance on another exemption from registration.</w:t>
      </w:r>
    </w:p>
    <w:p>
      <w:pPr>
        <w:spacing w:after="0" w:line="113"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In addition, subject to certain limitations and exceptions, pursuant to the terms of the amended and restated limited liability company agreement of ZoomInfo OpCo or ZoomInfo HoldCo, holders of OpCo Units or HoldCo Units may (subject to the terms of the applicable limited liability company agreement) exchange OpCo Units or HoldCo Units (together with a corresponding number of shares of Class B common stock), as applicable, for shares of our Class A common stock on a one-for-one basis, subject to customary conversion rate adjustments for stock splits, stock dividends, and reclassifications. Pursuant to our amended and restated certificate of incorporation, at the option of the holder, a share of Class C common stock may be converted into one share of Class A common stock. In addition, each share of Class C common stock will convert automatically into one share of Class A common stock under certain circumstances, subject to certain exceptions. Upon consummation of this offering, the Pre-IPO OpCo Unitholders and the Pre-IPO HoldCo Unitholders will hold 234,932,785 OpCo Units and 4,231,310 HoldCo Units, respectively, all of which will be exchangeable for shares of our Class A common stock, and the Pre-IPO Blocker Holders will hold 98,106,387 shares of Class C common stock, all of which will be convertible into shares of our Class A common stock. 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118"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Subject to certain limitations and exceptions, pursuant to the terms of the amended and restated limited liability company agreement of ZoomInfo OpCo, the holders of 14,471,631 Class P Units, which have a weighted-average per unit participation threshold (</w:t>
      </w:r>
      <w:r>
        <w:rPr>
          <w:rFonts w:ascii="Arial" w:cs="Arial" w:eastAsia="Arial" w:hAnsi="Arial"/>
          <w:sz w:val="17"/>
          <w:szCs w:val="17"/>
          <w:i w:val="1"/>
          <w:iCs w:val="1"/>
          <w:color w:val="auto"/>
        </w:rPr>
        <w:t>i.e.</w:t>
      </w:r>
      <w:r>
        <w:rPr>
          <w:rFonts w:ascii="Arial" w:cs="Arial" w:eastAsia="Arial" w:hAnsi="Arial"/>
          <w:sz w:val="17"/>
          <w:szCs w:val="17"/>
          <w:color w:val="auto"/>
        </w:rPr>
        <w:t>, the strike price) of $5.53 per Class P Unit, will be able to exchange their Class P Units into shares of our Class A common stock, as described in “Organizational Structure—Reclassification and Amendment and Restatement of Limited Liability Company Agreement of ZoomInfo OpCo” and “Certain Relationships and Related Person Transactions—ZoomInfo OpCo Amended and Restated Limited Liability Company Agreement.”</w:t>
      </w:r>
    </w:p>
    <w:p>
      <w:pPr>
        <w:spacing w:after="0" w:line="126"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In addition, 18,650,000 shares of Class A common stock may be granted under the 2020 Plan. In connection with the offering, 513,440 restricted stock units, 47,620 LTIP Units, 577,879 stock options, which we refer to as “leverage restoration options,” with a strike price equal to the public offering price per share of Class A common stock, and 630,000 Class P Units with a participation threshold (</w:t>
      </w:r>
      <w:r>
        <w:rPr>
          <w:rFonts w:ascii="Arial" w:cs="Arial" w:eastAsia="Arial" w:hAnsi="Arial"/>
          <w:sz w:val="16"/>
          <w:szCs w:val="16"/>
          <w:i w:val="1"/>
          <w:iCs w:val="1"/>
          <w:color w:val="auto"/>
        </w:rPr>
        <w:t>i</w:t>
      </w:r>
      <w:r>
        <w:rPr>
          <w:rFonts w:ascii="Arial" w:cs="Arial" w:eastAsia="Arial" w:hAnsi="Arial"/>
          <w:sz w:val="16"/>
          <w:szCs w:val="16"/>
          <w:color w:val="auto"/>
        </w:rPr>
        <w:t>.</w:t>
      </w:r>
      <w:r>
        <w:rPr>
          <w:rFonts w:ascii="Arial" w:cs="Arial" w:eastAsia="Arial" w:hAnsi="Arial"/>
          <w:sz w:val="16"/>
          <w:szCs w:val="16"/>
          <w:i w:val="1"/>
          <w:iCs w:val="1"/>
          <w:color w:val="auto"/>
        </w:rPr>
        <w:t>e</w:t>
      </w:r>
      <w:r>
        <w:rPr>
          <w:rFonts w:ascii="Arial" w:cs="Arial" w:eastAsia="Arial" w:hAnsi="Arial"/>
          <w:sz w:val="16"/>
          <w:szCs w:val="16"/>
          <w:color w:val="auto"/>
        </w:rPr>
        <w:t>., strike price) equal to the public offering price per share of Class A common stock are expected to be granted under the 2020 Plan. See “Executive Compensation—Compensation Arrangements to be Adopted in Connection with this Offering—2020 Omnibus Incentive Plan.” We intend to file one or more registration statements on Form S-8 under the Securities Act to register shares of Class A common stock or securities convertible into or exchangeable for shares of Class A common stock issued under or covered by the 2020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220</w:t>
      </w:r>
    </w:p>
    <w:p>
      <w:pPr>
        <w:sectPr>
          <w:pgSz w:w="11900" w:h="16838" w:orient="portrait"/>
          <w:cols w:equalWidth="0" w:num="1">
            <w:col w:w="11240"/>
          </w:cols>
          <w:pgMar w:left="320" w:top="331" w:right="339" w:bottom="1440" w:gutter="0" w:footer="0" w:header="0"/>
        </w:sectPr>
      </w:pPr>
    </w:p>
    <w:bookmarkStart w:id="228" w:name="page229"/>
    <w:bookmarkEnd w:id="228"/>
    <w:p>
      <w:pPr>
        <w:jc w:val="both"/>
        <w:spacing w:after="0" w:line="273" w:lineRule="auto"/>
        <w:rPr>
          <w:sz w:val="20"/>
          <w:szCs w:val="20"/>
          <w:color w:val="auto"/>
        </w:rPr>
      </w:pPr>
      <w:r>
        <w:rPr>
          <w:rFonts w:ascii="Arial" w:cs="Arial" w:eastAsia="Arial" w:hAnsi="Arial"/>
          <w:sz w:val="17"/>
          <w:szCs w:val="17"/>
          <w:color w:val="auto"/>
        </w:rPr>
        <w:t>Plan. Any such Form S-8 registration statements will automatically become effective upon filing. Accordingly, shares of Class A common stock registered under such registration statements will be available for sale in the open market. We expect that the initial registration statement on Form S-8 will cover 18,650,000 shares of Class A common stock.</w:t>
      </w:r>
    </w:p>
    <w:p>
      <w:pPr>
        <w:spacing w:after="0" w:line="119"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liability company agreements of ZoomInfo OpCo and ZoomInfo HoldCo permit ZoomInfo OpCo and ZoomInfo HoldCo, respectively, to issue an unlimited number of additional limited liability company interests of ZoomInfo OpCo or ZoomInfo HoldCo, as applicable, with designations, preferences, rights, powers, and duties that are different from, and may be senior to, those applicable to the OpCo Units or the HoldCo Units, as applicable, and which may be exchangeable for shares of our Class A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77"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We will enter into a registration rights agreement with certain of our pre-IPO owners pursuant to which we will grant them and their affiliates the right, under certain circumstances and subject to certain restrictions, to require us to register under the Securities Act shares of Class A common stock delivered in exchange for OpCo Units or HoldCo Units, as applicable, or upon the conversion of shares of Class C common stock. Following completion of this offering and assuming exchange of all OpCo Units and HoldCo Units held by the Pre-IPO OpCo Unitholders and the Pre-IPO HoldCo Unitholders, respectively, and conversion of all shares of Class C common stock held by the Pre-IPO Blocker Holders, the shares covered by registration rights would represent approximately 85.0% of our outstanding Class A common stock (or 83.5%, if the underwriters exercise in full their option to purchase additional shares). These shares also may be sold under Rule 144 under the Securities Act, depending on their holding period and subject to restrictions in the case of shares held by persons deemed to be our affiliates. See “Certain Relationships and Related Person Transactions—Registration Rights Agreement.”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77"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We, our executive officers, our directors, the holders of all of our Class C common stock, the holders of substantially all of our outstanding OpCo Units, and certain holders of our HoldCo Units have agreed, subject to enumerated exceptions, that we and they will not offer, sell, contract to sell or otherwise dispose of, directly or indirectly, any shares of our Class A common stock or securities convertible into or exercisable or exchangeable for shares of our Class A common stock, including our Class B and Class C common stock, or enter into any swap or other arrangement that transfers to another, in whole or in part, any of the economic consequences of ownership of our Class A common stock, whether any of these transactions are to be settled by delivery of our Class A common stock or other securities, in cash or otherwise, or publicly disclose the intention to undertake any of the foregoing, without, in each case, the prior written consent of certain underwriters for a period of 180 days after the date of this prospectus. The lock-up agreements do not preclude holders of OpCo Units or HoldCo Units from exchanging such units (together with a corresponding number of shares of our Class B common stock) for shares of our Class A common stock or holders of shares of Class C common stock from converting such shares into shares of our Class A common stock, provided that shares of Class A common stock acquired in connection with any such exchanges or conversions, as applicable, will be subject to the restrictions provided for in the lock-up agreements. For a discussion of the exceptions to the lock-up agreements, see “Underwriting.”</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7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w:t>
      </w:r>
    </w:p>
    <w:p>
      <w:pPr>
        <w:spacing w:after="0" w:line="1" w:lineRule="exact"/>
        <w:rPr>
          <w:sz w:val="20"/>
          <w:szCs w:val="20"/>
          <w:color w:val="auto"/>
        </w:rPr>
      </w:pPr>
    </w:p>
    <w:p>
      <w:pPr>
        <w:ind w:firstLine="5"/>
        <w:spacing w:after="0" w:line="274" w:lineRule="auto"/>
        <w:tabs>
          <w:tab w:leader="none" w:pos="3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If such a person has beneficially owned the shares of Class A common stock proposed to be sold for at least one year, including the holding period of any prior owner other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221</w:t>
      </w:r>
    </w:p>
    <w:p>
      <w:pPr>
        <w:sectPr>
          <w:pgSz w:w="11900" w:h="16838" w:orient="portrait"/>
          <w:cols w:equalWidth="0" w:num="1">
            <w:col w:w="11240"/>
          </w:cols>
          <w:pgMar w:left="320" w:top="337" w:right="339" w:bottom="1440" w:gutter="0" w:footer="0" w:header="0"/>
        </w:sectPr>
      </w:pPr>
    </w:p>
    <w:bookmarkStart w:id="229" w:name="page230"/>
    <w:bookmarkEnd w:id="229"/>
    <w:p>
      <w:pPr>
        <w:jc w:val="both"/>
        <w:spacing w:after="0" w:line="281" w:lineRule="auto"/>
        <w:rPr>
          <w:sz w:val="20"/>
          <w:szCs w:val="20"/>
          <w:color w:val="auto"/>
        </w:rPr>
      </w:pPr>
      <w:r>
        <w:rPr>
          <w:rFonts w:ascii="Arial" w:cs="Arial" w:eastAsia="Arial" w:hAnsi="Arial"/>
          <w:sz w:val="16"/>
          <w:szCs w:val="16"/>
          <w:color w:val="auto"/>
        </w:rPr>
        <w:t>than our affiliates, then that person is entitled to sell those shares of Class A common stock without complying with any of the requirements of Rule 144. In general, six months after the effective date of the 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on the Nasdaq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1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Any shares we issue upon exchange of OpCo Units or HoldCo Units or upon the conversion of shares of Class C common stock will be “restricted securities” as defined in Rule 144 and may not be sold in the absence of registration under the Securities Act unless an exemption from registration is available, including the exemptions contained in Rule 144.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222</w:t>
      </w:r>
    </w:p>
    <w:p>
      <w:pPr>
        <w:sectPr>
          <w:pgSz w:w="11900" w:h="16838" w:orient="portrait"/>
          <w:cols w:equalWidth="0" w:num="1">
            <w:col w:w="11240"/>
          </w:cols>
          <w:pgMar w:left="320" w:top="337"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7"/>
          <w:szCs w:val="17"/>
          <w:b w:val="1"/>
          <w:bCs w:val="1"/>
          <w:color w:val="auto"/>
        </w:rPr>
        <w:t>UNDERWRITING</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J.P. Morgan Securities LLC and Morgan Stanley &amp; Co. LLC are acting as representatives, have severally agreed to purchase, and we have agreed to sell to them, the number of shares of Class A common stock indicated below:</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Number of Shares</w:t>
            </w:r>
          </w:p>
        </w:tc>
      </w:tr>
      <w:tr>
        <w:trPr>
          <w:trHeight w:val="240"/>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J.P. Morgan Securities LLC</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11,149,475</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Morgan Stanley &amp; Co. LLC</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11,149,475</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2"/>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Barclays Capital Inc.</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4,015,700</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Credit Suisse Securities (USA) LLC</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4,015,700</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2"/>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BofA Securities, Inc.</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3,863,515</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Deutsche Bank Securities Inc.</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1,497,259</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2"/>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RBC Capital Markets, LLC</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1,497,259</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UBS Securities LLC</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1,497,259</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2"/>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Wells Fargo Securities, LLC</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1,497,259</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Canaccord Genuity LLC</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593,913</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2"/>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JMP Securities LLC</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593,913</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Mizuho Securities USA LLC</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593,913</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2"/>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Piper Sandler &amp; Co.</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593,913</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Raymond James &amp; Associates, Inc.</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593,913</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2"/>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Stifel, Nicolaus &amp; Company, Incorporated</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593,913</w:t>
            </w:r>
          </w:p>
        </w:tc>
      </w:tr>
      <w:tr>
        <w:trPr>
          <w:trHeight w:val="235"/>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SunTrust Robinson Humphrey, Inc.</w:t>
            </w:r>
          </w:p>
        </w:tc>
        <w:tc>
          <w:tcPr>
            <w:tcW w:w="1780" w:type="dxa"/>
            <w:vAlign w:val="bottom"/>
          </w:tcPr>
          <w:p>
            <w:pPr>
              <w:jc w:val="right"/>
              <w:ind w:right="14"/>
              <w:spacing w:after="0"/>
              <w:rPr>
                <w:sz w:val="20"/>
                <w:szCs w:val="20"/>
                <w:color w:val="auto"/>
              </w:rPr>
            </w:pPr>
            <w:r>
              <w:rPr>
                <w:rFonts w:ascii="Arial" w:cs="Arial" w:eastAsia="Arial" w:hAnsi="Arial"/>
                <w:sz w:val="17"/>
                <w:szCs w:val="17"/>
                <w:color w:val="auto"/>
              </w:rPr>
              <w:t>593,913</w:t>
            </w:r>
          </w:p>
        </w:tc>
      </w:tr>
      <w:tr>
        <w:trPr>
          <w:trHeight w:val="27"/>
        </w:trPr>
        <w:tc>
          <w:tcPr>
            <w:tcW w:w="9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62"/>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Roberts &amp; Ryan Investments, Inc.</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159,708</w:t>
            </w:r>
          </w:p>
        </w:tc>
      </w:tr>
      <w:tr>
        <w:trPr>
          <w:trHeight w:val="248"/>
        </w:trPr>
        <w:tc>
          <w:tcPr>
            <w:tcW w:w="946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44,500,000</w:t>
            </w:r>
          </w:p>
        </w:tc>
      </w:tr>
      <w:tr>
        <w:trPr>
          <w:trHeight w:val="20"/>
        </w:trPr>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 The underwriting agreement also provides that if an underwriter defaults, the purchase commitments of non-defaulting underwriters may also be increased or the offering may be terminated.</w:t>
      </w:r>
    </w:p>
    <w:p>
      <w:pPr>
        <w:spacing w:after="0" w:line="11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to certain dealers at a price that represents a concession not in excess of $0.59850 per share under the public offering price. After the initial offering of the shares of Class A common stock, the offering price and other selling terms may from time to time be varied by the representatives. Sales of shares of Class A common stock made outside of the United States may be made by affiliates of the underwriters.</w:t>
      </w:r>
    </w:p>
    <w:p>
      <w:pPr>
        <w:spacing w:after="0" w:line="10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6,675,000 additional shares of Class A common stock at the public offering price listed on the cover page of this prospectus, less the underwriting discount.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223</w:t>
      </w:r>
    </w:p>
    <w:p>
      <w:pPr>
        <w:sectPr>
          <w:pgSz w:w="11900" w:h="16838" w:orient="portrait"/>
          <w:cols w:equalWidth="0" w:num="1">
            <w:col w:w="11240"/>
          </w:cols>
          <w:pgMar w:left="320" w:top="331" w:right="339" w:bottom="1440" w:gutter="0" w:footer="0" w:header="0"/>
        </w:sectPr>
      </w:pPr>
    </w:p>
    <w:bookmarkStart w:id="231" w:name="page232"/>
    <w:bookmarkEnd w:id="231"/>
    <w:p>
      <w:pPr>
        <w:jc w:val="both"/>
        <w:spacing w:after="0" w:line="289" w:lineRule="auto"/>
        <w:rPr>
          <w:sz w:val="20"/>
          <w:szCs w:val="20"/>
          <w:color w:val="auto"/>
        </w:rPr>
      </w:pPr>
      <w:r>
        <w:rPr>
          <w:rFonts w:ascii="Arial" w:cs="Arial" w:eastAsia="Arial" w:hAnsi="Arial"/>
          <w:sz w:val="17"/>
          <w:szCs w:val="17"/>
          <w:color w:val="auto"/>
        </w:rPr>
        <w:t>the underwriter’s name in the preceding table bears to the total number of shares of Class A common stock listed next to the names of all underwriters in the preceding table.</w:t>
      </w:r>
    </w:p>
    <w:p>
      <w:pPr>
        <w:spacing w:after="0" w:line="106"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The following table shows the per share and total public offering price, the underwriting discount and proceeds before expenses to us. These amounts are shown assuming both no exercise and full exercise of the underwriters’ option to purchase up to an additional 6,675,000 shares of Class A common stock.</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1400" w:type="dxa"/>
            <w:vAlign w:val="bottom"/>
            <w:tcBorders>
              <w:bottom w:val="single" w:sz="8" w:color="auto"/>
            </w:tcBorders>
          </w:tcPr>
          <w:p>
            <w:pPr>
              <w:spacing w:after="0"/>
              <w:rPr>
                <w:sz w:val="16"/>
                <w:szCs w:val="16"/>
                <w:color w:val="auto"/>
              </w:rPr>
            </w:pPr>
          </w:p>
        </w:tc>
      </w:tr>
      <w:tr>
        <w:trPr>
          <w:trHeight w:val="255"/>
        </w:trPr>
        <w:tc>
          <w:tcPr>
            <w:tcW w:w="596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Full Exercise</w:t>
            </w:r>
          </w:p>
        </w:tc>
      </w:tr>
      <w:tr>
        <w:trPr>
          <w:trHeight w:val="24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Public offering price</w:t>
            </w:r>
          </w:p>
        </w:tc>
        <w:tc>
          <w:tcPr>
            <w:tcW w:w="1180" w:type="dxa"/>
            <w:vAlign w:val="bottom"/>
            <w:tcBorders>
              <w:bottom w:val="single" w:sz="8" w:color="CCEEFF"/>
            </w:tcBorders>
            <w:shd w:val="clear" w:color="auto" w:fill="CCEEFF"/>
          </w:tcPr>
          <w:p>
            <w:pPr>
              <w:jc w:val="right"/>
              <w:ind w:right="977"/>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93"/>
              </w:rPr>
              <w:t>21.00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934,500,000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1,074,675,000</w:t>
            </w:r>
          </w:p>
        </w:tc>
      </w:tr>
      <w:tr>
        <w:trPr>
          <w:trHeight w:val="235"/>
        </w:trPr>
        <w:tc>
          <w:tcPr>
            <w:tcW w:w="5960" w:type="dxa"/>
            <w:vAlign w:val="bottom"/>
          </w:tcPr>
          <w:p>
            <w:pPr>
              <w:ind w:left="40"/>
              <w:spacing w:after="0"/>
              <w:rPr>
                <w:sz w:val="20"/>
                <w:szCs w:val="20"/>
                <w:color w:val="auto"/>
              </w:rPr>
            </w:pPr>
            <w:r>
              <w:rPr>
                <w:rFonts w:ascii="Arial" w:cs="Arial" w:eastAsia="Arial" w:hAnsi="Arial"/>
                <w:sz w:val="17"/>
                <w:szCs w:val="17"/>
                <w:color w:val="auto"/>
              </w:rPr>
              <w:t>Underwriting discount to be paid by us</w:t>
            </w:r>
          </w:p>
        </w:tc>
        <w:tc>
          <w:tcPr>
            <w:tcW w:w="1180" w:type="dxa"/>
            <w:vAlign w:val="bottom"/>
          </w:tcPr>
          <w:p>
            <w:pPr>
              <w:jc w:val="right"/>
              <w:ind w:right="977"/>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0"/>
                <w:szCs w:val="20"/>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47,890,900</w:t>
            </w:r>
          </w:p>
        </w:tc>
        <w:tc>
          <w:tcPr>
            <w:tcW w:w="4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7"/>
              <w:spacing w:after="0"/>
              <w:rPr>
                <w:sz w:val="20"/>
                <w:szCs w:val="20"/>
                <w:color w:val="auto"/>
              </w:rPr>
            </w:pPr>
            <w:r>
              <w:rPr>
                <w:rFonts w:ascii="Arial" w:cs="Arial" w:eastAsia="Arial" w:hAnsi="Arial"/>
                <w:sz w:val="17"/>
                <w:szCs w:val="17"/>
                <w:color w:val="auto"/>
              </w:rPr>
              <w:t>55,074,535</w:t>
            </w:r>
          </w:p>
        </w:tc>
      </w:tr>
      <w:tr>
        <w:trPr>
          <w:trHeight w:val="27"/>
        </w:trPr>
        <w:tc>
          <w:tcPr>
            <w:tcW w:w="59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5"/>
        </w:trPr>
        <w:tc>
          <w:tcPr>
            <w:tcW w:w="5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Proceeds, before expenses, to us</w:t>
            </w:r>
          </w:p>
        </w:tc>
        <w:tc>
          <w:tcPr>
            <w:tcW w:w="1180" w:type="dxa"/>
            <w:vAlign w:val="bottom"/>
            <w:shd w:val="clear" w:color="auto" w:fill="CCEEFF"/>
          </w:tcPr>
          <w:p>
            <w:pPr>
              <w:jc w:val="right"/>
              <w:ind w:right="977"/>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3"/>
              </w:rPr>
              <w:t>19.92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886,609,100</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1,019,600,465</w:t>
            </w:r>
          </w:p>
        </w:tc>
      </w:tr>
      <w:tr>
        <w:trPr>
          <w:trHeight w:val="27"/>
        </w:trPr>
        <w:tc>
          <w:tcPr>
            <w:tcW w:w="59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estimated offering expenses payable by us, exclusive of the underwriting discount, are approximately $11.4 million. We have agreed to reimburse the underwriters for expenses relating to clearance of this offering with the Financial Industry Regulatory Authority, Inc. up to $30,000. The underwriters have agreed to reimburse us for certain expenses incurred by us in connection with this offering upon closing of the offering.</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Class A common stock offered by them.</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Class A common stock has been approved for listing on the Nasdaq under the trading symbol “ZI.”</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our executive officers, our directors, the holders of all of our Class C common stock, the holders of substantially all of our outstanding OpCo Units, and certain holders of our HoldCo Units have agreed that, without the prior written consent of certain underwriters on behalf of the underwriters, we and they will not, during the period ending 180 days after the date of this prospectus (the “restricted period”):</w:t>
      </w:r>
    </w:p>
    <w:p>
      <w:pPr>
        <w:spacing w:after="0" w:line="119" w:lineRule="exact"/>
        <w:rPr>
          <w:sz w:val="20"/>
          <w:szCs w:val="20"/>
          <w:color w:val="auto"/>
        </w:rPr>
      </w:pPr>
    </w:p>
    <w:p>
      <w:pPr>
        <w:jc w:val="both"/>
        <w:ind w:left="640" w:hanging="321"/>
        <w:spacing w:after="0" w:line="267" w:lineRule="auto"/>
        <w:tabs>
          <w:tab w:leader="none" w:pos="6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offer, sell, contract to sell, sell any option or contract to purchase, purchase any option or contract to sell, grant any option, right or warrant to purchase, lend or otherwise transfer or dispose of, directly or indirectly, any shares of our Class A common stock or any securities convertible into or exercisable or exchangeable for shares of our Class A common stock, including our Class B and Class C common stock (the “securities”), whether any such transaction is to be settled by delivery of such securities, in cash or otherwise;</w:t>
      </w:r>
    </w:p>
    <w:p>
      <w:pPr>
        <w:spacing w:after="0" w:line="12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such securities, whether any such transaction is to be settled by delivery of such securities, in cash or otherwise; or</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 our case, publicly file any registration statement with the SEC relating to the offering of any such securities;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or, in each case, publicly disclose the intention to undertake any of the foregoing. In addition, each such officer, director, stockholder, or unitholder has agreed that such person will not, without the prior written consent of J.P. Morgan Securities LLC and Morgan Stanley &amp; Co. LLC, during the restricted period, make any demand for, or exercise any right with respect to, the registration of any such securities.</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restrictions described in the immediately preceding paragraph are subject to certain exceptions, including customary exceptions related to open-market transactions in our Class A common stock, issuances or transfers in connection with incentive plans, establishment of Rule 10b5-1 plans, exchanges of OpCo Units and HoldCo Units and corresponding number of shares of Class B common stock for shares of Class A common stock, and conversions of shares of Class C common stock into shares of Class A common stock.</w:t>
      </w:r>
    </w:p>
    <w:p>
      <w:pPr>
        <w:spacing w:after="0" w:line="12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J.P. Morgan Securities LLC and Morgan Stanley &amp; Co. LLC, in their sole discretion, may release the securities of our officers, directors, stockholders, and unitholders subject to the lock-up agreements described above in whole or in part at any time, and the majority (based on the relative percentage of shares of our Class A common stock being underwritten by such underwriters) of J.P. Morgan Securities LLC, Morgan Stanley &amp; Co. LLC, Barclays Capital Inc.</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224</w:t>
      </w:r>
    </w:p>
    <w:p>
      <w:pPr>
        <w:sectPr>
          <w:pgSz w:w="11900" w:h="16838" w:orient="portrait"/>
          <w:cols w:equalWidth="0" w:num="1">
            <w:col w:w="11240"/>
          </w:cols>
          <w:pgMar w:left="320" w:top="337" w:right="339" w:bottom="1440" w:gutter="0" w:footer="0" w:header="0"/>
        </w:sectPr>
      </w:pPr>
    </w:p>
    <w:bookmarkStart w:id="232" w:name="page233"/>
    <w:bookmarkEnd w:id="232"/>
    <w:p>
      <w:pPr>
        <w:jc w:val="both"/>
        <w:spacing w:after="0" w:line="289" w:lineRule="auto"/>
        <w:rPr>
          <w:sz w:val="20"/>
          <w:szCs w:val="20"/>
          <w:color w:val="auto"/>
        </w:rPr>
      </w:pPr>
      <w:r>
        <w:rPr>
          <w:rFonts w:ascii="Arial" w:cs="Arial" w:eastAsia="Arial" w:hAnsi="Arial"/>
          <w:sz w:val="17"/>
          <w:szCs w:val="17"/>
          <w:color w:val="auto"/>
        </w:rPr>
        <w:t>and Credit Suisse Securities (USA) LLC, in their sole discretion, may release us from the lock-up agreement described above in whole or in party from time to time.</w:t>
      </w:r>
    </w:p>
    <w:p>
      <w:pPr>
        <w:spacing w:after="0" w:line="10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Prior to the date hereof, the cornerstone investors have indicated an interest in purchasing an aggregate of up to $100.0 million each (up to $300.0 million in the aggregate) in shares of our Class A common stock in this offering at the initial public offering price. Because this indication of interest is not a binding agreement or commitment to purchase, the cornerstone investors could determine to purchase more, less, or no shares in this offering or the underwriters could determine to sell more, less, or no shares to any of the cornerstone investors. The underwriters will receive the same discount on any of our shares of Class A common stock purchased by the cornerstone investors as they will from any other shares of Class A common stock sold to the public in this offering.</w:t>
      </w:r>
    </w:p>
    <w:p>
      <w:pPr>
        <w:spacing w:after="0" w:line="113" w:lineRule="exact"/>
        <w:rPr>
          <w:sz w:val="20"/>
          <w:szCs w:val="20"/>
          <w:color w:val="auto"/>
        </w:rPr>
      </w:pPr>
    </w:p>
    <w:p>
      <w:pPr>
        <w:jc w:val="both"/>
        <w:ind w:firstLine="314"/>
        <w:spacing w:after="0" w:line="276" w:lineRule="auto"/>
        <w:rPr>
          <w:sz w:val="20"/>
          <w:szCs w:val="20"/>
          <w:color w:val="auto"/>
        </w:rPr>
      </w:pPr>
      <w:r>
        <w:rPr>
          <w:rFonts w:ascii="Arial" w:cs="Arial" w:eastAsia="Arial" w:hAnsi="Arial"/>
          <w:sz w:val="16"/>
          <w:szCs w:val="16"/>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in this offering. As an additional means of facilitating this offering, the underwriters may bid for, and purchase, shares of Class A common stock in the open market to stabilize the price of the Class A common stock. 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purchase common stock in the open market in stabilizing transactions or to cover short sales, the representatives can require the underwriters that sold those shares as part of this offering to repay the underwriting discount received by them.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The underwriters may carry out these transactions on the Nasdaq, in the over-the-counter market, or otherwise.</w:t>
      </w:r>
    </w:p>
    <w:p>
      <w:pPr>
        <w:spacing w:after="0" w:line="12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 or to contribute to payments that may be required to be made in respect of those liabilities.</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 A prospectus in electronic format may be made available on websites maintained by one or more underwriters or selling group members, if any, participating in this offering. The representatives may agree to allocate a number of shares of Class A common stock to underwriters and selling group members, if any, for sale to their online brokerage account holders. Internet distributions will be allocated by the representatives to underwriters and selling group members, if any, that may make internet distributions on the same basis as other allocations.</w:t>
      </w:r>
    </w:p>
    <w:p>
      <w:pPr>
        <w:spacing w:after="0" w:line="12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or our respective affiliates, for which they received or will receive customary fees, commissions, and expenses. Certain of the underwriters or their respective affiliates are lenders under our first lien credit facilities, and an affiliate of Morgan Stanley &amp; Co. LLC acts as administrative agent and collateral agent under each of our secured credit facilities. In addition, certain of the underwriters or their respective affiliates are, and from time to time may be, our customers.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225</w:t>
      </w:r>
    </w:p>
    <w:p>
      <w:pPr>
        <w:sectPr>
          <w:pgSz w:w="11900" w:h="16838" w:orient="portrait"/>
          <w:cols w:equalWidth="0" w:num="1">
            <w:col w:w="11240"/>
          </w:cols>
          <w:pgMar w:left="320" w:top="337" w:right="339" w:bottom="1440" w:gutter="0" w:footer="0" w:header="0"/>
        </w:sectPr>
      </w:pPr>
    </w:p>
    <w:bookmarkStart w:id="233" w:name="page234"/>
    <w:bookmarkEnd w:id="233"/>
    <w:p>
      <w:pPr>
        <w:jc w:val="both"/>
        <w:ind w:firstLine="314"/>
        <w:spacing w:after="0" w:line="26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0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Class A common stock, or that the shares of Class A common stock will trade in the public market at or above the initial public offering price.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177"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shares of Class A common stock offered by this prospectus in any jurisdiction where action for that purpose is required. The shares of Class A common stock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 Class A common stock offered by this prospectus in any jurisdiction in which such an offer or a solicitation is unlawful.</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Canada</w:t>
      </w:r>
    </w:p>
    <w:p>
      <w:pPr>
        <w:spacing w:after="0" w:line="171" w:lineRule="exact"/>
        <w:rPr>
          <w:sz w:val="20"/>
          <w:szCs w:val="20"/>
          <w:color w:val="auto"/>
        </w:rPr>
      </w:pPr>
    </w:p>
    <w:p>
      <w:pPr>
        <w:jc w:val="both"/>
        <w:ind w:firstLine="314"/>
        <w:spacing w:after="0" w:line="314" w:lineRule="auto"/>
        <w:rPr>
          <w:sz w:val="20"/>
          <w:szCs w:val="20"/>
          <w:color w:val="auto"/>
        </w:rPr>
      </w:pPr>
      <w:r>
        <w:rPr>
          <w:rFonts w:ascii="Arial" w:cs="Arial" w:eastAsia="Arial" w:hAnsi="Arial"/>
          <w:sz w:val="15"/>
          <w:szCs w:val="15"/>
          <w:color w:val="auto"/>
        </w:rPr>
        <w:t xml:space="preserve">The shares of our Class A common stock may be sold only to purchasers purchasing, or deemed to be purchasing, as principal that are accredited investors, as defined in National Instrument 45-106 </w:t>
      </w:r>
      <w:r>
        <w:rPr>
          <w:rFonts w:ascii="Arial" w:cs="Arial" w:eastAsia="Arial" w:hAnsi="Arial"/>
          <w:sz w:val="15"/>
          <w:szCs w:val="15"/>
          <w:i w:val="1"/>
          <w:iCs w:val="1"/>
          <w:color w:val="auto"/>
        </w:rPr>
        <w:t>Prospectus Exemptions</w:t>
      </w:r>
      <w:r>
        <w:rPr>
          <w:rFonts w:ascii="Arial" w:cs="Arial" w:eastAsia="Arial" w:hAnsi="Arial"/>
          <w:sz w:val="15"/>
          <w:szCs w:val="15"/>
          <w:color w:val="auto"/>
        </w:rPr>
        <w:t xml:space="preserve"> or subsection 73.3(1) of the </w:t>
      </w:r>
      <w:r>
        <w:rPr>
          <w:rFonts w:ascii="Arial" w:cs="Arial" w:eastAsia="Arial" w:hAnsi="Arial"/>
          <w:sz w:val="15"/>
          <w:szCs w:val="15"/>
          <w:i w:val="1"/>
          <w:iCs w:val="1"/>
          <w:color w:val="auto"/>
        </w:rPr>
        <w:t>Securities Act</w:t>
      </w:r>
      <w:r>
        <w:rPr>
          <w:rFonts w:ascii="Arial" w:cs="Arial" w:eastAsia="Arial" w:hAnsi="Arial"/>
          <w:sz w:val="15"/>
          <w:szCs w:val="15"/>
          <w:color w:val="auto"/>
        </w:rPr>
        <w:t xml:space="preserve"> (Ontario), and are permitted clients, as defined in National Instrument 31-103 </w:t>
      </w:r>
      <w:r>
        <w:rPr>
          <w:rFonts w:ascii="Arial" w:cs="Arial" w:eastAsia="Arial" w:hAnsi="Arial"/>
          <w:sz w:val="15"/>
          <w:szCs w:val="15"/>
          <w:i w:val="1"/>
          <w:iCs w:val="1"/>
          <w:color w:val="auto"/>
        </w:rPr>
        <w:t>Registration Requirements, Exemptions and Ongoing Registrant Obligations</w:t>
      </w:r>
      <w:r>
        <w:rPr>
          <w:rFonts w:ascii="Arial" w:cs="Arial" w:eastAsia="Arial" w:hAnsi="Arial"/>
          <w:sz w:val="15"/>
          <w:szCs w:val="15"/>
          <w:color w:val="auto"/>
        </w:rPr>
        <w:t>. Any resale of the shares of our Class A common stock must be made in accordance with an exemption from, or in a transaction not subject to, the prospectus requirements of applicable securities laws.</w:t>
      </w:r>
    </w:p>
    <w:p>
      <w:pPr>
        <w:spacing w:after="0" w:line="9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 xml:space="preserve">Pursuant to section 3A.3 of National Instrument 33-105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(NI 33-105), the underwriters are not required to comply with the disclosure requirements of NI 33-105 regarding underwriter conflicts of interest in connection with this offering.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 and United Kingdom</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offer to the public of any shares of our Class A common stock may be made in that Member State, except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226</w:t>
      </w:r>
    </w:p>
    <w:p>
      <w:pPr>
        <w:sectPr>
          <w:pgSz w:w="11900" w:h="16838" w:orient="portrait"/>
          <w:cols w:equalWidth="0" w:num="1">
            <w:col w:w="11240"/>
          </w:cols>
          <w:pgMar w:left="320" w:top="337" w:right="339" w:bottom="1440" w:gutter="0" w:footer="0" w:header="0"/>
        </w:sectPr>
      </w:pPr>
    </w:p>
    <w:bookmarkStart w:id="234" w:name="page235"/>
    <w:bookmarkEnd w:id="234"/>
    <w:p>
      <w:pPr>
        <w:spacing w:after="0"/>
        <w:rPr>
          <w:sz w:val="20"/>
          <w:szCs w:val="20"/>
          <w:color w:val="auto"/>
        </w:rPr>
      </w:pPr>
      <w:r>
        <w:rPr>
          <w:rFonts w:ascii="Arial" w:cs="Arial" w:eastAsia="Arial" w:hAnsi="Arial"/>
          <w:sz w:val="15"/>
          <w:szCs w:val="15"/>
          <w:color w:val="auto"/>
        </w:rPr>
        <w:t>that an offer to the public in that Relevant State of any shares of our Class A common stock may be made at any time under the following exemptions under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Prospectus Directive:</w:t>
      </w:r>
    </w:p>
    <w:p>
      <w:pPr>
        <w:spacing w:after="0" w:line="159" w:lineRule="exact"/>
        <w:rPr>
          <w:sz w:val="20"/>
          <w:szCs w:val="20"/>
          <w:color w:val="auto"/>
        </w:rPr>
      </w:pPr>
    </w:p>
    <w:p>
      <w:pPr>
        <w:ind w:left="640" w:hanging="321"/>
        <w:spacing w:after="0"/>
        <w:tabs>
          <w:tab w:leader="none" w:pos="6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71"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as permitted under the Prospectus Directive, subject to obtaining the prior consent of the representatives for any such offer; or</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provided that no such offer of shares of our Class A common stock shall result in a requirement for the publication by us or any underwriter of a prospectus pursuant to Article 3 of the Prospectus Directive, or supplement a prospectus pursuant to Article 16 of the Prospectus Directive.</w:t>
      </w:r>
    </w:p>
    <w:p>
      <w:pPr>
        <w:spacing w:after="0" w:line="106"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Each person located in a Relevant State to whom any offer of shares of Class A common stock is made or who receives any communication in respect of an offer of shares of Class A common stock, or who initially acquires any shares of Class A common stock, will be deemed to have represented, warranted, acknowledged and agreed to and with us and each underwriter that (1) it is a “qualified investor” within the meaning of the law in that Relevant State implementing Article 2(1)(e) of the Prospectus Directive; and (2) in the case of any shares of Class A common stock acquired by it as a financial intermediary as that term is used in Article 3(2) of the Prospectus Directive, the shares of Class A common stock acquired by it in the offer have not been acquired on behalf of, nor have they been acquired with a view to their offer or resale to, persons in any Relevant State other than qualified investors, as that term is defined in the Prospectus Directive, or in circumstances in which the prior consent of the representatives has been given to the offer or resale, or where shares of Class A common stock have been acquired by it on behalf of persons in any Relevant State other than qualified investors, the offer of those shares of Class A common stock to it is not treated under the Prospectus Directive as having been made to such persons.</w:t>
      </w:r>
    </w:p>
    <w:p>
      <w:pPr>
        <w:spacing w:after="0" w:line="118"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the underwriters and our and their respective affiliates will rely upon the truth and accuracy of the foregoing representations, acknowledgments and agreements.</w:t>
      </w:r>
    </w:p>
    <w:p>
      <w:pPr>
        <w:spacing w:after="0" w:line="106"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This prospectus has been prepared on the basis that any offer of shares of Class A common stock in any Relevant State will be made pursuant to an exemption under the Prospectus Directive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any of underwriter to publish a prospectus pursuant to Article 3 of the Prospectus Directive in relation to such offer. Neither we nor the underwriters have authorized, nor do they authorize, the making of any offer of shares of Class A common stock in circumstances in which an obligation arises for us or the underwriters to publish a prospectus for such offer.</w:t>
      </w:r>
    </w:p>
    <w:p>
      <w:pPr>
        <w:spacing w:after="0" w:line="113"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For the purposes of this provision: (i) the expression an “offer to the public” in relation to any shares of our Class A common stock in any Relevant State means the communication in any form and by any means of sufficient information on the terms of the offer and any shares of our Class A common stock to be offered so as to enable an investor to decide to purchase any shares of our Class A common stock, as the same may be varied in that Relevant State by any measure implementing the Prospectus Directive in that Relevant State; and (ii) the expression “Prospectus Directive” means Prospectus Regulation (EU) 2017/1129 (as amended) and includes any relevant implementing measure in each Relevant State.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underwriter has represented and agreed that:</w:t>
      </w:r>
    </w:p>
    <w:p>
      <w:pPr>
        <w:spacing w:after="0" w:line="171" w:lineRule="exact"/>
        <w:rPr>
          <w:sz w:val="20"/>
          <w:szCs w:val="20"/>
          <w:color w:val="auto"/>
        </w:rPr>
      </w:pPr>
    </w:p>
    <w:p>
      <w:pPr>
        <w:jc w:val="both"/>
        <w:ind w:left="640" w:hanging="321"/>
        <w:spacing w:after="0" w:line="267" w:lineRule="auto"/>
        <w:tabs>
          <w:tab w:leader="none" w:pos="6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Class A common stock in circumstances in which Section 21(1) of the FSMA does not apply to us; and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227</w:t>
      </w:r>
    </w:p>
    <w:p>
      <w:pPr>
        <w:sectPr>
          <w:pgSz w:w="11900" w:h="16838" w:orient="portrait"/>
          <w:cols w:equalWidth="0" w:num="1">
            <w:col w:w="11240"/>
          </w:cols>
          <w:pgMar w:left="320" w:top="337" w:right="339" w:bottom="1440" w:gutter="0" w:footer="0" w:header="0"/>
        </w:sectPr>
      </w:pPr>
    </w:p>
    <w:bookmarkStart w:id="235" w:name="page236"/>
    <w:bookmarkEnd w:id="235"/>
    <w:p>
      <w:pPr>
        <w:ind w:left="640" w:hanging="321"/>
        <w:spacing w:after="0" w:line="289" w:lineRule="auto"/>
        <w:tabs>
          <w:tab w:leader="none" w:pos="6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Class A common stock in, from or otherwise involving the United Kingdom.</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Switzerland</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This prospectus is not intended to constitute an offer or solicitation to purchase or invest in our shares of Class A common stock. The shares of Class A common stock may not be publicly offered, directly or indirectly, in Switzerland within the meaning of the Swiss Financial Services Act (“FinSA”) and no application has or will be made to admit the shares of Class A common stock to trading on any trading venue (exchange or multilateral trading facility) in Switzerland. Neither this prospectus nor any other offering or marketing material relating to the shares of Class A common stock constitutes a prospectus pursuant to the FinSA, and neither this prospectus nor any other offering or marketing material relating to the shares of Class A common stock may be publicly distributed or otherwise made publicly available in Switzerland.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Dubai International Financial Centre</w:t>
      </w:r>
    </w:p>
    <w:p>
      <w:pPr>
        <w:spacing w:after="0" w:line="171"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Hong Kong</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that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that are or are intended to be disposed of only to persons outside Hong Kong or only to “professional investors” within the meaning of the Securities and Futures Ordinance (Cap. 571, Laws of Hong Kong) and any rules made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Singapore</w:t>
      </w:r>
    </w:p>
    <w:p>
      <w:pPr>
        <w:spacing w:after="0" w:line="171"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228</w:t>
      </w:r>
    </w:p>
    <w:p>
      <w:pPr>
        <w:sectPr>
          <w:pgSz w:w="11900" w:h="16838" w:orient="portrait"/>
          <w:cols w:equalWidth="0" w:num="1">
            <w:col w:w="11240"/>
          </w:cols>
          <w:pgMar w:left="320" w:top="337" w:right="339" w:bottom="1440" w:gutter="0" w:footer="0" w:header="0"/>
        </w:sectPr>
      </w:pPr>
    </w:p>
    <w:bookmarkStart w:id="236" w:name="page237"/>
    <w:bookmarkEnd w:id="236"/>
    <w:p>
      <w:pPr>
        <w:ind w:left="320"/>
        <w:spacing w:after="0"/>
        <w:rPr>
          <w:sz w:val="20"/>
          <w:szCs w:val="20"/>
          <w:color w:val="auto"/>
        </w:rPr>
      </w:pPr>
      <w:r>
        <w:rPr>
          <w:rFonts w:ascii="Arial" w:cs="Arial" w:eastAsia="Arial" w:hAnsi="Arial"/>
          <w:sz w:val="17"/>
          <w:szCs w:val="17"/>
          <w:color w:val="auto"/>
        </w:rPr>
        <w:t>Where the shares of our Class A common stock are subscribed or purchased under Section 275 of the SFA by a relevant person which is:</w:t>
      </w:r>
    </w:p>
    <w:p>
      <w:pPr>
        <w:spacing w:after="0" w:line="171" w:lineRule="exact"/>
        <w:rPr>
          <w:sz w:val="20"/>
          <w:szCs w:val="20"/>
          <w:color w:val="auto"/>
        </w:rPr>
      </w:pPr>
    </w:p>
    <w:p>
      <w:pPr>
        <w:ind w:left="640" w:hanging="321"/>
        <w:spacing w:after="0" w:line="289" w:lineRule="auto"/>
        <w:tabs>
          <w:tab w:leader="none" w:pos="6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5"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the sole purpose of which is to hold investments and each beneficiary of the trust is an individual who is an accredited investor;</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Class A common stock pursuant to an offer made under Section 275 of the SFA except:</w:t>
      </w:r>
    </w:p>
    <w:p>
      <w:pPr>
        <w:spacing w:after="0" w:line="119" w:lineRule="exact"/>
        <w:rPr>
          <w:sz w:val="20"/>
          <w:szCs w:val="20"/>
          <w:color w:val="auto"/>
        </w:rPr>
      </w:pPr>
    </w:p>
    <w:p>
      <w:pPr>
        <w:ind w:left="640" w:hanging="321"/>
        <w:spacing w:after="0" w:line="289" w:lineRule="auto"/>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05" w:lineRule="exact"/>
        <w:rPr>
          <w:rFonts w:ascii="Arial" w:cs="Arial" w:eastAsia="Arial" w:hAnsi="Arial"/>
          <w:sz w:val="17"/>
          <w:szCs w:val="17"/>
          <w:color w:val="auto"/>
        </w:rPr>
      </w:pPr>
    </w:p>
    <w:p>
      <w:pPr>
        <w:ind w:left="640" w:hanging="321"/>
        <w:spacing w:after="0"/>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shares of our Class A common stock, we have determined, and hereby notify, all relevant persons (as defined in Section 309A(1) of the SFA), that shares of our Class A common stock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Japan</w:t>
      </w:r>
    </w:p>
    <w:p>
      <w:pPr>
        <w:spacing w:after="0" w:line="171"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83"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Qualified Institutional Investors (“QII”)</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 Non-QII Investors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Class A common stock constitutes either a “small number private placement”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229</w:t>
      </w:r>
    </w:p>
    <w:p>
      <w:pPr>
        <w:sectPr>
          <w:pgSz w:w="11900" w:h="16838" w:orient="portrait"/>
          <w:cols w:equalWidth="0" w:num="1">
            <w:col w:w="11240"/>
          </w:cols>
          <w:pgMar w:left="320" w:top="337" w:right="339" w:bottom="1440" w:gutter="0" w:footer="0" w:header="0"/>
        </w:sectPr>
      </w:pPr>
    </w:p>
    <w:bookmarkStart w:id="237" w:name="page238"/>
    <w:bookmarkEnd w:id="237"/>
    <w:p>
      <w:pPr>
        <w:jc w:val="both"/>
        <w:spacing w:after="0" w:line="273" w:lineRule="auto"/>
        <w:rPr>
          <w:sz w:val="20"/>
          <w:szCs w:val="20"/>
          <w:color w:val="auto"/>
        </w:rPr>
      </w:pPr>
      <w:r>
        <w:rPr>
          <w:rFonts w:ascii="Arial" w:cs="Arial" w:eastAsia="Arial" w:hAnsi="Arial"/>
          <w:sz w:val="17"/>
          <w:szCs w:val="17"/>
          <w:color w:val="auto"/>
        </w:rPr>
        <w:t xml:space="preserve">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w:t>
      </w:r>
      <w:r>
        <w:rPr>
          <w:rFonts w:ascii="Arial" w:cs="Arial" w:eastAsia="Arial" w:hAnsi="Arial"/>
          <w:sz w:val="17"/>
          <w:szCs w:val="17"/>
          <w:i w:val="1"/>
          <w:iCs w:val="1"/>
          <w:color w:val="auto"/>
        </w:rPr>
        <w:t>en bloc</w:t>
      </w:r>
      <w:r>
        <w:rPr>
          <w:rFonts w:ascii="Arial" w:cs="Arial" w:eastAsia="Arial" w:hAnsi="Arial"/>
          <w:sz w:val="17"/>
          <w:szCs w:val="17"/>
          <w:color w:val="auto"/>
        </w:rPr>
        <w:t xml:space="preserve"> without subdivision to a single investor.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Australia</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Any offer in Australia of the shares of Class A common stock may only be made to persons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of Class A common stock without disclosure to investors under Chapter 6D of the Corporations Act.</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shares of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that complies with Chapter 6D of the Corporations Act. Any person acquiring shares of Class A common stock must observe such Australian on-sale restrictions.</w:t>
      </w:r>
    </w:p>
    <w:p>
      <w:pPr>
        <w:spacing w:after="0" w:line="10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230</w:t>
      </w:r>
    </w:p>
    <w:p>
      <w:pPr>
        <w:sectPr>
          <w:pgSz w:w="11900" w:h="16838" w:orient="portrait"/>
          <w:cols w:equalWidth="0" w:num="1">
            <w:col w:w="11240"/>
          </w:cols>
          <w:pgMar w:left="320" w:top="337"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7"/>
          <w:szCs w:val="17"/>
          <w:b w:val="1"/>
          <w:bCs w:val="1"/>
          <w:color w:val="auto"/>
        </w:rPr>
        <w:t>LEGAL MATTERS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validity of the shares of Class A common stock will be passed upon for us by Simpson Thacher &amp; Bartlett LLP, New York, New York. Certain legal matters in connection with this offering will be passed upon for the underwriters by Latham &amp; Watkins LLP, New York, New York.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177"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 xml:space="preserve">The balance sheets of ZoomInfo Technologies Inc. as of December 31, 2019 and November 14, 2019 and the consolidated financial statements of DiscoverOrg Holdings, LLC as of December 31, 2019 and 2018 and for the years then ended have been included herein and in the registration statement in reliance upon the reports of KPMG LLP, independent registered public accounting firm, appearing elsewhere herein, and upon the authority of said firm as experts in accounting and auditing. The audit report covering the December 31, 2019 consolidated financial statements of DiscoverOrg Holdings, LLC refers to a change in the method of accounting for leases due to the adoption of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consolidated financial statements of Zoom Information, Inc. and Subsidiaries as of January 31, 2019 and December 31, 2018 and for the period from January 1, 2019 through January 31, 2019 and the year ended December 31, 2018 have been audited by RSM US LLP, independent auditors, as stated in their report thereon, and are included in this prospectus and registration statement in reliance upon such report and upon the authority of such firm as experts in accounting and auditing.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MORE INFORMATION</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You may inspect these reports and other information without charge at a website maintained by the SEC. The address of this site is </w:t>
      </w:r>
      <w:r>
        <w:rPr>
          <w:rFonts w:ascii="Arial" w:cs="Arial" w:eastAsia="Arial" w:hAnsi="Arial"/>
          <w:sz w:val="17"/>
          <w:szCs w:val="17"/>
          <w:i w:val="1"/>
          <w:iCs w:val="1"/>
          <w:color w:val="auto"/>
        </w:rPr>
        <w:t>http://www.sec.gov.</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 xml:space="preserve">We maintain an internet site at </w:t>
      </w:r>
      <w:r>
        <w:rPr>
          <w:rFonts w:ascii="Arial" w:cs="Arial" w:eastAsia="Arial" w:hAnsi="Arial"/>
          <w:sz w:val="17"/>
          <w:szCs w:val="17"/>
          <w:i w:val="1"/>
          <w:iCs w:val="1"/>
          <w:color w:val="auto"/>
        </w:rPr>
        <w:t>http://www.zoominfo.com</w:t>
      </w:r>
      <w:r>
        <w:rPr>
          <w:rFonts w:ascii="Arial" w:cs="Arial" w:eastAsia="Arial" w:hAnsi="Arial"/>
          <w:sz w:val="17"/>
          <w:szCs w:val="17"/>
          <w:color w:val="auto"/>
        </w:rPr>
        <w:t>. The information on, or accessible from, our website is not part of this prospectus by reference or otherwise.</w:t>
      </w:r>
    </w:p>
    <w:p>
      <w:pPr>
        <w:spacing w:after="0" w:line="106"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Upon completion of this offering, we will become subject to the informational requirements of the Exchange Act and will be required to file reports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231</w:t>
      </w:r>
    </w:p>
    <w:p>
      <w:pPr>
        <w:sectPr>
          <w:pgSz w:w="11900" w:h="16838" w:orient="portrait"/>
          <w:cols w:equalWidth="0" w:num="1">
            <w:col w:w="11240"/>
          </w:cols>
          <w:pgMar w:left="320" w:top="331" w:right="3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7240" w:type="dxa"/>
            <w:vAlign w:val="bottom"/>
          </w:tcPr>
          <w:p>
            <w:pPr>
              <w:jc w:val="center"/>
              <w:ind w:right="1813"/>
              <w:spacing w:after="0"/>
              <w:rPr>
                <w:sz w:val="20"/>
                <w:szCs w:val="20"/>
                <w:color w:val="auto"/>
              </w:rPr>
            </w:pPr>
            <w:r>
              <w:rPr>
                <w:rFonts w:ascii="Arial" w:cs="Arial" w:eastAsia="Arial" w:hAnsi="Arial"/>
                <w:sz w:val="17"/>
                <w:szCs w:val="17"/>
                <w:b w:val="1"/>
                <w:bCs w:val="1"/>
                <w:color w:val="auto"/>
              </w:rPr>
              <w:t>INDEX TO FINANCIAL STATEMENTS</w:t>
            </w:r>
          </w:p>
        </w:tc>
        <w:tc>
          <w:tcPr>
            <w:tcW w:w="840" w:type="dxa"/>
            <w:vAlign w:val="bottom"/>
          </w:tcPr>
          <w:p>
            <w:pPr>
              <w:spacing w:after="0"/>
              <w:rPr>
                <w:sz w:val="19"/>
                <w:szCs w:val="19"/>
                <w:color w:val="auto"/>
              </w:rPr>
            </w:pPr>
          </w:p>
        </w:tc>
      </w:tr>
      <w:tr>
        <w:trPr>
          <w:trHeight w:val="812"/>
        </w:trPr>
        <w:tc>
          <w:tcPr>
            <w:tcW w:w="10160" w:type="dxa"/>
            <w:vAlign w:val="bottom"/>
            <w:gridSpan w:val="3"/>
          </w:tcPr>
          <w:p>
            <w:pPr>
              <w:spacing w:after="0"/>
              <w:rPr>
                <w:sz w:val="20"/>
                <w:szCs w:val="20"/>
                <w:color w:val="auto"/>
              </w:rPr>
            </w:pPr>
            <w:r>
              <w:rPr>
                <w:rFonts w:ascii="Arial" w:cs="Arial" w:eastAsia="Arial" w:hAnsi="Arial"/>
                <w:sz w:val="17"/>
                <w:szCs w:val="17"/>
                <w:b w:val="1"/>
                <w:bCs w:val="1"/>
                <w:color w:val="auto"/>
              </w:rPr>
              <w:t>Audited Balance Sheet of ZoomInfo Technologies Inc.</w:t>
            </w:r>
          </w:p>
        </w:tc>
        <w:tc>
          <w:tcPr>
            <w:tcW w:w="840" w:type="dxa"/>
            <w:vAlign w:val="bottom"/>
          </w:tcPr>
          <w:p>
            <w:pPr>
              <w:spacing w:after="0"/>
              <w:rPr>
                <w:sz w:val="24"/>
                <w:szCs w:val="24"/>
                <w:color w:val="auto"/>
              </w:rPr>
            </w:pPr>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1">
              <w:r>
                <w:rPr>
                  <w:rFonts w:ascii="Arial" w:cs="Arial" w:eastAsia="Arial" w:hAnsi="Arial"/>
                  <w:sz w:val="17"/>
                  <w:szCs w:val="17"/>
                  <w:u w:val="single" w:color="auto"/>
                  <w:color w:val="0000EE"/>
                </w:rPr>
                <w:t>Report of Independent Registered Public Accounting Firm</w:t>
              </w:r>
            </w:hyperlink>
          </w:p>
        </w:tc>
        <w:tc>
          <w:tcPr>
            <w:tcW w:w="840" w:type="dxa"/>
            <w:vAlign w:val="bottom"/>
          </w:tcPr>
          <w:p>
            <w:pPr>
              <w:jc w:val="center"/>
              <w:ind w:left="433"/>
              <w:spacing w:after="0"/>
              <w:rPr>
                <w:rFonts w:ascii="Arial" w:cs="Arial" w:eastAsia="Arial" w:hAnsi="Arial"/>
                <w:sz w:val="17"/>
                <w:szCs w:val="17"/>
                <w:color w:val="auto"/>
                <w:w w:val="93"/>
              </w:rPr>
            </w:pPr>
            <w:hyperlink w:anchor="page241">
              <w:r>
                <w:rPr>
                  <w:rFonts w:ascii="Arial" w:cs="Arial" w:eastAsia="Arial" w:hAnsi="Arial"/>
                  <w:sz w:val="17"/>
                  <w:szCs w:val="17"/>
                  <w:color w:val="auto"/>
                  <w:w w:val="93"/>
                </w:rPr>
                <w:t>F-2</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2">
              <w:r>
                <w:rPr>
                  <w:rFonts w:ascii="Arial" w:cs="Arial" w:eastAsia="Arial" w:hAnsi="Arial"/>
                  <w:sz w:val="17"/>
                  <w:szCs w:val="17"/>
                  <w:u w:val="single" w:color="auto"/>
                  <w:color w:val="0000EE"/>
                </w:rPr>
                <w:t>Balance Sheets as of December 31, 2019 and November 14, 2019</w:t>
              </w:r>
            </w:hyperlink>
          </w:p>
        </w:tc>
        <w:tc>
          <w:tcPr>
            <w:tcW w:w="840" w:type="dxa"/>
            <w:vAlign w:val="bottom"/>
          </w:tcPr>
          <w:p>
            <w:pPr>
              <w:jc w:val="center"/>
              <w:ind w:left="433"/>
              <w:spacing w:after="0"/>
              <w:rPr>
                <w:rFonts w:ascii="Arial" w:cs="Arial" w:eastAsia="Arial" w:hAnsi="Arial"/>
                <w:sz w:val="17"/>
                <w:szCs w:val="17"/>
                <w:color w:val="auto"/>
                <w:w w:val="93"/>
              </w:rPr>
            </w:pPr>
            <w:hyperlink w:anchor="page242">
              <w:r>
                <w:rPr>
                  <w:rFonts w:ascii="Arial" w:cs="Arial" w:eastAsia="Arial" w:hAnsi="Arial"/>
                  <w:sz w:val="17"/>
                  <w:szCs w:val="17"/>
                  <w:color w:val="auto"/>
                  <w:w w:val="93"/>
                </w:rPr>
                <w:t>F-3</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3">
              <w:r>
                <w:rPr>
                  <w:rFonts w:ascii="Arial" w:cs="Arial" w:eastAsia="Arial" w:hAnsi="Arial"/>
                  <w:sz w:val="17"/>
                  <w:szCs w:val="17"/>
                  <w:u w:val="single" w:color="auto"/>
                  <w:color w:val="0000EE"/>
                </w:rPr>
                <w:t>Notes to Balance Sheet</w:t>
              </w:r>
            </w:hyperlink>
          </w:p>
        </w:tc>
        <w:tc>
          <w:tcPr>
            <w:tcW w:w="840" w:type="dxa"/>
            <w:vAlign w:val="bottom"/>
          </w:tcPr>
          <w:p>
            <w:pPr>
              <w:jc w:val="center"/>
              <w:ind w:left="433"/>
              <w:spacing w:after="0"/>
              <w:rPr>
                <w:rFonts w:ascii="Arial" w:cs="Arial" w:eastAsia="Arial" w:hAnsi="Arial"/>
                <w:sz w:val="17"/>
                <w:szCs w:val="17"/>
                <w:color w:val="auto"/>
                <w:w w:val="93"/>
              </w:rPr>
            </w:pPr>
            <w:hyperlink w:anchor="page243">
              <w:r>
                <w:rPr>
                  <w:rFonts w:ascii="Arial" w:cs="Arial" w:eastAsia="Arial" w:hAnsi="Arial"/>
                  <w:sz w:val="17"/>
                  <w:szCs w:val="17"/>
                  <w:color w:val="auto"/>
                  <w:w w:val="93"/>
                </w:rPr>
                <w:t>F-4</w:t>
              </w:r>
            </w:hyperlink>
          </w:p>
        </w:tc>
      </w:tr>
      <w:tr>
        <w:trPr>
          <w:trHeight w:val="550"/>
        </w:trPr>
        <w:tc>
          <w:tcPr>
            <w:tcW w:w="10160" w:type="dxa"/>
            <w:vAlign w:val="bottom"/>
            <w:gridSpan w:val="3"/>
          </w:tcPr>
          <w:p>
            <w:pPr>
              <w:spacing w:after="0"/>
              <w:rPr>
                <w:sz w:val="20"/>
                <w:szCs w:val="20"/>
                <w:color w:val="auto"/>
              </w:rPr>
            </w:pPr>
            <w:r>
              <w:rPr>
                <w:rFonts w:ascii="Arial" w:cs="Arial" w:eastAsia="Arial" w:hAnsi="Arial"/>
                <w:sz w:val="17"/>
                <w:szCs w:val="17"/>
                <w:b w:val="1"/>
                <w:bCs w:val="1"/>
                <w:color w:val="auto"/>
              </w:rPr>
              <w:t>Unaudited Balance Sheet of ZoomInfo Technologies Inc.</w:t>
            </w:r>
          </w:p>
        </w:tc>
        <w:tc>
          <w:tcPr>
            <w:tcW w:w="840" w:type="dxa"/>
            <w:vAlign w:val="bottom"/>
          </w:tcPr>
          <w:p>
            <w:pPr>
              <w:spacing w:after="0"/>
              <w:rPr>
                <w:sz w:val="24"/>
                <w:szCs w:val="24"/>
                <w:color w:val="auto"/>
              </w:rPr>
            </w:pPr>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4">
              <w:r>
                <w:rPr>
                  <w:rFonts w:ascii="Arial" w:cs="Arial" w:eastAsia="Arial" w:hAnsi="Arial"/>
                  <w:sz w:val="17"/>
                  <w:szCs w:val="17"/>
                  <w:u w:val="single" w:color="auto"/>
                  <w:color w:val="0000EE"/>
                </w:rPr>
                <w:t>Balance Sheets as of March 31, 2020 and December 31, 2019</w:t>
              </w:r>
            </w:hyperlink>
          </w:p>
        </w:tc>
        <w:tc>
          <w:tcPr>
            <w:tcW w:w="840" w:type="dxa"/>
            <w:vAlign w:val="bottom"/>
          </w:tcPr>
          <w:p>
            <w:pPr>
              <w:jc w:val="center"/>
              <w:ind w:left="433"/>
              <w:spacing w:after="0"/>
              <w:rPr>
                <w:rFonts w:ascii="Arial" w:cs="Arial" w:eastAsia="Arial" w:hAnsi="Arial"/>
                <w:sz w:val="17"/>
                <w:szCs w:val="17"/>
                <w:color w:val="auto"/>
                <w:w w:val="93"/>
              </w:rPr>
            </w:pPr>
            <w:hyperlink w:anchor="page244">
              <w:r>
                <w:rPr>
                  <w:rFonts w:ascii="Arial" w:cs="Arial" w:eastAsia="Arial" w:hAnsi="Arial"/>
                  <w:sz w:val="17"/>
                  <w:szCs w:val="17"/>
                  <w:color w:val="auto"/>
                  <w:w w:val="93"/>
                </w:rPr>
                <w:t>F-5</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5">
              <w:r>
                <w:rPr>
                  <w:rFonts w:ascii="Arial" w:cs="Arial" w:eastAsia="Arial" w:hAnsi="Arial"/>
                  <w:sz w:val="17"/>
                  <w:szCs w:val="17"/>
                  <w:u w:val="single" w:color="auto"/>
                  <w:color w:val="0000EE"/>
                </w:rPr>
                <w:t>Notes to Balance Sheet</w:t>
              </w:r>
            </w:hyperlink>
          </w:p>
        </w:tc>
        <w:tc>
          <w:tcPr>
            <w:tcW w:w="840" w:type="dxa"/>
            <w:vAlign w:val="bottom"/>
          </w:tcPr>
          <w:p>
            <w:pPr>
              <w:jc w:val="center"/>
              <w:ind w:left="433"/>
              <w:spacing w:after="0"/>
              <w:rPr>
                <w:rFonts w:ascii="Arial" w:cs="Arial" w:eastAsia="Arial" w:hAnsi="Arial"/>
                <w:sz w:val="17"/>
                <w:szCs w:val="17"/>
                <w:color w:val="auto"/>
                <w:w w:val="93"/>
              </w:rPr>
            </w:pPr>
            <w:hyperlink w:anchor="page245">
              <w:r>
                <w:rPr>
                  <w:rFonts w:ascii="Arial" w:cs="Arial" w:eastAsia="Arial" w:hAnsi="Arial"/>
                  <w:sz w:val="17"/>
                  <w:szCs w:val="17"/>
                  <w:color w:val="auto"/>
                  <w:w w:val="93"/>
                </w:rPr>
                <w:t>F-6</w:t>
              </w:r>
            </w:hyperlink>
          </w:p>
        </w:tc>
      </w:tr>
      <w:tr>
        <w:trPr>
          <w:trHeight w:val="550"/>
        </w:trPr>
        <w:tc>
          <w:tcPr>
            <w:tcW w:w="10160" w:type="dxa"/>
            <w:vAlign w:val="bottom"/>
            <w:gridSpan w:val="3"/>
          </w:tcPr>
          <w:p>
            <w:pPr>
              <w:spacing w:after="0"/>
              <w:rPr>
                <w:sz w:val="20"/>
                <w:szCs w:val="20"/>
                <w:color w:val="auto"/>
              </w:rPr>
            </w:pPr>
            <w:r>
              <w:rPr>
                <w:rFonts w:ascii="Arial" w:cs="Arial" w:eastAsia="Arial" w:hAnsi="Arial"/>
                <w:sz w:val="17"/>
                <w:szCs w:val="17"/>
                <w:b w:val="1"/>
                <w:bCs w:val="1"/>
                <w:color w:val="auto"/>
              </w:rPr>
              <w:t>Audited Consolidated Financial Statements of DiscoverOrg Holdings, LLC (“ZoomInfo OpCo”) and Subsidiaries</w:t>
            </w:r>
          </w:p>
        </w:tc>
        <w:tc>
          <w:tcPr>
            <w:tcW w:w="840" w:type="dxa"/>
            <w:vAlign w:val="bottom"/>
          </w:tcPr>
          <w:p>
            <w:pPr>
              <w:spacing w:after="0"/>
              <w:rPr>
                <w:sz w:val="24"/>
                <w:szCs w:val="24"/>
                <w:color w:val="auto"/>
              </w:rPr>
            </w:pPr>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6">
              <w:r>
                <w:rPr>
                  <w:rFonts w:ascii="Arial" w:cs="Arial" w:eastAsia="Arial" w:hAnsi="Arial"/>
                  <w:sz w:val="17"/>
                  <w:szCs w:val="17"/>
                  <w:u w:val="single" w:color="auto"/>
                  <w:color w:val="0000EE"/>
                </w:rPr>
                <w:t>Report of Independent Registered Public Accounting Firm</w:t>
              </w:r>
            </w:hyperlink>
          </w:p>
        </w:tc>
        <w:tc>
          <w:tcPr>
            <w:tcW w:w="840" w:type="dxa"/>
            <w:vAlign w:val="bottom"/>
          </w:tcPr>
          <w:p>
            <w:pPr>
              <w:jc w:val="center"/>
              <w:ind w:left="433"/>
              <w:spacing w:after="0"/>
              <w:rPr>
                <w:rFonts w:ascii="Arial" w:cs="Arial" w:eastAsia="Arial" w:hAnsi="Arial"/>
                <w:sz w:val="17"/>
                <w:szCs w:val="17"/>
                <w:color w:val="auto"/>
                <w:w w:val="93"/>
              </w:rPr>
            </w:pPr>
            <w:hyperlink w:anchor="page246">
              <w:r>
                <w:rPr>
                  <w:rFonts w:ascii="Arial" w:cs="Arial" w:eastAsia="Arial" w:hAnsi="Arial"/>
                  <w:sz w:val="17"/>
                  <w:szCs w:val="17"/>
                  <w:color w:val="auto"/>
                  <w:w w:val="93"/>
                </w:rPr>
                <w:t>F-7</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7">
              <w:r>
                <w:rPr>
                  <w:rFonts w:ascii="Arial" w:cs="Arial" w:eastAsia="Arial" w:hAnsi="Arial"/>
                  <w:sz w:val="17"/>
                  <w:szCs w:val="17"/>
                  <w:u w:val="single" w:color="auto"/>
                  <w:color w:val="0000EE"/>
                </w:rPr>
                <w:t>Consolidated Balance Sheets as of December 31, 2019 and December 31, 2018</w:t>
              </w:r>
            </w:hyperlink>
          </w:p>
        </w:tc>
        <w:tc>
          <w:tcPr>
            <w:tcW w:w="840" w:type="dxa"/>
            <w:vAlign w:val="bottom"/>
          </w:tcPr>
          <w:p>
            <w:pPr>
              <w:jc w:val="center"/>
              <w:ind w:left="433"/>
              <w:spacing w:after="0"/>
              <w:rPr>
                <w:rFonts w:ascii="Arial" w:cs="Arial" w:eastAsia="Arial" w:hAnsi="Arial"/>
                <w:sz w:val="17"/>
                <w:szCs w:val="17"/>
                <w:color w:val="auto"/>
                <w:w w:val="93"/>
              </w:rPr>
            </w:pPr>
            <w:hyperlink w:anchor="page247">
              <w:r>
                <w:rPr>
                  <w:rFonts w:ascii="Arial" w:cs="Arial" w:eastAsia="Arial" w:hAnsi="Arial"/>
                  <w:sz w:val="17"/>
                  <w:szCs w:val="17"/>
                  <w:color w:val="auto"/>
                  <w:w w:val="93"/>
                </w:rPr>
                <w:t>F-8</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8">
              <w:r>
                <w:rPr>
                  <w:rFonts w:ascii="Arial" w:cs="Arial" w:eastAsia="Arial" w:hAnsi="Arial"/>
                  <w:sz w:val="17"/>
                  <w:szCs w:val="17"/>
                  <w:u w:val="single" w:color="auto"/>
                  <w:color w:val="0000EE"/>
                </w:rPr>
                <w:t>Consolidated Statements of Operations for the Years Ended December 31, 2019 and December 31, 2018</w:t>
              </w:r>
            </w:hyperlink>
          </w:p>
        </w:tc>
        <w:tc>
          <w:tcPr>
            <w:tcW w:w="840" w:type="dxa"/>
            <w:vAlign w:val="bottom"/>
          </w:tcPr>
          <w:p>
            <w:pPr>
              <w:jc w:val="center"/>
              <w:ind w:left="433"/>
              <w:spacing w:after="0"/>
              <w:rPr>
                <w:rFonts w:ascii="Arial" w:cs="Arial" w:eastAsia="Arial" w:hAnsi="Arial"/>
                <w:sz w:val="17"/>
                <w:szCs w:val="17"/>
                <w:color w:val="auto"/>
                <w:w w:val="93"/>
              </w:rPr>
            </w:pPr>
            <w:hyperlink w:anchor="page248">
              <w:r>
                <w:rPr>
                  <w:rFonts w:ascii="Arial" w:cs="Arial" w:eastAsia="Arial" w:hAnsi="Arial"/>
                  <w:sz w:val="17"/>
                  <w:szCs w:val="17"/>
                  <w:color w:val="auto"/>
                  <w:w w:val="93"/>
                </w:rPr>
                <w:t>F-9</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49">
              <w:r>
                <w:rPr>
                  <w:rFonts w:ascii="Arial" w:cs="Arial" w:eastAsia="Arial" w:hAnsi="Arial"/>
                  <w:sz w:val="17"/>
                  <w:szCs w:val="17"/>
                  <w:u w:val="single" w:color="auto"/>
                  <w:color w:val="0000EE"/>
                </w:rPr>
                <w:t>Consolidated Statements of Comprehensive Loss for the Years Ended December 31, 2019 and December 31, 2018</w:t>
              </w:r>
            </w:hyperlink>
          </w:p>
        </w:tc>
        <w:tc>
          <w:tcPr>
            <w:tcW w:w="840" w:type="dxa"/>
            <w:vAlign w:val="bottom"/>
          </w:tcPr>
          <w:p>
            <w:pPr>
              <w:jc w:val="center"/>
              <w:ind w:left="433"/>
              <w:spacing w:after="0"/>
              <w:rPr>
                <w:rFonts w:ascii="Arial" w:cs="Arial" w:eastAsia="Arial" w:hAnsi="Arial"/>
                <w:sz w:val="17"/>
                <w:szCs w:val="17"/>
                <w:color w:val="auto"/>
                <w:w w:val="91"/>
              </w:rPr>
            </w:pPr>
            <w:hyperlink w:anchor="page249">
              <w:r>
                <w:rPr>
                  <w:rFonts w:ascii="Arial" w:cs="Arial" w:eastAsia="Arial" w:hAnsi="Arial"/>
                  <w:sz w:val="17"/>
                  <w:szCs w:val="17"/>
                  <w:color w:val="auto"/>
                  <w:w w:val="91"/>
                </w:rPr>
                <w:t>F-10</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50">
              <w:r>
                <w:rPr>
                  <w:rFonts w:ascii="Arial" w:cs="Arial" w:eastAsia="Arial" w:hAnsi="Arial"/>
                  <w:sz w:val="17"/>
                  <w:szCs w:val="17"/>
                  <w:u w:val="single" w:color="auto"/>
                  <w:color w:val="0000EE"/>
                </w:rPr>
                <w:t>Consolidated Statements of Changes in Members’ Deficit for the Years Ended December 31, 2019 and December 31, 2018</w:t>
              </w:r>
            </w:hyperlink>
          </w:p>
        </w:tc>
        <w:tc>
          <w:tcPr>
            <w:tcW w:w="840" w:type="dxa"/>
            <w:vAlign w:val="bottom"/>
          </w:tcPr>
          <w:p>
            <w:pPr>
              <w:jc w:val="center"/>
              <w:ind w:left="433"/>
              <w:spacing w:after="0"/>
              <w:rPr>
                <w:rFonts w:ascii="Arial" w:cs="Arial" w:eastAsia="Arial" w:hAnsi="Arial"/>
                <w:sz w:val="17"/>
                <w:szCs w:val="17"/>
                <w:color w:val="auto"/>
                <w:w w:val="91"/>
              </w:rPr>
            </w:pPr>
            <w:hyperlink w:anchor="page250">
              <w:r>
                <w:rPr>
                  <w:rFonts w:ascii="Arial" w:cs="Arial" w:eastAsia="Arial" w:hAnsi="Arial"/>
                  <w:sz w:val="17"/>
                  <w:szCs w:val="17"/>
                  <w:color w:val="auto"/>
                  <w:w w:val="91"/>
                </w:rPr>
                <w:t>F-11</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51">
              <w:r>
                <w:rPr>
                  <w:rFonts w:ascii="Arial" w:cs="Arial" w:eastAsia="Arial" w:hAnsi="Arial"/>
                  <w:sz w:val="17"/>
                  <w:szCs w:val="17"/>
                  <w:u w:val="single" w:color="auto"/>
                  <w:color w:val="0000EE"/>
                </w:rPr>
                <w:t>Consolidated Statements of Cash Flows for the Years Ended December 31, 2019 and December 31, 2018</w:t>
              </w:r>
            </w:hyperlink>
          </w:p>
        </w:tc>
        <w:tc>
          <w:tcPr>
            <w:tcW w:w="840" w:type="dxa"/>
            <w:vAlign w:val="bottom"/>
          </w:tcPr>
          <w:p>
            <w:pPr>
              <w:jc w:val="center"/>
              <w:ind w:left="433"/>
              <w:spacing w:after="0"/>
              <w:rPr>
                <w:rFonts w:ascii="Arial" w:cs="Arial" w:eastAsia="Arial" w:hAnsi="Arial"/>
                <w:sz w:val="17"/>
                <w:szCs w:val="17"/>
                <w:color w:val="auto"/>
                <w:w w:val="91"/>
              </w:rPr>
            </w:pPr>
            <w:hyperlink w:anchor="page251">
              <w:r>
                <w:rPr>
                  <w:rFonts w:ascii="Arial" w:cs="Arial" w:eastAsia="Arial" w:hAnsi="Arial"/>
                  <w:sz w:val="17"/>
                  <w:szCs w:val="17"/>
                  <w:color w:val="auto"/>
                  <w:w w:val="91"/>
                </w:rPr>
                <w:t>F-12</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52">
              <w:r>
                <w:rPr>
                  <w:rFonts w:ascii="Arial" w:cs="Arial" w:eastAsia="Arial" w:hAnsi="Arial"/>
                  <w:sz w:val="17"/>
                  <w:szCs w:val="17"/>
                  <w:u w:val="single" w:color="auto"/>
                  <w:color w:val="0000EE"/>
                </w:rPr>
                <w:t>Notes to Consolidated Financial Statements</w:t>
              </w:r>
            </w:hyperlink>
          </w:p>
        </w:tc>
        <w:tc>
          <w:tcPr>
            <w:tcW w:w="840" w:type="dxa"/>
            <w:vAlign w:val="bottom"/>
          </w:tcPr>
          <w:p>
            <w:pPr>
              <w:jc w:val="center"/>
              <w:ind w:left="433"/>
              <w:spacing w:after="0"/>
              <w:rPr>
                <w:rFonts w:ascii="Arial" w:cs="Arial" w:eastAsia="Arial" w:hAnsi="Arial"/>
                <w:sz w:val="17"/>
                <w:szCs w:val="17"/>
                <w:color w:val="auto"/>
                <w:w w:val="91"/>
              </w:rPr>
            </w:pPr>
            <w:hyperlink w:anchor="page252">
              <w:r>
                <w:rPr>
                  <w:rFonts w:ascii="Arial" w:cs="Arial" w:eastAsia="Arial" w:hAnsi="Arial"/>
                  <w:sz w:val="17"/>
                  <w:szCs w:val="17"/>
                  <w:color w:val="auto"/>
                  <w:w w:val="91"/>
                </w:rPr>
                <w:t>F-13</w:t>
              </w:r>
            </w:hyperlink>
          </w:p>
        </w:tc>
      </w:tr>
      <w:tr>
        <w:trPr>
          <w:trHeight w:val="550"/>
        </w:trPr>
        <w:tc>
          <w:tcPr>
            <w:tcW w:w="10160" w:type="dxa"/>
            <w:vAlign w:val="bottom"/>
            <w:gridSpan w:val="3"/>
          </w:tcPr>
          <w:p>
            <w:pPr>
              <w:spacing w:after="0"/>
              <w:rPr>
                <w:sz w:val="20"/>
                <w:szCs w:val="20"/>
                <w:color w:val="auto"/>
              </w:rPr>
            </w:pPr>
            <w:r>
              <w:rPr>
                <w:rFonts w:ascii="Arial" w:cs="Arial" w:eastAsia="Arial" w:hAnsi="Arial"/>
                <w:sz w:val="17"/>
                <w:szCs w:val="17"/>
                <w:b w:val="1"/>
                <w:bCs w:val="1"/>
                <w:color w:val="auto"/>
              </w:rPr>
              <w:t>Unaudited Consolidated Financial Statements of ZoomInfo Holdings LLC (“ZoomInfo OpCo”) and Subsidiaries</w:t>
            </w:r>
          </w:p>
        </w:tc>
        <w:tc>
          <w:tcPr>
            <w:tcW w:w="840" w:type="dxa"/>
            <w:vAlign w:val="bottom"/>
          </w:tcPr>
          <w:p>
            <w:pPr>
              <w:spacing w:after="0"/>
              <w:rPr>
                <w:sz w:val="24"/>
                <w:szCs w:val="24"/>
                <w:color w:val="auto"/>
              </w:rPr>
            </w:pPr>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83">
              <w:r>
                <w:rPr>
                  <w:rFonts w:ascii="Arial" w:cs="Arial" w:eastAsia="Arial" w:hAnsi="Arial"/>
                  <w:sz w:val="17"/>
                  <w:szCs w:val="17"/>
                  <w:u w:val="single" w:color="auto"/>
                  <w:color w:val="0000EE"/>
                </w:rPr>
                <w:t>Consolidated Balance Sheets as of March 31, 2020 and December 31, 2019</w:t>
              </w:r>
            </w:hyperlink>
          </w:p>
        </w:tc>
        <w:tc>
          <w:tcPr>
            <w:tcW w:w="840" w:type="dxa"/>
            <w:vAlign w:val="bottom"/>
          </w:tcPr>
          <w:p>
            <w:pPr>
              <w:ind w:left="480"/>
              <w:spacing w:after="0"/>
              <w:rPr>
                <w:rFonts w:ascii="Arial" w:cs="Arial" w:eastAsia="Arial" w:hAnsi="Arial"/>
                <w:sz w:val="17"/>
                <w:szCs w:val="17"/>
                <w:color w:val="auto"/>
                <w:w w:val="97"/>
              </w:rPr>
            </w:pPr>
            <w:hyperlink w:anchor="page283">
              <w:r>
                <w:rPr>
                  <w:rFonts w:ascii="Arial" w:cs="Arial" w:eastAsia="Arial" w:hAnsi="Arial"/>
                  <w:sz w:val="17"/>
                  <w:szCs w:val="17"/>
                  <w:color w:val="auto"/>
                  <w:w w:val="97"/>
                </w:rPr>
                <w:t>F-44</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84">
              <w:r>
                <w:rPr>
                  <w:rFonts w:ascii="Arial" w:cs="Arial" w:eastAsia="Arial" w:hAnsi="Arial"/>
                  <w:sz w:val="17"/>
                  <w:szCs w:val="17"/>
                  <w:u w:val="single" w:color="auto"/>
                  <w:color w:val="0000EE"/>
                </w:rPr>
                <w:t>Consolidated Statements of Operations for the Three Months Ended March 31, 2020 and March 31, 2019</w:t>
              </w:r>
            </w:hyperlink>
          </w:p>
        </w:tc>
        <w:tc>
          <w:tcPr>
            <w:tcW w:w="840" w:type="dxa"/>
            <w:vAlign w:val="bottom"/>
          </w:tcPr>
          <w:p>
            <w:pPr>
              <w:ind w:left="480"/>
              <w:spacing w:after="0"/>
              <w:rPr>
                <w:rFonts w:ascii="Arial" w:cs="Arial" w:eastAsia="Arial" w:hAnsi="Arial"/>
                <w:sz w:val="17"/>
                <w:szCs w:val="17"/>
                <w:color w:val="auto"/>
                <w:w w:val="97"/>
              </w:rPr>
            </w:pPr>
            <w:hyperlink w:anchor="page284">
              <w:r>
                <w:rPr>
                  <w:rFonts w:ascii="Arial" w:cs="Arial" w:eastAsia="Arial" w:hAnsi="Arial"/>
                  <w:sz w:val="17"/>
                  <w:szCs w:val="17"/>
                  <w:color w:val="auto"/>
                  <w:w w:val="97"/>
                </w:rPr>
                <w:t>F-45</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85">
              <w:r>
                <w:rPr>
                  <w:rFonts w:ascii="Arial" w:cs="Arial" w:eastAsia="Arial" w:hAnsi="Arial"/>
                  <w:sz w:val="17"/>
                  <w:szCs w:val="17"/>
                  <w:u w:val="single" w:color="auto"/>
                  <w:color w:val="0000EE"/>
                </w:rPr>
                <w:t>Consolidated Statements of Comprehensive Loss for the Three Months Ended March 31, 2020 and March 31, 2019</w:t>
              </w:r>
            </w:hyperlink>
          </w:p>
        </w:tc>
        <w:tc>
          <w:tcPr>
            <w:tcW w:w="840" w:type="dxa"/>
            <w:vAlign w:val="bottom"/>
          </w:tcPr>
          <w:p>
            <w:pPr>
              <w:ind w:left="480"/>
              <w:spacing w:after="0"/>
              <w:rPr>
                <w:rFonts w:ascii="Arial" w:cs="Arial" w:eastAsia="Arial" w:hAnsi="Arial"/>
                <w:sz w:val="17"/>
                <w:szCs w:val="17"/>
                <w:color w:val="auto"/>
                <w:w w:val="97"/>
              </w:rPr>
            </w:pPr>
            <w:hyperlink w:anchor="page285">
              <w:r>
                <w:rPr>
                  <w:rFonts w:ascii="Arial" w:cs="Arial" w:eastAsia="Arial" w:hAnsi="Arial"/>
                  <w:sz w:val="17"/>
                  <w:szCs w:val="17"/>
                  <w:color w:val="auto"/>
                  <w:w w:val="97"/>
                </w:rPr>
                <w:t>F-46</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86">
              <w:r>
                <w:rPr>
                  <w:rFonts w:ascii="Arial" w:cs="Arial" w:eastAsia="Arial" w:hAnsi="Arial"/>
                  <w:sz w:val="17"/>
                  <w:szCs w:val="17"/>
                  <w:u w:val="single" w:color="auto"/>
                  <w:color w:val="0000EE"/>
                </w:rPr>
                <w:t>Consolidated Statements of Changes in Members’ Deficit for the Three Months Ended March 31, 2020 and March 31, 2019</w:t>
              </w:r>
            </w:hyperlink>
          </w:p>
        </w:tc>
        <w:tc>
          <w:tcPr>
            <w:tcW w:w="840" w:type="dxa"/>
            <w:vAlign w:val="bottom"/>
          </w:tcPr>
          <w:p>
            <w:pPr>
              <w:ind w:left="480"/>
              <w:spacing w:after="0"/>
              <w:rPr>
                <w:rFonts w:ascii="Arial" w:cs="Arial" w:eastAsia="Arial" w:hAnsi="Arial"/>
                <w:sz w:val="17"/>
                <w:szCs w:val="17"/>
                <w:color w:val="auto"/>
                <w:w w:val="97"/>
              </w:rPr>
            </w:pPr>
            <w:hyperlink w:anchor="page286">
              <w:r>
                <w:rPr>
                  <w:rFonts w:ascii="Arial" w:cs="Arial" w:eastAsia="Arial" w:hAnsi="Arial"/>
                  <w:sz w:val="17"/>
                  <w:szCs w:val="17"/>
                  <w:color w:val="auto"/>
                  <w:w w:val="97"/>
                </w:rPr>
                <w:t>F-47</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87">
              <w:r>
                <w:rPr>
                  <w:rFonts w:ascii="Arial" w:cs="Arial" w:eastAsia="Arial" w:hAnsi="Arial"/>
                  <w:sz w:val="17"/>
                  <w:szCs w:val="17"/>
                  <w:u w:val="single" w:color="auto"/>
                  <w:color w:val="0000EE"/>
                </w:rPr>
                <w:t>Consolidated Statements of Cash Flow for Three Months Ended March 31, 2020 and March 31, 2019</w:t>
              </w:r>
            </w:hyperlink>
          </w:p>
        </w:tc>
        <w:tc>
          <w:tcPr>
            <w:tcW w:w="840" w:type="dxa"/>
            <w:vAlign w:val="bottom"/>
          </w:tcPr>
          <w:p>
            <w:pPr>
              <w:ind w:left="480"/>
              <w:spacing w:after="0"/>
              <w:rPr>
                <w:rFonts w:ascii="Arial" w:cs="Arial" w:eastAsia="Arial" w:hAnsi="Arial"/>
                <w:sz w:val="17"/>
                <w:szCs w:val="17"/>
                <w:color w:val="auto"/>
                <w:w w:val="97"/>
              </w:rPr>
            </w:pPr>
            <w:hyperlink w:anchor="page287">
              <w:r>
                <w:rPr>
                  <w:rFonts w:ascii="Arial" w:cs="Arial" w:eastAsia="Arial" w:hAnsi="Arial"/>
                  <w:sz w:val="17"/>
                  <w:szCs w:val="17"/>
                  <w:color w:val="auto"/>
                  <w:w w:val="97"/>
                </w:rPr>
                <w:t>F-48</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288">
              <w:r>
                <w:rPr>
                  <w:rFonts w:ascii="Arial" w:cs="Arial" w:eastAsia="Arial" w:hAnsi="Arial"/>
                  <w:sz w:val="17"/>
                  <w:szCs w:val="17"/>
                  <w:u w:val="single" w:color="auto"/>
                  <w:color w:val="0000EE"/>
                </w:rPr>
                <w:t>Notes to Unaudited Consolidated Financial Statements</w:t>
              </w:r>
            </w:hyperlink>
          </w:p>
        </w:tc>
        <w:tc>
          <w:tcPr>
            <w:tcW w:w="840" w:type="dxa"/>
            <w:vAlign w:val="bottom"/>
          </w:tcPr>
          <w:p>
            <w:pPr>
              <w:ind w:left="480"/>
              <w:spacing w:after="0"/>
              <w:rPr>
                <w:rFonts w:ascii="Arial" w:cs="Arial" w:eastAsia="Arial" w:hAnsi="Arial"/>
                <w:sz w:val="17"/>
                <w:szCs w:val="17"/>
                <w:color w:val="auto"/>
                <w:w w:val="97"/>
              </w:rPr>
            </w:pPr>
            <w:hyperlink w:anchor="page288">
              <w:r>
                <w:rPr>
                  <w:rFonts w:ascii="Arial" w:cs="Arial" w:eastAsia="Arial" w:hAnsi="Arial"/>
                  <w:sz w:val="17"/>
                  <w:szCs w:val="17"/>
                  <w:color w:val="auto"/>
                  <w:w w:val="97"/>
                </w:rPr>
                <w:t>F-49</w:t>
              </w:r>
            </w:hyperlink>
          </w:p>
        </w:tc>
      </w:tr>
      <w:tr>
        <w:trPr>
          <w:trHeight w:val="550"/>
        </w:trPr>
        <w:tc>
          <w:tcPr>
            <w:tcW w:w="10160" w:type="dxa"/>
            <w:vAlign w:val="bottom"/>
            <w:gridSpan w:val="3"/>
          </w:tcPr>
          <w:p>
            <w:pPr>
              <w:spacing w:after="0"/>
              <w:rPr>
                <w:sz w:val="20"/>
                <w:szCs w:val="20"/>
                <w:color w:val="auto"/>
              </w:rPr>
            </w:pPr>
            <w:r>
              <w:rPr>
                <w:rFonts w:ascii="Arial" w:cs="Arial" w:eastAsia="Arial" w:hAnsi="Arial"/>
                <w:sz w:val="17"/>
                <w:szCs w:val="17"/>
                <w:b w:val="1"/>
                <w:bCs w:val="1"/>
                <w:color w:val="auto"/>
              </w:rPr>
              <w:t>Audited Consolidated Financial Statements of Zoom Information, Inc. (“Pre-Acquisition ZI”) and Subsidiaries</w:t>
            </w:r>
          </w:p>
        </w:tc>
        <w:tc>
          <w:tcPr>
            <w:tcW w:w="840" w:type="dxa"/>
            <w:vAlign w:val="bottom"/>
          </w:tcPr>
          <w:p>
            <w:pPr>
              <w:spacing w:after="0"/>
              <w:rPr>
                <w:sz w:val="24"/>
                <w:szCs w:val="24"/>
                <w:color w:val="auto"/>
              </w:rPr>
            </w:pPr>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310">
              <w:r>
                <w:rPr>
                  <w:rFonts w:ascii="Arial" w:cs="Arial" w:eastAsia="Arial" w:hAnsi="Arial"/>
                  <w:sz w:val="17"/>
                  <w:szCs w:val="17"/>
                  <w:u w:val="single" w:color="auto"/>
                  <w:color w:val="0000EE"/>
                </w:rPr>
                <w:t>Report of Independent Registered Public Accounting Firm</w:t>
              </w:r>
            </w:hyperlink>
          </w:p>
        </w:tc>
        <w:tc>
          <w:tcPr>
            <w:tcW w:w="840" w:type="dxa"/>
            <w:vAlign w:val="bottom"/>
          </w:tcPr>
          <w:p>
            <w:pPr>
              <w:jc w:val="center"/>
              <w:ind w:left="433"/>
              <w:spacing w:after="0"/>
              <w:rPr>
                <w:rFonts w:ascii="Arial" w:cs="Arial" w:eastAsia="Arial" w:hAnsi="Arial"/>
                <w:sz w:val="17"/>
                <w:szCs w:val="17"/>
                <w:color w:val="auto"/>
                <w:w w:val="91"/>
              </w:rPr>
            </w:pPr>
            <w:hyperlink w:anchor="page310">
              <w:r>
                <w:rPr>
                  <w:rFonts w:ascii="Arial" w:cs="Arial" w:eastAsia="Arial" w:hAnsi="Arial"/>
                  <w:sz w:val="17"/>
                  <w:szCs w:val="17"/>
                  <w:color w:val="auto"/>
                  <w:w w:val="91"/>
                </w:rPr>
                <w:t>F-71</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311">
              <w:r>
                <w:rPr>
                  <w:rFonts w:ascii="Arial" w:cs="Arial" w:eastAsia="Arial" w:hAnsi="Arial"/>
                  <w:sz w:val="17"/>
                  <w:szCs w:val="17"/>
                  <w:u w:val="single" w:color="auto"/>
                  <w:color w:val="0000EE"/>
                </w:rPr>
                <w:t>Consolidated Balance Sheets as of January 31, 2019 and December 31, 2018</w:t>
              </w:r>
            </w:hyperlink>
          </w:p>
        </w:tc>
        <w:tc>
          <w:tcPr>
            <w:tcW w:w="840" w:type="dxa"/>
            <w:vAlign w:val="bottom"/>
          </w:tcPr>
          <w:p>
            <w:pPr>
              <w:jc w:val="center"/>
              <w:ind w:left="433"/>
              <w:spacing w:after="0"/>
              <w:rPr>
                <w:rFonts w:ascii="Arial" w:cs="Arial" w:eastAsia="Arial" w:hAnsi="Arial"/>
                <w:sz w:val="17"/>
                <w:szCs w:val="17"/>
                <w:color w:val="auto"/>
                <w:w w:val="91"/>
              </w:rPr>
            </w:pPr>
            <w:hyperlink w:anchor="page311">
              <w:r>
                <w:rPr>
                  <w:rFonts w:ascii="Arial" w:cs="Arial" w:eastAsia="Arial" w:hAnsi="Arial"/>
                  <w:sz w:val="17"/>
                  <w:szCs w:val="17"/>
                  <w:color w:val="auto"/>
                  <w:w w:val="91"/>
                </w:rPr>
                <w:t>F-72</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w w:val="93"/>
              </w:rPr>
            </w:pPr>
            <w:hyperlink w:anchor="page312">
              <w:r>
                <w:rPr>
                  <w:rFonts w:ascii="Arial" w:cs="Arial" w:eastAsia="Arial" w:hAnsi="Arial"/>
                  <w:sz w:val="17"/>
                  <w:szCs w:val="17"/>
                  <w:u w:val="single" w:color="auto"/>
                  <w:color w:val="0000EE"/>
                  <w:w w:val="93"/>
                </w:rPr>
                <w:t>Consolidated Statements of Operations for the Period from January 1, 2019 Through January 31, 2019 and the Year Ended December 31, 2018</w:t>
              </w:r>
            </w:hyperlink>
          </w:p>
        </w:tc>
        <w:tc>
          <w:tcPr>
            <w:tcW w:w="840" w:type="dxa"/>
            <w:vAlign w:val="bottom"/>
          </w:tcPr>
          <w:p>
            <w:pPr>
              <w:jc w:val="center"/>
              <w:ind w:left="433"/>
              <w:spacing w:after="0"/>
              <w:rPr>
                <w:rFonts w:ascii="Arial" w:cs="Arial" w:eastAsia="Arial" w:hAnsi="Arial"/>
                <w:sz w:val="17"/>
                <w:szCs w:val="17"/>
                <w:color w:val="auto"/>
                <w:w w:val="91"/>
              </w:rPr>
            </w:pPr>
            <w:hyperlink w:anchor="page312">
              <w:r>
                <w:rPr>
                  <w:rFonts w:ascii="Arial" w:cs="Arial" w:eastAsia="Arial" w:hAnsi="Arial"/>
                  <w:sz w:val="17"/>
                  <w:szCs w:val="17"/>
                  <w:color w:val="auto"/>
                  <w:w w:val="91"/>
                </w:rPr>
                <w:t>F-73</w:t>
              </w:r>
            </w:hyperlink>
          </w:p>
        </w:tc>
      </w:tr>
      <w:tr>
        <w:trPr>
          <w:trHeight w:val="223"/>
        </w:trPr>
        <w:tc>
          <w:tcPr>
            <w:tcW w:w="1016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313">
              <w:r>
                <w:rPr>
                  <w:rFonts w:ascii="Arial" w:cs="Arial" w:eastAsia="Arial" w:hAnsi="Arial"/>
                  <w:sz w:val="17"/>
                  <w:szCs w:val="17"/>
                  <w:color w:val="0000EE"/>
                  <w:w w:val="92"/>
                </w:rPr>
                <w:t>Consolidated Statements of Convertible Preferred Stock and Stockholders’ Equity for the Period from January 1, 2019 Through January 31, 2019</w:t>
              </w:r>
            </w:hyperlink>
          </w:p>
        </w:tc>
        <w:tc>
          <w:tcPr>
            <w:tcW w:w="840" w:type="dxa"/>
            <w:vAlign w:val="bottom"/>
          </w:tcPr>
          <w:p>
            <w:pPr>
              <w:spacing w:after="0"/>
              <w:rPr>
                <w:sz w:val="19"/>
                <w:szCs w:val="19"/>
                <w:color w:val="auto"/>
              </w:rPr>
            </w:pPr>
          </w:p>
        </w:tc>
      </w:tr>
      <w:tr>
        <w:trPr>
          <w:trHeight w:val="190"/>
        </w:trPr>
        <w:tc>
          <w:tcPr>
            <w:tcW w:w="140" w:type="dxa"/>
            <w:vAlign w:val="bottom"/>
          </w:tcPr>
          <w:p>
            <w:pPr>
              <w:spacing w:after="0"/>
              <w:rPr>
                <w:sz w:val="16"/>
                <w:szCs w:val="16"/>
                <w:color w:val="auto"/>
              </w:rPr>
            </w:pPr>
          </w:p>
        </w:tc>
        <w:tc>
          <w:tcPr>
            <w:tcW w:w="10020" w:type="dxa"/>
            <w:vAlign w:val="bottom"/>
            <w:gridSpan w:val="2"/>
          </w:tcPr>
          <w:p>
            <w:pPr>
              <w:spacing w:after="0" w:line="189" w:lineRule="exact"/>
              <w:rPr>
                <w:rFonts w:ascii="Arial" w:cs="Arial" w:eastAsia="Arial" w:hAnsi="Arial"/>
                <w:sz w:val="17"/>
                <w:szCs w:val="17"/>
                <w:color w:val="0000EE"/>
              </w:rPr>
            </w:pPr>
            <w:hyperlink w:anchor="page313">
              <w:r>
                <w:rPr>
                  <w:rFonts w:ascii="Arial" w:cs="Arial" w:eastAsia="Arial" w:hAnsi="Arial"/>
                  <w:sz w:val="17"/>
                  <w:szCs w:val="17"/>
                  <w:color w:val="0000EE"/>
                </w:rPr>
                <w:t>and the Year Ended December 31, 2018</w:t>
              </w:r>
            </w:hyperlink>
          </w:p>
        </w:tc>
        <w:tc>
          <w:tcPr>
            <w:tcW w:w="840" w:type="dxa"/>
            <w:vAlign w:val="bottom"/>
          </w:tcPr>
          <w:p>
            <w:pPr>
              <w:jc w:val="center"/>
              <w:ind w:left="433"/>
              <w:spacing w:after="0" w:line="189" w:lineRule="exact"/>
              <w:rPr>
                <w:rFonts w:ascii="Arial" w:cs="Arial" w:eastAsia="Arial" w:hAnsi="Arial"/>
                <w:sz w:val="17"/>
                <w:szCs w:val="17"/>
                <w:color w:val="auto"/>
                <w:w w:val="91"/>
              </w:rPr>
            </w:pPr>
            <w:hyperlink w:anchor="page313">
              <w:r>
                <w:rPr>
                  <w:rFonts w:ascii="Arial" w:cs="Arial" w:eastAsia="Arial" w:hAnsi="Arial"/>
                  <w:sz w:val="17"/>
                  <w:szCs w:val="17"/>
                  <w:color w:val="auto"/>
                  <w:w w:val="91"/>
                </w:rPr>
                <w:t>F-74</w:t>
              </w:r>
            </w:hyperlink>
          </w:p>
        </w:tc>
      </w:tr>
      <w:tr>
        <w:trPr>
          <w:trHeight w:val="20"/>
        </w:trPr>
        <w:tc>
          <w:tcPr>
            <w:tcW w:w="1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81"/>
        </w:trPr>
        <w:tc>
          <w:tcPr>
            <w:tcW w:w="10160" w:type="dxa"/>
            <w:vAlign w:val="bottom"/>
            <w:gridSpan w:val="3"/>
          </w:tcPr>
          <w:p>
            <w:pPr>
              <w:spacing w:after="0"/>
              <w:rPr>
                <w:rFonts w:ascii="Arial" w:cs="Arial" w:eastAsia="Arial" w:hAnsi="Arial"/>
                <w:sz w:val="17"/>
                <w:szCs w:val="17"/>
                <w:u w:val="single" w:color="auto"/>
                <w:color w:val="0000EE"/>
                <w:w w:val="93"/>
              </w:rPr>
            </w:pPr>
            <w:hyperlink w:anchor="page314">
              <w:r>
                <w:rPr>
                  <w:rFonts w:ascii="Arial" w:cs="Arial" w:eastAsia="Arial" w:hAnsi="Arial"/>
                  <w:sz w:val="17"/>
                  <w:szCs w:val="17"/>
                  <w:u w:val="single" w:color="auto"/>
                  <w:color w:val="0000EE"/>
                  <w:w w:val="93"/>
                </w:rPr>
                <w:t>Consolidated Statements of Cash Flows for the Period from January 1, 2019 through January 31, 2019 and the Year Ended December 31, 2018</w:t>
              </w:r>
            </w:hyperlink>
          </w:p>
        </w:tc>
        <w:tc>
          <w:tcPr>
            <w:tcW w:w="840" w:type="dxa"/>
            <w:vAlign w:val="bottom"/>
          </w:tcPr>
          <w:p>
            <w:pPr>
              <w:jc w:val="center"/>
              <w:ind w:left="433"/>
              <w:spacing w:after="0"/>
              <w:rPr>
                <w:rFonts w:ascii="Arial" w:cs="Arial" w:eastAsia="Arial" w:hAnsi="Arial"/>
                <w:sz w:val="17"/>
                <w:szCs w:val="17"/>
                <w:color w:val="auto"/>
                <w:w w:val="91"/>
              </w:rPr>
            </w:pPr>
            <w:hyperlink w:anchor="page314">
              <w:r>
                <w:rPr>
                  <w:rFonts w:ascii="Arial" w:cs="Arial" w:eastAsia="Arial" w:hAnsi="Arial"/>
                  <w:sz w:val="17"/>
                  <w:szCs w:val="17"/>
                  <w:color w:val="auto"/>
                  <w:w w:val="91"/>
                </w:rPr>
                <w:t>F-75</w:t>
              </w:r>
            </w:hyperlink>
          </w:p>
        </w:tc>
      </w:tr>
      <w:tr>
        <w:trPr>
          <w:trHeight w:val="262"/>
        </w:trPr>
        <w:tc>
          <w:tcPr>
            <w:tcW w:w="10160" w:type="dxa"/>
            <w:vAlign w:val="bottom"/>
            <w:gridSpan w:val="3"/>
          </w:tcPr>
          <w:p>
            <w:pPr>
              <w:spacing w:after="0"/>
              <w:rPr>
                <w:rFonts w:ascii="Arial" w:cs="Arial" w:eastAsia="Arial" w:hAnsi="Arial"/>
                <w:sz w:val="17"/>
                <w:szCs w:val="17"/>
                <w:u w:val="single" w:color="auto"/>
                <w:color w:val="0000EE"/>
              </w:rPr>
            </w:pPr>
            <w:hyperlink w:anchor="page315">
              <w:r>
                <w:rPr>
                  <w:rFonts w:ascii="Arial" w:cs="Arial" w:eastAsia="Arial" w:hAnsi="Arial"/>
                  <w:sz w:val="17"/>
                  <w:szCs w:val="17"/>
                  <w:u w:val="single" w:color="auto"/>
                  <w:color w:val="0000EE"/>
                </w:rPr>
                <w:t>Notes to Consolidated Financial Statements</w:t>
              </w:r>
            </w:hyperlink>
          </w:p>
        </w:tc>
        <w:tc>
          <w:tcPr>
            <w:tcW w:w="840" w:type="dxa"/>
            <w:vAlign w:val="bottom"/>
          </w:tcPr>
          <w:p>
            <w:pPr>
              <w:jc w:val="center"/>
              <w:ind w:left="433"/>
              <w:spacing w:after="0"/>
              <w:rPr>
                <w:rFonts w:ascii="Arial" w:cs="Arial" w:eastAsia="Arial" w:hAnsi="Arial"/>
                <w:sz w:val="17"/>
                <w:szCs w:val="17"/>
                <w:color w:val="auto"/>
                <w:w w:val="91"/>
              </w:rPr>
            </w:pPr>
            <w:hyperlink w:anchor="page315">
              <w:r>
                <w:rPr>
                  <w:rFonts w:ascii="Arial" w:cs="Arial" w:eastAsia="Arial" w:hAnsi="Arial"/>
                  <w:sz w:val="17"/>
                  <w:szCs w:val="17"/>
                  <w:color w:val="auto"/>
                  <w:w w:val="91"/>
                </w:rPr>
                <w:t>F-76</w:t>
              </w:r>
            </w:hyperlink>
          </w:p>
        </w:tc>
      </w:tr>
      <w:tr>
        <w:trPr>
          <w:trHeight w:val="812"/>
        </w:trPr>
        <w:tc>
          <w:tcPr>
            <w:tcW w:w="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240" w:type="dxa"/>
            <w:vAlign w:val="bottom"/>
          </w:tcPr>
          <w:p>
            <w:pPr>
              <w:jc w:val="center"/>
              <w:ind w:right="1833"/>
              <w:spacing w:after="0"/>
              <w:rPr>
                <w:sz w:val="20"/>
                <w:szCs w:val="20"/>
                <w:color w:val="auto"/>
              </w:rPr>
            </w:pPr>
            <w:r>
              <w:rPr>
                <w:rFonts w:ascii="Arial" w:cs="Arial" w:eastAsia="Arial" w:hAnsi="Arial"/>
                <w:sz w:val="17"/>
                <w:szCs w:val="17"/>
                <w:color w:val="auto"/>
                <w:w w:val="93"/>
              </w:rPr>
              <w:t>F-1</w:t>
            </w:r>
          </w:p>
        </w:tc>
        <w:tc>
          <w:tcPr>
            <w:tcW w:w="840" w:type="dxa"/>
            <w:vAlign w:val="bottom"/>
          </w:tcPr>
          <w:p>
            <w:pPr>
              <w:spacing w:after="0"/>
              <w:rPr>
                <w:sz w:val="24"/>
                <w:szCs w:val="24"/>
                <w:color w:val="auto"/>
              </w:rPr>
            </w:pPr>
          </w:p>
        </w:tc>
      </w:tr>
    </w:tbl>
    <w:p>
      <w:pPr>
        <w:sectPr>
          <w:pgSz w:w="11900" w:h="16838" w:orient="portrait"/>
          <w:cols w:equalWidth="0" w:num="1">
            <w:col w:w="11000"/>
          </w:cols>
          <w:pgMar w:left="360" w:top="331" w:right="539" w:bottom="1440" w:gutter="0" w:footer="0" w:header="0"/>
        </w:sectPr>
      </w:pPr>
    </w:p>
    <w:bookmarkStart w:id="240" w:name="page241"/>
    <w:bookmarkEnd w:id="240"/>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ZoomInfo Technologies Inc.: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Financial Statements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balance sheets of ZoomInfo Technologies Inc. (the Company) as of December 31, 2019 and November 14, 2019, and the related notes (collectively, the financial statements). In our opinion, the financial statements present fairly, in all material respects, the financial position of the Company as of December 31, 2019 and November 14, 2019, in conformity with U.S. generally accepted accounting principles.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2020</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240"/>
          </w:cols>
          <w:pgMar w:left="320" w:top="344" w:right="339" w:bottom="1440" w:gutter="0" w:footer="0" w:header="0"/>
        </w:sectPr>
      </w:pPr>
    </w:p>
    <w:bookmarkStart w:id="241" w:name="page242"/>
    <w:bookmarkEnd w:id="241"/>
    <w:p>
      <w:pPr>
        <w:ind w:left="40"/>
        <w:spacing w:after="0"/>
        <w:rPr>
          <w:sz w:val="20"/>
          <w:szCs w:val="20"/>
          <w:color w:val="auto"/>
        </w:rPr>
      </w:pPr>
      <w:r>
        <w:rPr>
          <w:rFonts w:ascii="Arial" w:cs="Arial" w:eastAsia="Arial" w:hAnsi="Arial"/>
          <w:sz w:val="17"/>
          <w:szCs w:val="17"/>
          <w:b w:val="1"/>
          <w:bCs w:val="1"/>
          <w:color w:val="auto"/>
        </w:rPr>
        <w:t>ZoomInfo Technologies Inc.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1400" w:type="dxa"/>
            <w:vAlign w:val="bottom"/>
          </w:tcPr>
          <w:p>
            <w:pPr>
              <w:jc w:val="right"/>
              <w:ind w:right="116"/>
              <w:spacing w:after="0"/>
              <w:rPr>
                <w:sz w:val="20"/>
                <w:szCs w:val="20"/>
                <w:color w:val="auto"/>
              </w:rPr>
            </w:pPr>
            <w:r>
              <w:rPr>
                <w:rFonts w:ascii="Arial" w:cs="Arial" w:eastAsia="Arial" w:hAnsi="Arial"/>
                <w:sz w:val="14"/>
                <w:szCs w:val="14"/>
                <w:b w:val="1"/>
                <w:bCs w:val="1"/>
                <w:color w:val="auto"/>
                <w:w w:val="92"/>
              </w:rPr>
              <w:t>November 14, 2019</w:t>
            </w:r>
          </w:p>
        </w:tc>
        <w:tc>
          <w:tcPr>
            <w:tcW w:w="0" w:type="dxa"/>
            <w:vAlign w:val="bottom"/>
          </w:tcPr>
          <w:p>
            <w:pPr>
              <w:spacing w:after="0"/>
              <w:rPr>
                <w:sz w:val="1"/>
                <w:szCs w:val="1"/>
                <w:color w:val="auto"/>
              </w:rPr>
            </w:pPr>
          </w:p>
        </w:tc>
      </w:tr>
      <w:tr>
        <w:trPr>
          <w:trHeight w:val="240"/>
        </w:trPr>
        <w:tc>
          <w:tcPr>
            <w:tcW w:w="8000" w:type="dxa"/>
            <w:vAlign w:val="bottom"/>
            <w:tcBorders>
              <w:top w:val="single" w:sz="8" w:color="CCEEFF"/>
              <w:bottom w:val="single" w:sz="8" w:color="CCEEFF"/>
            </w:tcBorders>
            <w:shd w:val="clear" w:color="auto" w:fill="CCEEFF"/>
          </w:tcPr>
          <w:p>
            <w:pPr>
              <w:ind w:left="3760"/>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Cash</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3220"/>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w w:val="99"/>
              </w:rPr>
              <w:t>Class A Common Stock, par value $0.01 per share, 1,000 shares authorized, none issued and outstanding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Class B Common Stock, par value $0.01 per share, 1,000 shares authorized, 100 issued and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8"/>
        </w:trPr>
        <w:tc>
          <w:tcPr>
            <w:tcW w:w="8000" w:type="dxa"/>
            <w:vAlign w:val="bottom"/>
          </w:tcPr>
          <w:p>
            <w:pPr>
              <w:ind w:left="40"/>
              <w:spacing w:after="0"/>
              <w:rPr>
                <w:sz w:val="20"/>
                <w:szCs w:val="20"/>
                <w:color w:val="auto"/>
              </w:rPr>
            </w:pPr>
            <w:r>
              <w:rPr>
                <w:rFonts w:ascii="Arial" w:cs="Arial" w:eastAsia="Arial" w:hAnsi="Arial"/>
                <w:sz w:val="17"/>
                <w:szCs w:val="17"/>
                <w:color w:val="auto"/>
              </w:rPr>
              <w:t>Total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00"/>
              <w:spacing w:after="0"/>
              <w:rPr>
                <w:sz w:val="20"/>
                <w:szCs w:val="20"/>
                <w:color w:val="auto"/>
              </w:rPr>
            </w:pPr>
            <w:r>
              <w:rPr>
                <w:rFonts w:ascii="Arial" w:cs="Arial" w:eastAsia="Arial" w:hAnsi="Arial"/>
                <w:sz w:val="17"/>
                <w:szCs w:val="17"/>
                <w:color w:val="auto"/>
              </w:rPr>
              <w:t>F-3</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8" w:right="339" w:bottom="1440" w:gutter="0" w:footer="0" w:header="0"/>
        </w:sectPr>
      </w:pPr>
    </w:p>
    <w:bookmarkStart w:id="242" w:name="page243"/>
    <w:bookmarkEnd w:id="242"/>
    <w:p>
      <w:pPr>
        <w:spacing w:after="0"/>
        <w:rPr>
          <w:sz w:val="20"/>
          <w:szCs w:val="20"/>
          <w:color w:val="auto"/>
        </w:rPr>
      </w:pPr>
      <w:r>
        <w:rPr>
          <w:rFonts w:ascii="Arial" w:cs="Arial" w:eastAsia="Arial" w:hAnsi="Arial"/>
          <w:sz w:val="17"/>
          <w:szCs w:val="17"/>
          <w:b w:val="1"/>
          <w:bCs w:val="1"/>
          <w:color w:val="auto"/>
        </w:rPr>
        <w:t>Note 1 - Organization</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19"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Accounting</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Stockholder’s Equity</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Subsequent Events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40"/>
          </w:cols>
          <w:pgMar w:left="320" w:top="330" w:right="339" w:bottom="1440" w:gutter="0" w:footer="0" w:header="0"/>
        </w:sectPr>
      </w:pPr>
    </w:p>
    <w:bookmarkStart w:id="243" w:name="page244"/>
    <w:bookmarkEnd w:id="243"/>
    <w:p>
      <w:pPr>
        <w:ind w:left="40"/>
        <w:spacing w:after="0"/>
        <w:rPr>
          <w:sz w:val="20"/>
          <w:szCs w:val="20"/>
          <w:color w:val="auto"/>
        </w:rPr>
      </w:pPr>
      <w:r>
        <w:rPr>
          <w:rFonts w:ascii="Arial" w:cs="Arial" w:eastAsia="Arial" w:hAnsi="Arial"/>
          <w:sz w:val="17"/>
          <w:szCs w:val="17"/>
          <w:b w:val="1"/>
          <w:bCs w:val="1"/>
          <w:color w:val="auto"/>
        </w:rPr>
        <w:t>ZoomInfo Technologies Inc.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dollars)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24"/>
                <w:szCs w:val="24"/>
                <w:color w:val="auto"/>
              </w:rPr>
            </w:pPr>
          </w:p>
        </w:tc>
        <w:tc>
          <w:tcPr>
            <w:tcW w:w="1320" w:type="dxa"/>
            <w:vAlign w:val="bottom"/>
          </w:tcPr>
          <w:p>
            <w:pPr>
              <w:jc w:val="right"/>
              <w:ind w:right="27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5"/>
        </w:trPr>
        <w:tc>
          <w:tcPr>
            <w:tcW w:w="8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(unaudited)</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00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Cash</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3220"/>
              <w:spacing w:after="0"/>
              <w:rPr>
                <w:sz w:val="20"/>
                <w:szCs w:val="20"/>
                <w:color w:val="auto"/>
              </w:rPr>
            </w:pPr>
            <w:r>
              <w:rPr>
                <w:rFonts w:ascii="Arial" w:cs="Arial" w:eastAsia="Arial" w:hAnsi="Arial"/>
                <w:sz w:val="17"/>
                <w:szCs w:val="17"/>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w w:val="99"/>
              </w:rPr>
              <w:t>Class A Common Stock, par value $0.01 per share, 1,000 shares authorized, none issued and outstanding</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Class B Common Stock, par value $0.01 per share, 1,000 shares authorized, 100 issued and outstanding</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48"/>
        </w:trPr>
        <w:tc>
          <w:tcPr>
            <w:tcW w:w="8000" w:type="dxa"/>
            <w:vAlign w:val="bottom"/>
          </w:tcPr>
          <w:p>
            <w:pPr>
              <w:ind w:left="40"/>
              <w:spacing w:after="0"/>
              <w:rPr>
                <w:sz w:val="20"/>
                <w:szCs w:val="20"/>
                <w:color w:val="auto"/>
              </w:rPr>
            </w:pPr>
            <w:r>
              <w:rPr>
                <w:rFonts w:ascii="Arial" w:cs="Arial" w:eastAsia="Arial" w:hAnsi="Arial"/>
                <w:sz w:val="17"/>
                <w:szCs w:val="17"/>
                <w:color w:val="auto"/>
              </w:rPr>
              <w:t>Total Stockholder’s Equity</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00"/>
              <w:spacing w:after="0"/>
              <w:rPr>
                <w:sz w:val="20"/>
                <w:szCs w:val="20"/>
                <w:color w:val="auto"/>
              </w:rPr>
            </w:pPr>
            <w:r>
              <w:rPr>
                <w:rFonts w:ascii="Arial" w:cs="Arial" w:eastAsia="Arial" w:hAnsi="Arial"/>
                <w:sz w:val="17"/>
                <w:szCs w:val="17"/>
                <w:color w:val="auto"/>
              </w:rPr>
              <w:t>F-5</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8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01" w:right="339" w:bottom="1440" w:gutter="0" w:footer="0" w:header="0"/>
        </w:sectPr>
      </w:pPr>
    </w:p>
    <w:bookmarkStart w:id="244" w:name="page245"/>
    <w:bookmarkEnd w:id="244"/>
    <w:p>
      <w:pPr>
        <w:spacing w:after="0"/>
        <w:rPr>
          <w:sz w:val="20"/>
          <w:szCs w:val="20"/>
          <w:color w:val="auto"/>
        </w:rPr>
      </w:pPr>
      <w:r>
        <w:rPr>
          <w:rFonts w:ascii="Arial" w:cs="Arial" w:eastAsia="Arial" w:hAnsi="Arial"/>
          <w:sz w:val="17"/>
          <w:szCs w:val="17"/>
          <w:b w:val="1"/>
          <w:bCs w:val="1"/>
          <w:color w:val="auto"/>
        </w:rPr>
        <w:t>Note 1 - Organization</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ZoomInfo Technologies Inc. (the “Corporation”) was organized as a Delaware corporation on November 14, 2019. The Corporation’s fiscal year end is December 31. Pursuant to a reorganization into a holding corporation structure, the Corporation will become a holding corporation, and its sole asset is expected to be an equity interest in DiscoverOrg Holdings, LLC.</w:t>
      </w:r>
    </w:p>
    <w:p>
      <w:pPr>
        <w:spacing w:after="0" w:line="119"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The Corporation will be the managing member of DiscoverOrg Holdings, LLC and will operate and control all of the businesses and affairs of DiscoverOrg Holdings, LLC and, through DiscoverOrg Holdings, LLC and its subsidiaries, continue to conduct the business now conducted by these entities.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Accounting</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Stockholder’s Equity</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Corporation is authorized to issue 1,000 shares of Class A Common Stock, par value $0.01 per share (“Class A Common Stock”), and 1,000 shares of class B common stock, par value $0.01 per share (“Class B Common Stock”). Under the corporation’s certificate of incorporation in effect as of November 14, 2019, all shares of Class A Common Stock and Class B Common Stock are identical. In exchange for $1.00, the Corporation has issued 100 shares of Class B common stock, all of which were held by DiscoverOrg Holdings, LLC as of March 31, 2020.</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Subsequent Events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240"/>
          </w:cols>
          <w:pgMar w:left="320" w:top="331"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DiscoverOrg Holdings, LLC: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audited the accompanying consolidated balance sheets of DiscoverOrg Holdings, LLC and subsidiaries (the Company) as of December 31, 2019 and 2018, the related consolidated statements of operations, comprehensive loss, changes in members’ deficit, and cash flows for the years then ended,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U.S. generally accepted accounting principles.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leases as of January 1, 2019 due to the adoption of Accounting Standards Codification Topic 842, </w:t>
      </w:r>
      <w:r>
        <w:rPr>
          <w:rFonts w:ascii="Arial" w:cs="Arial" w:eastAsia="Arial" w:hAnsi="Arial"/>
          <w:sz w:val="17"/>
          <w:szCs w:val="17"/>
          <w:i w:val="1"/>
          <w:iCs w:val="1"/>
          <w:color w:val="auto"/>
        </w:rPr>
        <w:t>Leases.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Portland, Oregon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26, 2020, except for the effects of the reverse unit split described in Note 18, as to which the date is May 26,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240"/>
          </w:cols>
          <w:pgMar w:left="320" w:top="344" w:right="339" w:bottom="1440" w:gutter="0" w:footer="0" w:header="0"/>
        </w:sectPr>
      </w:pPr>
    </w:p>
    <w:bookmarkStart w:id="246" w:name="page247"/>
    <w:bookmarkEnd w:id="246"/>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385"/>
        </w:trPr>
        <w:tc>
          <w:tcPr>
            <w:tcW w:w="80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255"/>
        </w:trPr>
        <w:tc>
          <w:tcPr>
            <w:tcW w:w="80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40"/>
        </w:trPr>
        <w:tc>
          <w:tcPr>
            <w:tcW w:w="800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7"/>
                <w:szCs w:val="17"/>
                <w:b w:val="1"/>
                <w:bCs w:val="1"/>
                <w:color w:val="auto"/>
              </w:rPr>
              <w:t>Assets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9.0</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Restricted cash</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receivable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31.0</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2.9</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costs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Income tax receivable</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0.1</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Related party receivable</w:t>
            </w:r>
          </w:p>
        </w:tc>
        <w:tc>
          <w:tcPr>
            <w:tcW w:w="9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0.2</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color w:val="auto"/>
              </w:rPr>
              <w:t>Total current assets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148.2</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45.0</w:t>
            </w:r>
          </w:p>
        </w:tc>
      </w:tr>
      <w:tr>
        <w:trPr>
          <w:trHeight w:val="27"/>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8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9.6</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right-of-use assets, net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Intangible assets, net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370.6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88.7</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Goodwill</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966.8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445.7</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costs, net of current portion</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2.0</w:t>
            </w:r>
          </w:p>
        </w:tc>
      </w:tr>
      <w:tr>
        <w:trPr>
          <w:trHeight w:val="288"/>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assets</w:t>
            </w:r>
          </w:p>
        </w:tc>
        <w:tc>
          <w:tcPr>
            <w:tcW w:w="9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w w:val="91"/>
              </w:rPr>
              <w:t>1,561.9</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591.0</w:t>
            </w:r>
          </w:p>
        </w:tc>
      </w:tr>
      <w:tr>
        <w:trPr>
          <w:trHeight w:val="169"/>
        </w:trPr>
        <w:tc>
          <w:tcPr>
            <w:tcW w:w="80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5"/>
        </w:trPr>
        <w:tc>
          <w:tcPr>
            <w:tcW w:w="8000" w:type="dxa"/>
            <w:vAlign w:val="bottom"/>
          </w:tcPr>
          <w:p>
            <w:pPr>
              <w:ind w:left="1820"/>
              <w:spacing w:after="0"/>
              <w:rPr>
                <w:sz w:val="20"/>
                <w:szCs w:val="20"/>
                <w:color w:val="auto"/>
              </w:rPr>
            </w:pPr>
            <w:r>
              <w:rPr>
                <w:rFonts w:ascii="Arial" w:cs="Arial" w:eastAsia="Arial" w:hAnsi="Arial"/>
                <w:sz w:val="17"/>
                <w:szCs w:val="17"/>
                <w:b w:val="1"/>
                <w:bCs w:val="1"/>
                <w:color w:val="auto"/>
              </w:rPr>
              <w:t>Liabilities, Series A Preferred Units, and Members' Deficit</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1.9</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9.5</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Unearned revenue, current portion</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157.7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52.2</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taxes payable</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0.1</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Related party payable</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Current portion of operating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Current portion of long-term debt</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1.9</w:t>
            </w:r>
          </w:p>
        </w:tc>
      </w:tr>
      <w:tr>
        <w:trPr>
          <w:trHeight w:val="27"/>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current liabilities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241.7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65.6</w:t>
            </w:r>
          </w:p>
        </w:tc>
      </w:tr>
      <w:tr>
        <w:trPr>
          <w:trHeight w:val="176"/>
        </w:trPr>
        <w:tc>
          <w:tcPr>
            <w:tcW w:w="80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Unearned revenue, net of current portion</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0.3</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Operating lease liabilities, net of current portion</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net of current portion</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1"/>
              </w:rPr>
              <w:t>1,194.6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631.8</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Deferred tax liabilities</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10.2</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color w:val="auto"/>
              </w:rPr>
              <w:t>Total liabilities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w w:val="91"/>
              </w:rPr>
              <w:t>1,575.5</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710.1</w:t>
            </w:r>
          </w:p>
        </w:tc>
      </w:tr>
      <w:tr>
        <w:trPr>
          <w:trHeight w:val="27"/>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8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Series A Preferred Units</w:t>
            </w:r>
          </w:p>
        </w:tc>
        <w:tc>
          <w:tcPr>
            <w:tcW w:w="94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9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183"/>
        </w:trPr>
        <w:tc>
          <w:tcPr>
            <w:tcW w:w="8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Members’ deficit: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160"/>
              <w:spacing w:after="0"/>
              <w:rPr>
                <w:sz w:val="20"/>
                <w:szCs w:val="20"/>
                <w:color w:val="auto"/>
              </w:rPr>
            </w:pPr>
            <w:r>
              <w:rPr>
                <w:rFonts w:ascii="Arial" w:cs="Arial" w:eastAsia="Arial" w:hAnsi="Arial"/>
                <w:sz w:val="17"/>
                <w:szCs w:val="17"/>
                <w:color w:val="auto"/>
              </w:rPr>
              <w:t>Members' equity (deficit)</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(207.8)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(119.1)</w:t>
            </w:r>
          </w:p>
        </w:tc>
      </w:tr>
      <w:tr>
        <w:trPr>
          <w:trHeight w:val="27"/>
        </w:trPr>
        <w:tc>
          <w:tcPr>
            <w:tcW w:w="8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income (loss)</w:t>
            </w:r>
          </w:p>
        </w:tc>
        <w:tc>
          <w:tcPr>
            <w:tcW w:w="9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color w:val="auto"/>
              </w:rPr>
              <w:t>Total equity (deficit)</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(119.1)</w:t>
            </w:r>
          </w:p>
        </w:tc>
      </w:tr>
      <w:tr>
        <w:trPr>
          <w:trHeight w:val="27"/>
        </w:trPr>
        <w:tc>
          <w:tcPr>
            <w:tcW w:w="80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0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48"/>
        </w:trPr>
        <w:tc>
          <w:tcPr>
            <w:tcW w:w="8000" w:type="dxa"/>
            <w:vAlign w:val="bottom"/>
          </w:tcPr>
          <w:p>
            <w:pPr>
              <w:ind w:left="480"/>
              <w:spacing w:after="0"/>
              <w:rPr>
                <w:sz w:val="20"/>
                <w:szCs w:val="20"/>
                <w:color w:val="auto"/>
              </w:rPr>
            </w:pPr>
            <w:r>
              <w:rPr>
                <w:rFonts w:ascii="Arial" w:cs="Arial" w:eastAsia="Arial" w:hAnsi="Arial"/>
                <w:sz w:val="17"/>
                <w:szCs w:val="17"/>
                <w:color w:val="auto"/>
              </w:rPr>
              <w:t>Total liabilities, Series A Preferred Units, and Members' Deficit</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91"/>
              </w:rPr>
              <w:t>1,561.9</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591.0</w:t>
            </w:r>
          </w:p>
        </w:tc>
      </w:tr>
      <w:tr>
        <w:trPr>
          <w:trHeight w:val="20"/>
        </w:trPr>
        <w:tc>
          <w:tcPr>
            <w:tcW w:w="8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88" w:right="3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240"/>
          </w:cols>
          <w:pgMar w:left="320" w:top="488" w:right="339" w:bottom="1440" w:gutter="0" w:footer="0" w:header="0"/>
          <w:type w:val="continuous"/>
        </w:sectPr>
      </w:pPr>
    </w:p>
    <w:bookmarkStart w:id="247" w:name="page248"/>
    <w:bookmarkEnd w:id="247"/>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00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c>
          <w:tcPr>
            <w:tcW w:w="0" w:type="dxa"/>
            <w:vAlign w:val="bottom"/>
          </w:tcPr>
          <w:p>
            <w:pPr>
              <w:spacing w:after="0"/>
              <w:rPr>
                <w:sz w:val="1"/>
                <w:szCs w:val="1"/>
                <w:color w:val="auto"/>
              </w:rPr>
            </w:pPr>
          </w:p>
        </w:tc>
      </w:tr>
      <w:tr>
        <w:trPr>
          <w:trHeight w:val="314"/>
        </w:trPr>
        <w:tc>
          <w:tcPr>
            <w:tcW w:w="8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service:</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000" w:type="dxa"/>
            <w:vAlign w:val="bottom"/>
          </w:tcPr>
          <w:p>
            <w:pPr>
              <w:ind w:left="260"/>
              <w:spacing w:after="0" w:line="262" w:lineRule="exact"/>
              <w:rPr>
                <w:sz w:val="20"/>
                <w:szCs w:val="20"/>
                <w:color w:val="auto"/>
              </w:rPr>
            </w:pPr>
            <w:r>
              <w:rPr>
                <w:rFonts w:ascii="Arial" w:cs="Arial" w:eastAsia="Arial" w:hAnsi="Arial"/>
                <w:sz w:val="17"/>
                <w:szCs w:val="17"/>
                <w:color w:val="auto"/>
              </w:rPr>
              <w:t>Cost of service</w:t>
            </w:r>
            <w:r>
              <w:rPr>
                <w:rFonts w:ascii="Arial" w:cs="Arial" w:eastAsia="Arial" w:hAnsi="Arial"/>
                <w:sz w:val="24"/>
                <w:szCs w:val="24"/>
                <w:color w:val="auto"/>
                <w:vertAlign w:val="superscript"/>
              </w:rPr>
              <w:t>(1)</w:t>
            </w:r>
          </w:p>
        </w:tc>
        <w:tc>
          <w:tcPr>
            <w:tcW w:w="100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Amortization of acquired technology</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8"/>
        </w:trPr>
        <w:tc>
          <w:tcPr>
            <w:tcW w:w="8000" w:type="dxa"/>
            <w:vAlign w:val="bottom"/>
          </w:tcPr>
          <w:p>
            <w:pPr>
              <w:ind w:left="40"/>
              <w:spacing w:after="0"/>
              <w:rPr>
                <w:sz w:val="20"/>
                <w:szCs w:val="20"/>
                <w:color w:val="auto"/>
              </w:rPr>
            </w:pPr>
            <w:r>
              <w:rPr>
                <w:rFonts w:ascii="Arial" w:cs="Arial" w:eastAsia="Arial" w:hAnsi="Arial"/>
                <w:sz w:val="17"/>
                <w:szCs w:val="17"/>
                <w:color w:val="auto"/>
              </w:rPr>
              <w:t>Gross profit</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224.7</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7"/>
        </w:trPr>
        <w:tc>
          <w:tcPr>
            <w:tcW w:w="80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4"/>
                <w:szCs w:val="24"/>
                <w:color w:val="auto"/>
                <w:vertAlign w:val="superscript"/>
              </w:rPr>
              <w:t>(1)</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90.2</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62"/>
        </w:trPr>
        <w:tc>
          <w:tcPr>
            <w:tcW w:w="8000" w:type="dxa"/>
            <w:vAlign w:val="bottom"/>
          </w:tcPr>
          <w:p>
            <w:pPr>
              <w:ind w:left="260"/>
              <w:spacing w:after="0" w:line="26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4"/>
                <w:szCs w:val="24"/>
                <w:color w:val="auto"/>
                <w:vertAlign w:val="superscript"/>
              </w:rPr>
              <w:t>(1)</w:t>
            </w:r>
          </w:p>
        </w:tc>
        <w:tc>
          <w:tcPr>
            <w:tcW w:w="1000" w:type="dxa"/>
            <w:vAlign w:val="bottom"/>
          </w:tcPr>
          <w:p>
            <w:pPr>
              <w:spacing w:after="0"/>
              <w:rPr>
                <w:sz w:val="22"/>
                <w:szCs w:val="22"/>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62"/>
        </w:trPr>
        <w:tc>
          <w:tcPr>
            <w:tcW w:w="8000" w:type="dxa"/>
            <w:vAlign w:val="bottom"/>
            <w:shd w:val="clear" w:color="auto" w:fill="CCEEFF"/>
          </w:tcPr>
          <w:p>
            <w:pPr>
              <w:ind w:left="260"/>
              <w:spacing w:after="0" w:line="26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4"/>
                <w:szCs w:val="24"/>
                <w:color w:val="auto"/>
                <w:vertAlign w:val="superscript"/>
              </w:rPr>
              <w:t>(1)</w:t>
            </w:r>
          </w:p>
        </w:tc>
        <w:tc>
          <w:tcPr>
            <w:tcW w:w="10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35.1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Amortization of other acquired intangibles</w:t>
            </w:r>
          </w:p>
        </w:tc>
        <w:tc>
          <w:tcPr>
            <w:tcW w:w="10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Restructuring and transaction-related expenses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color w:val="auto"/>
              </w:rPr>
              <w:t>Total operating expenses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188.6</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79.9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operations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307"/>
        </w:trPr>
        <w:tc>
          <w:tcPr>
            <w:tcW w:w="80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 net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58.2</w:t>
            </w: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Loss on debt extinguishment</w:t>
            </w:r>
          </w:p>
        </w:tc>
        <w:tc>
          <w:tcPr>
            <w:tcW w:w="10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(income) expense, net</w:t>
            </w:r>
          </w:p>
        </w:tc>
        <w:tc>
          <w:tcPr>
            <w:tcW w:w="10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8"/>
        </w:trPr>
        <w:tc>
          <w:tcPr>
            <w:tcW w:w="8000" w:type="dxa"/>
            <w:vAlign w:val="bottom"/>
          </w:tcPr>
          <w:p>
            <w:pPr>
              <w:ind w:left="40"/>
              <w:spacing w:after="0"/>
              <w:rPr>
                <w:sz w:val="20"/>
                <w:szCs w:val="20"/>
                <w:color w:val="auto"/>
              </w:rPr>
            </w:pPr>
            <w:r>
              <w:rPr>
                <w:rFonts w:ascii="Arial" w:cs="Arial" w:eastAsia="Arial" w:hAnsi="Arial"/>
                <w:sz w:val="17"/>
                <w:szCs w:val="17"/>
                <w:color w:val="auto"/>
              </w:rPr>
              <w:t>Income (loss) before income taxes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80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Benefit from income taxes</w:t>
            </w:r>
          </w:p>
        </w:tc>
        <w:tc>
          <w:tcPr>
            <w:tcW w:w="10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20" w:hanging="315"/>
        <w:spacing w:after="0"/>
        <w:tabs>
          <w:tab w:leader="none" w:pos="32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46"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60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w:t>
            </w:r>
          </w:p>
        </w:tc>
      </w:tr>
      <w:tr>
        <w:trPr>
          <w:trHeight w:val="257"/>
        </w:trPr>
        <w:tc>
          <w:tcPr>
            <w:tcW w:w="74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60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15.8</w:t>
            </w:r>
          </w:p>
        </w:tc>
      </w:tr>
      <w:tr>
        <w:trPr>
          <w:trHeight w:val="267"/>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6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w:t>
            </w:r>
          </w:p>
        </w:tc>
      </w:tr>
      <w:tr>
        <w:trPr>
          <w:trHeight w:val="25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6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7.5</w:t>
            </w:r>
          </w:p>
        </w:tc>
      </w:tr>
      <w:tr>
        <w:trPr>
          <w:trHeight w:val="234"/>
        </w:trPr>
        <w:tc>
          <w:tcPr>
            <w:tcW w:w="7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equity-based compensation expense</w:t>
            </w:r>
          </w:p>
        </w:tc>
        <w:tc>
          <w:tcPr>
            <w:tcW w:w="6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32.7</w:t>
            </w:r>
          </w:p>
        </w:tc>
      </w:tr>
      <w:tr>
        <w:trPr>
          <w:trHeight w:val="20"/>
        </w:trPr>
        <w:tc>
          <w:tcPr>
            <w:tcW w:w="7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240"/>
          </w:cols>
          <w:pgMar w:left="320" w:top="488" w:right="339" w:bottom="1440" w:gutter="0" w:footer="0" w:header="0"/>
        </w:sectPr>
      </w:pPr>
    </w:p>
    <w:bookmarkStart w:id="248" w:name="page249"/>
    <w:bookmarkEnd w:id="248"/>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3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85"/>
        </w:trPr>
        <w:tc>
          <w:tcPr>
            <w:tcW w:w="4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r>
      <w:tr>
        <w:trPr>
          <w:trHeight w:val="242"/>
        </w:trPr>
        <w:tc>
          <w:tcPr>
            <w:tcW w:w="454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1"/>
                <w:szCs w:val="21"/>
                <w:color w:val="auto"/>
              </w:rPr>
            </w:pPr>
          </w:p>
        </w:tc>
      </w:tr>
      <w:tr>
        <w:trPr>
          <w:trHeight w:val="24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448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35"/>
        </w:trPr>
        <w:tc>
          <w:tcPr>
            <w:tcW w:w="4540" w:type="dxa"/>
            <w:vAlign w:val="bottom"/>
          </w:tcPr>
          <w:p>
            <w:pPr>
              <w:ind w:left="40"/>
              <w:spacing w:after="0"/>
              <w:rPr>
                <w:sz w:val="20"/>
                <w:szCs w:val="20"/>
                <w:color w:val="auto"/>
              </w:rPr>
            </w:pPr>
            <w:r>
              <w:rPr>
                <w:rFonts w:ascii="Arial" w:cs="Arial" w:eastAsia="Arial" w:hAnsi="Arial"/>
                <w:sz w:val="17"/>
                <w:szCs w:val="17"/>
                <w:color w:val="auto"/>
              </w:rPr>
              <w:t>Other comprehensive loss:</w:t>
            </w:r>
          </w:p>
        </w:tc>
        <w:tc>
          <w:tcPr>
            <w:tcW w:w="3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2"/>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unrealized loss on interest rate swaps</w:t>
            </w:r>
          </w:p>
        </w:tc>
        <w:tc>
          <w:tcPr>
            <w:tcW w:w="3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r>
      <w:tr>
        <w:trPr>
          <w:trHeight w:val="235"/>
        </w:trPr>
        <w:tc>
          <w:tcPr>
            <w:tcW w:w="4540" w:type="dxa"/>
            <w:vAlign w:val="bottom"/>
          </w:tcPr>
          <w:p>
            <w:pPr>
              <w:ind w:left="40"/>
              <w:spacing w:after="0"/>
              <w:rPr>
                <w:sz w:val="20"/>
                <w:szCs w:val="20"/>
                <w:color w:val="auto"/>
              </w:rPr>
            </w:pPr>
            <w:r>
              <w:rPr>
                <w:rFonts w:ascii="Arial" w:cs="Arial" w:eastAsia="Arial" w:hAnsi="Arial"/>
                <w:sz w:val="17"/>
                <w:szCs w:val="17"/>
                <w:color w:val="auto"/>
              </w:rPr>
              <w:t>Total other comprehensive income (loss)</w:t>
            </w:r>
          </w:p>
        </w:tc>
        <w:tc>
          <w:tcPr>
            <w:tcW w:w="3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8"/>
        </w:trPr>
        <w:tc>
          <w:tcPr>
            <w:tcW w:w="4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Comprehensive income (loss)</w:t>
            </w:r>
          </w:p>
        </w:tc>
        <w:tc>
          <w:tcPr>
            <w:tcW w:w="4480" w:type="dxa"/>
            <w:vAlign w:val="bottom"/>
            <w:gridSpan w:val="2"/>
            <w:shd w:val="clear" w:color="auto" w:fill="CCEEFF"/>
          </w:tcPr>
          <w:p>
            <w:pPr>
              <w:jc w:val="right"/>
              <w:ind w:right="85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772"/>
        </w:trPr>
        <w:tc>
          <w:tcPr>
            <w:tcW w:w="4540" w:type="dxa"/>
            <w:vAlign w:val="bottom"/>
          </w:tcPr>
          <w:p>
            <w:pPr>
              <w:spacing w:after="0"/>
              <w:rPr>
                <w:sz w:val="24"/>
                <w:szCs w:val="24"/>
                <w:color w:val="auto"/>
              </w:rPr>
            </w:pPr>
          </w:p>
        </w:tc>
        <w:tc>
          <w:tcPr>
            <w:tcW w:w="4480" w:type="dxa"/>
            <w:vAlign w:val="bottom"/>
            <w:gridSpan w:val="2"/>
          </w:tcPr>
          <w:p>
            <w:pPr>
              <w:jc w:val="right"/>
              <w:ind w:right="3170"/>
              <w:spacing w:after="0"/>
              <w:rPr>
                <w:sz w:val="20"/>
                <w:szCs w:val="20"/>
                <w:color w:val="auto"/>
              </w:rPr>
            </w:pPr>
            <w:r>
              <w:rPr>
                <w:rFonts w:ascii="Arial" w:cs="Arial" w:eastAsia="Arial" w:hAnsi="Arial"/>
                <w:sz w:val="17"/>
                <w:szCs w:val="17"/>
                <w:color w:val="auto"/>
              </w:rPr>
              <w:t>F-10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488" w:right="339" w:bottom="1440" w:gutter="0" w:footer="0" w:header="0"/>
        </w:sectPr>
      </w:pPr>
    </w:p>
    <w:bookmarkStart w:id="249" w:name="page250"/>
    <w:bookmarkEnd w:id="249"/>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Members' Deficit</w:t>
            </w:r>
          </w:p>
        </w:tc>
        <w:tc>
          <w:tcPr>
            <w:tcW w:w="10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Members’ Deficit</w:t>
            </w:r>
          </w:p>
        </w:tc>
        <w:tc>
          <w:tcPr>
            <w:tcW w:w="0" w:type="dxa"/>
            <w:vAlign w:val="bottom"/>
          </w:tcPr>
          <w:p>
            <w:pPr>
              <w:spacing w:after="0"/>
              <w:rPr>
                <w:sz w:val="1"/>
                <w:szCs w:val="1"/>
                <w:color w:val="auto"/>
              </w:rPr>
            </w:pPr>
          </w:p>
        </w:tc>
      </w:tr>
      <w:tr>
        <w:trPr>
          <w:trHeight w:val="188"/>
        </w:trPr>
        <w:tc>
          <w:tcPr>
            <w:tcW w:w="49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1"/>
              </w:rPr>
              <w:t>Comprehensive Loss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December 31, 2017</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Member distributions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December 31, 2018</w:t>
            </w: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Member distributions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paid for unit repurchases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Accrued unit repurchases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Impact of adoption of new accounting standard (ASC 842)</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Other comprehensive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92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December 31, 2019</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492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7"/>
                <w:szCs w:val="17"/>
                <w:color w:val="auto"/>
              </w:rPr>
              <w:t>F-11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8" w:right="339" w:bottom="1440" w:gutter="0" w:footer="0" w:header="0"/>
        </w:sectPr>
      </w:pPr>
    </w:p>
    <w:bookmarkStart w:id="250" w:name="page251"/>
    <w:bookmarkEnd w:id="250"/>
    <w:p>
      <w:pPr>
        <w:ind w:left="40"/>
        <w:spacing w:after="0"/>
        <w:rPr>
          <w:sz w:val="20"/>
          <w:szCs w:val="20"/>
          <w:color w:val="auto"/>
        </w:rPr>
      </w:pPr>
      <w:r>
        <w:rPr>
          <w:rFonts w:ascii="Arial" w:cs="Arial" w:eastAsia="Arial" w:hAnsi="Arial"/>
          <w:sz w:val="17"/>
          <w:szCs w:val="17"/>
          <w:b w:val="1"/>
          <w:bCs w:val="1"/>
          <w:color w:val="auto"/>
        </w:rPr>
        <w:t>DiscoverOrg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85"/>
        </w:trPr>
        <w:tc>
          <w:tcPr>
            <w:tcW w:w="800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r>
      <w:tr>
        <w:trPr>
          <w:trHeight w:val="255"/>
        </w:trPr>
        <w:tc>
          <w:tcPr>
            <w:tcW w:w="80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9"/>
                <w:szCs w:val="19"/>
                <w:color w:val="auto"/>
              </w:rPr>
            </w:pP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17.3</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debt discounts and issuance costs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Amortization of deferred commissions costs</w:t>
            </w:r>
          </w:p>
        </w:tc>
        <w:tc>
          <w:tcPr>
            <w:tcW w:w="9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1.5</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impairments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Loss on early extinguishment of debt</w:t>
            </w:r>
          </w:p>
        </w:tc>
        <w:tc>
          <w:tcPr>
            <w:tcW w:w="9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consideration valuation adjustments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Equity-based compensation expense</w:t>
            </w:r>
          </w:p>
        </w:tc>
        <w:tc>
          <w:tcPr>
            <w:tcW w:w="9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32.7</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Paid-in-kind (PIK) accrued interest</w:t>
            </w:r>
          </w:p>
        </w:tc>
        <w:tc>
          <w:tcPr>
            <w:tcW w:w="96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16.4</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Provision for bad debt expense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net of acquisitions: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0.6</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costs and other assets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Income tax receivable</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1.9</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Related party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Unearned revenue</w:t>
            </w:r>
          </w:p>
        </w:tc>
        <w:tc>
          <w:tcPr>
            <w:tcW w:w="9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71.9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15.0</w:t>
            </w:r>
          </w:p>
        </w:tc>
      </w:tr>
      <w:tr>
        <w:trPr>
          <w:trHeight w:val="33"/>
        </w:trPr>
        <w:tc>
          <w:tcPr>
            <w:tcW w:w="8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8"/>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provided by (used in) operating activities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43.8</w:t>
            </w:r>
          </w:p>
        </w:tc>
      </w:tr>
      <w:tr>
        <w:trPr>
          <w:trHeight w:val="157"/>
        </w:trPr>
        <w:tc>
          <w:tcPr>
            <w:tcW w:w="8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Purchases of property and equipment and other assets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55"/>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(736.7)</w:t>
            </w: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150"/>
        </w:trPr>
        <w:tc>
          <w:tcPr>
            <w:tcW w:w="80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229"/>
        </w:trPr>
        <w:tc>
          <w:tcPr>
            <w:tcW w:w="80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on long-term debt</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Proceeds from long-term debt</w:t>
            </w:r>
          </w:p>
        </w:tc>
        <w:tc>
          <w:tcPr>
            <w:tcW w:w="9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89"/>
              </w:rPr>
              <w:t>1,220.8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67.3</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of debt issuance costs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Repurchase outstanding equity / member units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preferred unit offering, net of transaction costs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Payments of deferred consideration</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to members</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55"/>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cash provided by (used in) financing activities</w:t>
            </w:r>
          </w:p>
        </w:tc>
        <w:tc>
          <w:tcPr>
            <w:tcW w:w="9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725.8</w:t>
            </w:r>
          </w:p>
        </w:tc>
        <w:tc>
          <w:tcPr>
            <w:tcW w:w="12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150"/>
        </w:trPr>
        <w:tc>
          <w:tcPr>
            <w:tcW w:w="80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229"/>
        </w:trPr>
        <w:tc>
          <w:tcPr>
            <w:tcW w:w="800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60" w:type="dxa"/>
            <w:vAlign w:val="bottom"/>
          </w:tcPr>
          <w:p>
            <w:pPr>
              <w:spacing w:after="0"/>
              <w:rPr>
                <w:sz w:val="19"/>
                <w:szCs w:val="19"/>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0.8</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r>
      <w:tr>
        <w:trPr>
          <w:trHeight w:val="275"/>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end of year</w:t>
            </w:r>
          </w:p>
        </w:tc>
        <w:tc>
          <w:tcPr>
            <w:tcW w:w="96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42.5</w:t>
            </w:r>
          </w:p>
        </w:tc>
        <w:tc>
          <w:tcPr>
            <w:tcW w:w="120" w:type="dxa"/>
            <w:vAlign w:val="bottom"/>
            <w:tcBorders>
              <w:bottom w:val="single" w:sz="8" w:color="CCEEFF"/>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84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9.0</w:t>
            </w:r>
          </w:p>
        </w:tc>
      </w:tr>
      <w:tr>
        <w:trPr>
          <w:trHeight w:val="143"/>
        </w:trPr>
        <w:tc>
          <w:tcPr>
            <w:tcW w:w="80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229"/>
        </w:trPr>
        <w:tc>
          <w:tcPr>
            <w:tcW w:w="8000" w:type="dxa"/>
            <w:vAlign w:val="bottom"/>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Interest paid in cash:</w:t>
            </w:r>
          </w:p>
        </w:tc>
        <w:tc>
          <w:tcPr>
            <w:tcW w:w="960" w:type="dxa"/>
            <w:vAlign w:val="bottom"/>
            <w:tcBorders>
              <w:bottom w:val="single" w:sz="8" w:color="CCEEFF"/>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40.2</w:t>
            </w:r>
          </w:p>
        </w:tc>
      </w:tr>
      <w:tr>
        <w:trPr>
          <w:trHeight w:val="157"/>
        </w:trPr>
        <w:tc>
          <w:tcPr>
            <w:tcW w:w="8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Deferred and variable consideration from acquisition of a business</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19"/>
                <w:szCs w:val="19"/>
                <w:color w:val="auto"/>
              </w:rPr>
            </w:pP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1.1</w:t>
            </w:r>
          </w:p>
        </w:tc>
      </w:tr>
      <w:tr>
        <w:trPr>
          <w:trHeight w:val="33"/>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29"/>
        </w:trPr>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unit repurchases</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0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488" w:right="339" w:bottom="1042"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1240"/>
          </w:cols>
          <w:pgMar w:left="320" w:top="488" w:right="339" w:bottom="1042" w:gutter="0" w:footer="0" w:header="0"/>
          <w:type w:val="continuous"/>
        </w:sectPr>
      </w:pPr>
    </w:p>
    <w:bookmarkStart w:id="251" w:name="page252"/>
    <w:bookmarkEnd w:id="251"/>
    <w:p>
      <w:pPr>
        <w:jc w:val="center"/>
        <w:ind w:right="-439"/>
        <w:spacing w:after="0"/>
        <w:rPr>
          <w:sz w:val="20"/>
          <w:szCs w:val="20"/>
          <w:color w:val="auto"/>
        </w:rPr>
      </w:pPr>
      <w:r>
        <w:rPr>
          <w:rFonts w:ascii="Arial" w:cs="Arial" w:eastAsia="Arial" w:hAnsi="Arial"/>
          <w:sz w:val="17"/>
          <w:szCs w:val="17"/>
          <w:b w:val="1"/>
          <w:bCs w:val="1"/>
          <w:color w:val="auto"/>
        </w:rPr>
        <w:t>DiscoverOrg Holdings, LLC and Subsidiaries</w:t>
      </w:r>
    </w:p>
    <w:p>
      <w:pPr>
        <w:spacing w:after="0" w:line="3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Audited Consolidated Financial Statements</w:t>
      </w:r>
    </w:p>
    <w:p>
      <w:pPr>
        <w:spacing w:after="0" w:line="1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millions, except unit counts, unless otherwise noted)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rFonts w:ascii="Arial" w:cs="Arial" w:eastAsia="Arial" w:hAnsi="Arial"/>
                <w:sz w:val="17"/>
                <w:szCs w:val="17"/>
                <w:u w:val="single" w:color="auto"/>
                <w:color w:val="0000EE"/>
              </w:rPr>
            </w:pPr>
            <w:hyperlink w:anchor="page253">
              <w:r>
                <w:rPr>
                  <w:rFonts w:ascii="Arial" w:cs="Arial" w:eastAsia="Arial" w:hAnsi="Arial"/>
                  <w:sz w:val="17"/>
                  <w:szCs w:val="17"/>
                  <w:u w:val="single" w:color="auto"/>
                  <w:color w:val="0000EE"/>
                </w:rPr>
                <w:t>Note 1</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53">
              <w:r>
                <w:rPr>
                  <w:rFonts w:ascii="Arial" w:cs="Arial" w:eastAsia="Arial" w:hAnsi="Arial"/>
                  <w:sz w:val="17"/>
                  <w:szCs w:val="17"/>
                  <w:u w:val="single" w:color="auto"/>
                  <w:color w:val="0000EE"/>
                </w:rPr>
                <w:t>Organization</w:t>
              </w:r>
            </w:hyperlink>
          </w:p>
        </w:tc>
        <w:tc>
          <w:tcPr>
            <w:tcW w:w="2600" w:type="dxa"/>
            <w:vAlign w:val="bottom"/>
          </w:tcPr>
          <w:p>
            <w:pPr>
              <w:ind w:left="2260"/>
              <w:spacing w:after="0"/>
              <w:rPr>
                <w:rFonts w:ascii="Arial" w:cs="Arial" w:eastAsia="Arial" w:hAnsi="Arial"/>
                <w:sz w:val="17"/>
                <w:szCs w:val="17"/>
                <w:color w:val="auto"/>
                <w:w w:val="91"/>
              </w:rPr>
            </w:pPr>
            <w:hyperlink w:anchor="page253">
              <w:r>
                <w:rPr>
                  <w:rFonts w:ascii="Arial" w:cs="Arial" w:eastAsia="Arial" w:hAnsi="Arial"/>
                  <w:sz w:val="17"/>
                  <w:szCs w:val="17"/>
                  <w:color w:val="auto"/>
                  <w:w w:val="91"/>
                </w:rPr>
                <w:t>F-14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53">
              <w:r>
                <w:rPr>
                  <w:rFonts w:ascii="Arial" w:cs="Arial" w:eastAsia="Arial" w:hAnsi="Arial"/>
                  <w:sz w:val="17"/>
                  <w:szCs w:val="17"/>
                  <w:u w:val="single" w:color="auto"/>
                  <w:color w:val="0000EE"/>
                </w:rPr>
                <w:t>Note 2</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53">
              <w:r>
                <w:rPr>
                  <w:rFonts w:ascii="Arial" w:cs="Arial" w:eastAsia="Arial" w:hAnsi="Arial"/>
                  <w:sz w:val="17"/>
                  <w:szCs w:val="17"/>
                  <w:u w:val="single" w:color="auto"/>
                  <w:color w:val="0000EE"/>
                </w:rPr>
                <w:t>Basis of Presentation and Summary of Significant Accounting Policies</w:t>
              </w:r>
            </w:hyperlink>
          </w:p>
        </w:tc>
        <w:tc>
          <w:tcPr>
            <w:tcW w:w="2600" w:type="dxa"/>
            <w:vAlign w:val="bottom"/>
          </w:tcPr>
          <w:p>
            <w:pPr>
              <w:ind w:left="2260"/>
              <w:spacing w:after="0"/>
              <w:rPr>
                <w:rFonts w:ascii="Arial" w:cs="Arial" w:eastAsia="Arial" w:hAnsi="Arial"/>
                <w:sz w:val="17"/>
                <w:szCs w:val="17"/>
                <w:color w:val="auto"/>
                <w:w w:val="91"/>
              </w:rPr>
            </w:pPr>
            <w:hyperlink w:anchor="page253">
              <w:r>
                <w:rPr>
                  <w:rFonts w:ascii="Arial" w:cs="Arial" w:eastAsia="Arial" w:hAnsi="Arial"/>
                  <w:sz w:val="17"/>
                  <w:szCs w:val="17"/>
                  <w:color w:val="auto"/>
                  <w:w w:val="91"/>
                </w:rPr>
                <w:t>F-14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61">
              <w:r>
                <w:rPr>
                  <w:rFonts w:ascii="Arial" w:cs="Arial" w:eastAsia="Arial" w:hAnsi="Arial"/>
                  <w:sz w:val="17"/>
                  <w:szCs w:val="17"/>
                  <w:u w:val="single" w:color="auto"/>
                  <w:color w:val="0000EE"/>
                </w:rPr>
                <w:t>Note 3</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61">
              <w:r>
                <w:rPr>
                  <w:rFonts w:ascii="Arial" w:cs="Arial" w:eastAsia="Arial" w:hAnsi="Arial"/>
                  <w:sz w:val="17"/>
                  <w:szCs w:val="17"/>
                  <w:u w:val="single" w:color="auto"/>
                  <w:color w:val="0000EE"/>
                </w:rPr>
                <w:t>Revenue from Contracts with Customers</w:t>
              </w:r>
            </w:hyperlink>
          </w:p>
        </w:tc>
        <w:tc>
          <w:tcPr>
            <w:tcW w:w="2600" w:type="dxa"/>
            <w:vAlign w:val="bottom"/>
          </w:tcPr>
          <w:p>
            <w:pPr>
              <w:ind w:left="2260"/>
              <w:spacing w:after="0"/>
              <w:rPr>
                <w:rFonts w:ascii="Arial" w:cs="Arial" w:eastAsia="Arial" w:hAnsi="Arial"/>
                <w:sz w:val="17"/>
                <w:szCs w:val="17"/>
                <w:color w:val="auto"/>
                <w:w w:val="91"/>
              </w:rPr>
            </w:pPr>
            <w:hyperlink w:anchor="page261">
              <w:r>
                <w:rPr>
                  <w:rFonts w:ascii="Arial" w:cs="Arial" w:eastAsia="Arial" w:hAnsi="Arial"/>
                  <w:sz w:val="17"/>
                  <w:szCs w:val="17"/>
                  <w:color w:val="auto"/>
                  <w:w w:val="91"/>
                </w:rPr>
                <w:t>F-22</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62">
              <w:r>
                <w:rPr>
                  <w:rFonts w:ascii="Arial" w:cs="Arial" w:eastAsia="Arial" w:hAnsi="Arial"/>
                  <w:sz w:val="17"/>
                  <w:szCs w:val="17"/>
                  <w:u w:val="single" w:color="auto"/>
                  <w:color w:val="0000EE"/>
                </w:rPr>
                <w:t>Note 4</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62">
              <w:r>
                <w:rPr>
                  <w:rFonts w:ascii="Arial" w:cs="Arial" w:eastAsia="Arial" w:hAnsi="Arial"/>
                  <w:sz w:val="17"/>
                  <w:szCs w:val="17"/>
                  <w:u w:val="single" w:color="auto"/>
                  <w:color w:val="0000EE"/>
                </w:rPr>
                <w:t>Business Combinations</w:t>
              </w:r>
            </w:hyperlink>
          </w:p>
        </w:tc>
        <w:tc>
          <w:tcPr>
            <w:tcW w:w="2600" w:type="dxa"/>
            <w:vAlign w:val="bottom"/>
          </w:tcPr>
          <w:p>
            <w:pPr>
              <w:ind w:left="2260"/>
              <w:spacing w:after="0"/>
              <w:rPr>
                <w:rFonts w:ascii="Arial" w:cs="Arial" w:eastAsia="Arial" w:hAnsi="Arial"/>
                <w:sz w:val="17"/>
                <w:szCs w:val="17"/>
                <w:color w:val="auto"/>
                <w:w w:val="91"/>
              </w:rPr>
            </w:pPr>
            <w:hyperlink w:anchor="page262">
              <w:r>
                <w:rPr>
                  <w:rFonts w:ascii="Arial" w:cs="Arial" w:eastAsia="Arial" w:hAnsi="Arial"/>
                  <w:sz w:val="17"/>
                  <w:szCs w:val="17"/>
                  <w:color w:val="auto"/>
                  <w:w w:val="91"/>
                </w:rPr>
                <w:t>F-23</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66">
              <w:r>
                <w:rPr>
                  <w:rFonts w:ascii="Arial" w:cs="Arial" w:eastAsia="Arial" w:hAnsi="Arial"/>
                  <w:sz w:val="17"/>
                  <w:szCs w:val="17"/>
                  <w:u w:val="single" w:color="auto"/>
                  <w:color w:val="0000EE"/>
                </w:rPr>
                <w:t>Note 5</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66">
              <w:r>
                <w:rPr>
                  <w:rFonts w:ascii="Arial" w:cs="Arial" w:eastAsia="Arial" w:hAnsi="Arial"/>
                  <w:sz w:val="17"/>
                  <w:szCs w:val="17"/>
                  <w:u w:val="single" w:color="auto"/>
                  <w:color w:val="0000EE"/>
                </w:rPr>
                <w:t>Property and Equipment</w:t>
              </w:r>
            </w:hyperlink>
          </w:p>
        </w:tc>
        <w:tc>
          <w:tcPr>
            <w:tcW w:w="2600" w:type="dxa"/>
            <w:vAlign w:val="bottom"/>
          </w:tcPr>
          <w:p>
            <w:pPr>
              <w:ind w:left="2260"/>
              <w:spacing w:after="0"/>
              <w:rPr>
                <w:rFonts w:ascii="Arial" w:cs="Arial" w:eastAsia="Arial" w:hAnsi="Arial"/>
                <w:sz w:val="17"/>
                <w:szCs w:val="17"/>
                <w:color w:val="auto"/>
                <w:w w:val="91"/>
              </w:rPr>
            </w:pPr>
            <w:hyperlink w:anchor="page266">
              <w:r>
                <w:rPr>
                  <w:rFonts w:ascii="Arial" w:cs="Arial" w:eastAsia="Arial" w:hAnsi="Arial"/>
                  <w:sz w:val="17"/>
                  <w:szCs w:val="17"/>
                  <w:color w:val="auto"/>
                  <w:w w:val="91"/>
                </w:rPr>
                <w:t>F-27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67">
              <w:r>
                <w:rPr>
                  <w:rFonts w:ascii="Arial" w:cs="Arial" w:eastAsia="Arial" w:hAnsi="Arial"/>
                  <w:sz w:val="17"/>
                  <w:szCs w:val="17"/>
                  <w:u w:val="single" w:color="auto"/>
                  <w:color w:val="0000EE"/>
                </w:rPr>
                <w:t>Note 6</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67">
              <w:r>
                <w:rPr>
                  <w:rFonts w:ascii="Arial" w:cs="Arial" w:eastAsia="Arial" w:hAnsi="Arial"/>
                  <w:sz w:val="17"/>
                  <w:szCs w:val="17"/>
                  <w:u w:val="single" w:color="auto"/>
                  <w:color w:val="0000EE"/>
                </w:rPr>
                <w:t>Goodwill and Acquired Intangible Assets</w:t>
              </w:r>
            </w:hyperlink>
          </w:p>
        </w:tc>
        <w:tc>
          <w:tcPr>
            <w:tcW w:w="2600" w:type="dxa"/>
            <w:vAlign w:val="bottom"/>
          </w:tcPr>
          <w:p>
            <w:pPr>
              <w:ind w:left="2260"/>
              <w:spacing w:after="0"/>
              <w:rPr>
                <w:rFonts w:ascii="Arial" w:cs="Arial" w:eastAsia="Arial" w:hAnsi="Arial"/>
                <w:sz w:val="17"/>
                <w:szCs w:val="17"/>
                <w:color w:val="auto"/>
                <w:w w:val="91"/>
              </w:rPr>
            </w:pPr>
            <w:hyperlink w:anchor="page267">
              <w:r>
                <w:rPr>
                  <w:rFonts w:ascii="Arial" w:cs="Arial" w:eastAsia="Arial" w:hAnsi="Arial"/>
                  <w:sz w:val="17"/>
                  <w:szCs w:val="17"/>
                  <w:color w:val="auto"/>
                  <w:w w:val="91"/>
                </w:rPr>
                <w:t>F-28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68">
              <w:r>
                <w:rPr>
                  <w:rFonts w:ascii="Arial" w:cs="Arial" w:eastAsia="Arial" w:hAnsi="Arial"/>
                  <w:sz w:val="17"/>
                  <w:szCs w:val="17"/>
                  <w:u w:val="single" w:color="auto"/>
                  <w:color w:val="0000EE"/>
                </w:rPr>
                <w:t>Note 7</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68">
              <w:r>
                <w:rPr>
                  <w:rFonts w:ascii="Arial" w:cs="Arial" w:eastAsia="Arial" w:hAnsi="Arial"/>
                  <w:sz w:val="17"/>
                  <w:szCs w:val="17"/>
                  <w:u w:val="single" w:color="auto"/>
                  <w:color w:val="0000EE"/>
                </w:rPr>
                <w:t>Financing Arrangements</w:t>
              </w:r>
            </w:hyperlink>
          </w:p>
        </w:tc>
        <w:tc>
          <w:tcPr>
            <w:tcW w:w="2600" w:type="dxa"/>
            <w:vAlign w:val="bottom"/>
          </w:tcPr>
          <w:p>
            <w:pPr>
              <w:ind w:left="2260"/>
              <w:spacing w:after="0"/>
              <w:rPr>
                <w:rFonts w:ascii="Arial" w:cs="Arial" w:eastAsia="Arial" w:hAnsi="Arial"/>
                <w:sz w:val="17"/>
                <w:szCs w:val="17"/>
                <w:color w:val="auto"/>
                <w:w w:val="91"/>
              </w:rPr>
            </w:pPr>
            <w:hyperlink w:anchor="page268">
              <w:r>
                <w:rPr>
                  <w:rFonts w:ascii="Arial" w:cs="Arial" w:eastAsia="Arial" w:hAnsi="Arial"/>
                  <w:sz w:val="17"/>
                  <w:szCs w:val="17"/>
                  <w:color w:val="auto"/>
                  <w:w w:val="91"/>
                </w:rPr>
                <w:t>F-29</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1">
              <w:r>
                <w:rPr>
                  <w:rFonts w:ascii="Arial" w:cs="Arial" w:eastAsia="Arial" w:hAnsi="Arial"/>
                  <w:sz w:val="17"/>
                  <w:szCs w:val="17"/>
                  <w:u w:val="single" w:color="auto"/>
                  <w:color w:val="0000EE"/>
                </w:rPr>
                <w:t>Note 8</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1">
              <w:r>
                <w:rPr>
                  <w:rFonts w:ascii="Arial" w:cs="Arial" w:eastAsia="Arial" w:hAnsi="Arial"/>
                  <w:sz w:val="17"/>
                  <w:szCs w:val="17"/>
                  <w:u w:val="single" w:color="auto"/>
                  <w:color w:val="0000EE"/>
                </w:rPr>
                <w:t>Derivatives and Hedging Activities</w:t>
              </w:r>
            </w:hyperlink>
          </w:p>
        </w:tc>
        <w:tc>
          <w:tcPr>
            <w:tcW w:w="2600" w:type="dxa"/>
            <w:vAlign w:val="bottom"/>
          </w:tcPr>
          <w:p>
            <w:pPr>
              <w:ind w:left="2260"/>
              <w:spacing w:after="0"/>
              <w:rPr>
                <w:rFonts w:ascii="Arial" w:cs="Arial" w:eastAsia="Arial" w:hAnsi="Arial"/>
                <w:sz w:val="17"/>
                <w:szCs w:val="17"/>
                <w:color w:val="auto"/>
                <w:w w:val="91"/>
              </w:rPr>
            </w:pPr>
            <w:hyperlink w:anchor="page271">
              <w:r>
                <w:rPr>
                  <w:rFonts w:ascii="Arial" w:cs="Arial" w:eastAsia="Arial" w:hAnsi="Arial"/>
                  <w:sz w:val="17"/>
                  <w:szCs w:val="17"/>
                  <w:color w:val="auto"/>
                  <w:w w:val="91"/>
                </w:rPr>
                <w:t>F-32</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2">
              <w:r>
                <w:rPr>
                  <w:rFonts w:ascii="Arial" w:cs="Arial" w:eastAsia="Arial" w:hAnsi="Arial"/>
                  <w:sz w:val="17"/>
                  <w:szCs w:val="17"/>
                  <w:u w:val="single" w:color="auto"/>
                  <w:color w:val="0000EE"/>
                </w:rPr>
                <w:t>Note 9</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2">
              <w:r>
                <w:rPr>
                  <w:rFonts w:ascii="Arial" w:cs="Arial" w:eastAsia="Arial" w:hAnsi="Arial"/>
                  <w:sz w:val="17"/>
                  <w:szCs w:val="17"/>
                  <w:u w:val="single" w:color="auto"/>
                  <w:color w:val="0000EE"/>
                </w:rPr>
                <w:t>Fair Value Measurements</w:t>
              </w:r>
            </w:hyperlink>
          </w:p>
        </w:tc>
        <w:tc>
          <w:tcPr>
            <w:tcW w:w="2600" w:type="dxa"/>
            <w:vAlign w:val="bottom"/>
          </w:tcPr>
          <w:p>
            <w:pPr>
              <w:ind w:left="2260"/>
              <w:spacing w:after="0"/>
              <w:rPr>
                <w:rFonts w:ascii="Arial" w:cs="Arial" w:eastAsia="Arial" w:hAnsi="Arial"/>
                <w:sz w:val="17"/>
                <w:szCs w:val="17"/>
                <w:color w:val="auto"/>
                <w:w w:val="91"/>
              </w:rPr>
            </w:pPr>
            <w:hyperlink w:anchor="page272">
              <w:r>
                <w:rPr>
                  <w:rFonts w:ascii="Arial" w:cs="Arial" w:eastAsia="Arial" w:hAnsi="Arial"/>
                  <w:sz w:val="17"/>
                  <w:szCs w:val="17"/>
                  <w:color w:val="auto"/>
                  <w:w w:val="91"/>
                </w:rPr>
                <w:t>F-33</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3">
              <w:r>
                <w:rPr>
                  <w:rFonts w:ascii="Arial" w:cs="Arial" w:eastAsia="Arial" w:hAnsi="Arial"/>
                  <w:sz w:val="17"/>
                  <w:szCs w:val="17"/>
                  <w:u w:val="single" w:color="auto"/>
                  <w:color w:val="0000EE"/>
                </w:rPr>
                <w:t>Note 10</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3">
              <w:r>
                <w:rPr>
                  <w:rFonts w:ascii="Arial" w:cs="Arial" w:eastAsia="Arial" w:hAnsi="Arial"/>
                  <w:sz w:val="17"/>
                  <w:szCs w:val="17"/>
                  <w:u w:val="single" w:color="auto"/>
                  <w:color w:val="0000EE"/>
                </w:rPr>
                <w:t>Commitments and Contingencies</w:t>
              </w:r>
            </w:hyperlink>
          </w:p>
        </w:tc>
        <w:tc>
          <w:tcPr>
            <w:tcW w:w="2600" w:type="dxa"/>
            <w:vAlign w:val="bottom"/>
          </w:tcPr>
          <w:p>
            <w:pPr>
              <w:ind w:left="2260"/>
              <w:spacing w:after="0"/>
              <w:rPr>
                <w:rFonts w:ascii="Arial" w:cs="Arial" w:eastAsia="Arial" w:hAnsi="Arial"/>
                <w:sz w:val="17"/>
                <w:szCs w:val="17"/>
                <w:color w:val="auto"/>
                <w:w w:val="91"/>
              </w:rPr>
            </w:pPr>
            <w:hyperlink w:anchor="page273">
              <w:r>
                <w:rPr>
                  <w:rFonts w:ascii="Arial" w:cs="Arial" w:eastAsia="Arial" w:hAnsi="Arial"/>
                  <w:sz w:val="17"/>
                  <w:szCs w:val="17"/>
                  <w:color w:val="auto"/>
                  <w:w w:val="91"/>
                </w:rPr>
                <w:t>F-34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4">
              <w:r>
                <w:rPr>
                  <w:rFonts w:ascii="Arial" w:cs="Arial" w:eastAsia="Arial" w:hAnsi="Arial"/>
                  <w:sz w:val="17"/>
                  <w:szCs w:val="17"/>
                  <w:u w:val="single" w:color="auto"/>
                  <w:color w:val="0000EE"/>
                </w:rPr>
                <w:t>Note 11</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4">
              <w:r>
                <w:rPr>
                  <w:rFonts w:ascii="Arial" w:cs="Arial" w:eastAsia="Arial" w:hAnsi="Arial"/>
                  <w:sz w:val="17"/>
                  <w:szCs w:val="17"/>
                  <w:u w:val="single" w:color="auto"/>
                  <w:color w:val="0000EE"/>
                </w:rPr>
                <w:t>Leases</w:t>
              </w:r>
            </w:hyperlink>
          </w:p>
        </w:tc>
        <w:tc>
          <w:tcPr>
            <w:tcW w:w="2600" w:type="dxa"/>
            <w:vAlign w:val="bottom"/>
          </w:tcPr>
          <w:p>
            <w:pPr>
              <w:ind w:left="2260"/>
              <w:spacing w:after="0"/>
              <w:rPr>
                <w:rFonts w:ascii="Arial" w:cs="Arial" w:eastAsia="Arial" w:hAnsi="Arial"/>
                <w:sz w:val="17"/>
                <w:szCs w:val="17"/>
                <w:color w:val="auto"/>
                <w:w w:val="91"/>
              </w:rPr>
            </w:pPr>
            <w:hyperlink w:anchor="page274">
              <w:r>
                <w:rPr>
                  <w:rFonts w:ascii="Arial" w:cs="Arial" w:eastAsia="Arial" w:hAnsi="Arial"/>
                  <w:sz w:val="17"/>
                  <w:szCs w:val="17"/>
                  <w:color w:val="auto"/>
                  <w:w w:val="91"/>
                </w:rPr>
                <w:t>F-35</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5">
              <w:r>
                <w:rPr>
                  <w:rFonts w:ascii="Arial" w:cs="Arial" w:eastAsia="Arial" w:hAnsi="Arial"/>
                  <w:sz w:val="17"/>
                  <w:szCs w:val="17"/>
                  <w:u w:val="single" w:color="auto"/>
                  <w:color w:val="0000EE"/>
                </w:rPr>
                <w:t>Note 12</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5">
              <w:r>
                <w:rPr>
                  <w:rFonts w:ascii="Arial" w:cs="Arial" w:eastAsia="Arial" w:hAnsi="Arial"/>
                  <w:sz w:val="17"/>
                  <w:szCs w:val="17"/>
                  <w:u w:val="single" w:color="auto"/>
                  <w:color w:val="0000EE"/>
                </w:rPr>
                <w:t>Members’ Deficit</w:t>
              </w:r>
            </w:hyperlink>
          </w:p>
        </w:tc>
        <w:tc>
          <w:tcPr>
            <w:tcW w:w="2600" w:type="dxa"/>
            <w:vAlign w:val="bottom"/>
          </w:tcPr>
          <w:p>
            <w:pPr>
              <w:ind w:left="2260"/>
              <w:spacing w:after="0"/>
              <w:rPr>
                <w:rFonts w:ascii="Arial" w:cs="Arial" w:eastAsia="Arial" w:hAnsi="Arial"/>
                <w:sz w:val="17"/>
                <w:szCs w:val="17"/>
                <w:color w:val="auto"/>
                <w:w w:val="91"/>
              </w:rPr>
            </w:pPr>
            <w:hyperlink w:anchor="page275">
              <w:r>
                <w:rPr>
                  <w:rFonts w:ascii="Arial" w:cs="Arial" w:eastAsia="Arial" w:hAnsi="Arial"/>
                  <w:sz w:val="17"/>
                  <w:szCs w:val="17"/>
                  <w:color w:val="auto"/>
                  <w:w w:val="91"/>
                </w:rPr>
                <w:t>F-36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6">
              <w:r>
                <w:rPr>
                  <w:rFonts w:ascii="Arial" w:cs="Arial" w:eastAsia="Arial" w:hAnsi="Arial"/>
                  <w:sz w:val="17"/>
                  <w:szCs w:val="17"/>
                  <w:u w:val="single" w:color="auto"/>
                  <w:color w:val="0000EE"/>
                </w:rPr>
                <w:t>Note 13</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6">
              <w:r>
                <w:rPr>
                  <w:rFonts w:ascii="Arial" w:cs="Arial" w:eastAsia="Arial" w:hAnsi="Arial"/>
                  <w:sz w:val="17"/>
                  <w:szCs w:val="17"/>
                  <w:u w:val="single" w:color="auto"/>
                  <w:color w:val="0000EE"/>
                </w:rPr>
                <w:t>Redeemable Series A Preferred Units</w:t>
              </w:r>
            </w:hyperlink>
          </w:p>
        </w:tc>
        <w:tc>
          <w:tcPr>
            <w:tcW w:w="2600" w:type="dxa"/>
            <w:vAlign w:val="bottom"/>
          </w:tcPr>
          <w:p>
            <w:pPr>
              <w:ind w:left="2260"/>
              <w:spacing w:after="0"/>
              <w:rPr>
                <w:rFonts w:ascii="Arial" w:cs="Arial" w:eastAsia="Arial" w:hAnsi="Arial"/>
                <w:sz w:val="17"/>
                <w:szCs w:val="17"/>
                <w:color w:val="auto"/>
                <w:w w:val="91"/>
              </w:rPr>
            </w:pPr>
            <w:hyperlink w:anchor="page276">
              <w:r>
                <w:rPr>
                  <w:rFonts w:ascii="Arial" w:cs="Arial" w:eastAsia="Arial" w:hAnsi="Arial"/>
                  <w:sz w:val="17"/>
                  <w:szCs w:val="17"/>
                  <w:color w:val="auto"/>
                  <w:w w:val="91"/>
                </w:rPr>
                <w:t>F-37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7">
              <w:r>
                <w:rPr>
                  <w:rFonts w:ascii="Arial" w:cs="Arial" w:eastAsia="Arial" w:hAnsi="Arial"/>
                  <w:sz w:val="17"/>
                  <w:szCs w:val="17"/>
                  <w:u w:val="single" w:color="auto"/>
                  <w:color w:val="0000EE"/>
                </w:rPr>
                <w:t>Note 14</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7">
              <w:r>
                <w:rPr>
                  <w:rFonts w:ascii="Arial" w:cs="Arial" w:eastAsia="Arial" w:hAnsi="Arial"/>
                  <w:sz w:val="17"/>
                  <w:szCs w:val="17"/>
                  <w:u w:val="single" w:color="auto"/>
                  <w:color w:val="0000EE"/>
                </w:rPr>
                <w:t>Employee Retirement Benefits</w:t>
              </w:r>
            </w:hyperlink>
          </w:p>
        </w:tc>
        <w:tc>
          <w:tcPr>
            <w:tcW w:w="2600" w:type="dxa"/>
            <w:vAlign w:val="bottom"/>
          </w:tcPr>
          <w:p>
            <w:pPr>
              <w:ind w:left="2260"/>
              <w:spacing w:after="0"/>
              <w:rPr>
                <w:rFonts w:ascii="Arial" w:cs="Arial" w:eastAsia="Arial" w:hAnsi="Arial"/>
                <w:sz w:val="17"/>
                <w:szCs w:val="17"/>
                <w:color w:val="auto"/>
                <w:w w:val="91"/>
              </w:rPr>
            </w:pPr>
            <w:hyperlink w:anchor="page277">
              <w:r>
                <w:rPr>
                  <w:rFonts w:ascii="Arial" w:cs="Arial" w:eastAsia="Arial" w:hAnsi="Arial"/>
                  <w:sz w:val="17"/>
                  <w:szCs w:val="17"/>
                  <w:color w:val="auto"/>
                  <w:w w:val="91"/>
                </w:rPr>
                <w:t>F-38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7">
              <w:r>
                <w:rPr>
                  <w:rFonts w:ascii="Arial" w:cs="Arial" w:eastAsia="Arial" w:hAnsi="Arial"/>
                  <w:sz w:val="17"/>
                  <w:szCs w:val="17"/>
                  <w:u w:val="single" w:color="auto"/>
                  <w:color w:val="0000EE"/>
                </w:rPr>
                <w:t>Note 15</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7">
              <w:r>
                <w:rPr>
                  <w:rFonts w:ascii="Arial" w:cs="Arial" w:eastAsia="Arial" w:hAnsi="Arial"/>
                  <w:sz w:val="17"/>
                  <w:szCs w:val="17"/>
                  <w:u w:val="single" w:color="auto"/>
                  <w:color w:val="0000EE"/>
                </w:rPr>
                <w:t>Equity-Based Compensation</w:t>
              </w:r>
            </w:hyperlink>
          </w:p>
        </w:tc>
        <w:tc>
          <w:tcPr>
            <w:tcW w:w="2600" w:type="dxa"/>
            <w:vAlign w:val="bottom"/>
          </w:tcPr>
          <w:p>
            <w:pPr>
              <w:ind w:left="2260"/>
              <w:spacing w:after="0"/>
              <w:rPr>
                <w:rFonts w:ascii="Arial" w:cs="Arial" w:eastAsia="Arial" w:hAnsi="Arial"/>
                <w:sz w:val="17"/>
                <w:szCs w:val="17"/>
                <w:color w:val="auto"/>
                <w:w w:val="91"/>
              </w:rPr>
            </w:pPr>
            <w:hyperlink w:anchor="page277">
              <w:r>
                <w:rPr>
                  <w:rFonts w:ascii="Arial" w:cs="Arial" w:eastAsia="Arial" w:hAnsi="Arial"/>
                  <w:sz w:val="17"/>
                  <w:szCs w:val="17"/>
                  <w:color w:val="auto"/>
                  <w:w w:val="91"/>
                </w:rPr>
                <w:t>F-38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79">
              <w:r>
                <w:rPr>
                  <w:rFonts w:ascii="Arial" w:cs="Arial" w:eastAsia="Arial" w:hAnsi="Arial"/>
                  <w:sz w:val="17"/>
                  <w:szCs w:val="17"/>
                  <w:u w:val="single" w:color="auto"/>
                  <w:color w:val="0000EE"/>
                </w:rPr>
                <w:t>Note 16</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79">
              <w:r>
                <w:rPr>
                  <w:rFonts w:ascii="Arial" w:cs="Arial" w:eastAsia="Arial" w:hAnsi="Arial"/>
                  <w:sz w:val="17"/>
                  <w:szCs w:val="17"/>
                  <w:u w:val="single" w:color="auto"/>
                  <w:color w:val="0000EE"/>
                </w:rPr>
                <w:t>Segment and Geographic Data</w:t>
              </w:r>
            </w:hyperlink>
          </w:p>
        </w:tc>
        <w:tc>
          <w:tcPr>
            <w:tcW w:w="2600" w:type="dxa"/>
            <w:vAlign w:val="bottom"/>
          </w:tcPr>
          <w:p>
            <w:pPr>
              <w:ind w:left="2260"/>
              <w:spacing w:after="0"/>
              <w:rPr>
                <w:rFonts w:ascii="Arial" w:cs="Arial" w:eastAsia="Arial" w:hAnsi="Arial"/>
                <w:sz w:val="17"/>
                <w:szCs w:val="17"/>
                <w:color w:val="auto"/>
                <w:w w:val="91"/>
              </w:rPr>
            </w:pPr>
            <w:hyperlink w:anchor="page279">
              <w:r>
                <w:rPr>
                  <w:rFonts w:ascii="Arial" w:cs="Arial" w:eastAsia="Arial" w:hAnsi="Arial"/>
                  <w:sz w:val="17"/>
                  <w:szCs w:val="17"/>
                  <w:color w:val="auto"/>
                  <w:w w:val="91"/>
                </w:rPr>
                <w:t>F-40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0">
              <w:r>
                <w:rPr>
                  <w:rFonts w:ascii="Arial" w:cs="Arial" w:eastAsia="Arial" w:hAnsi="Arial"/>
                  <w:sz w:val="17"/>
                  <w:szCs w:val="17"/>
                  <w:u w:val="single" w:color="auto"/>
                  <w:color w:val="0000EE"/>
                </w:rPr>
                <w:t>Note 17</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0">
              <w:r>
                <w:rPr>
                  <w:rFonts w:ascii="Arial" w:cs="Arial" w:eastAsia="Arial" w:hAnsi="Arial"/>
                  <w:sz w:val="17"/>
                  <w:szCs w:val="17"/>
                  <w:u w:val="single" w:color="auto"/>
                  <w:color w:val="0000EE"/>
                </w:rPr>
                <w:t>Income Tax Provisions</w:t>
              </w:r>
            </w:hyperlink>
          </w:p>
        </w:tc>
        <w:tc>
          <w:tcPr>
            <w:tcW w:w="2600" w:type="dxa"/>
            <w:vAlign w:val="bottom"/>
          </w:tcPr>
          <w:p>
            <w:pPr>
              <w:ind w:left="2260"/>
              <w:spacing w:after="0"/>
              <w:rPr>
                <w:rFonts w:ascii="Arial" w:cs="Arial" w:eastAsia="Arial" w:hAnsi="Arial"/>
                <w:sz w:val="17"/>
                <w:szCs w:val="17"/>
                <w:color w:val="auto"/>
                <w:w w:val="91"/>
              </w:rPr>
            </w:pPr>
            <w:hyperlink w:anchor="page280">
              <w:r>
                <w:rPr>
                  <w:rFonts w:ascii="Arial" w:cs="Arial" w:eastAsia="Arial" w:hAnsi="Arial"/>
                  <w:sz w:val="17"/>
                  <w:szCs w:val="17"/>
                  <w:color w:val="auto"/>
                  <w:w w:val="91"/>
                </w:rPr>
                <w:t>F-41</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2">
              <w:r>
                <w:rPr>
                  <w:rFonts w:ascii="Arial" w:cs="Arial" w:eastAsia="Arial" w:hAnsi="Arial"/>
                  <w:sz w:val="17"/>
                  <w:szCs w:val="17"/>
                  <w:u w:val="single" w:color="auto"/>
                  <w:color w:val="0000EE"/>
                </w:rPr>
                <w:t>Note 18</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2">
              <w:r>
                <w:rPr>
                  <w:rFonts w:ascii="Arial" w:cs="Arial" w:eastAsia="Arial" w:hAnsi="Arial"/>
                  <w:sz w:val="17"/>
                  <w:szCs w:val="17"/>
                  <w:u w:val="single" w:color="auto"/>
                  <w:color w:val="0000EE"/>
                </w:rPr>
                <w:t>Subsequent Events</w:t>
              </w:r>
            </w:hyperlink>
          </w:p>
        </w:tc>
        <w:tc>
          <w:tcPr>
            <w:tcW w:w="2600" w:type="dxa"/>
            <w:vAlign w:val="bottom"/>
          </w:tcPr>
          <w:p>
            <w:pPr>
              <w:ind w:left="2260"/>
              <w:spacing w:after="0"/>
              <w:rPr>
                <w:rFonts w:ascii="Arial" w:cs="Arial" w:eastAsia="Arial" w:hAnsi="Arial"/>
                <w:sz w:val="17"/>
                <w:szCs w:val="17"/>
                <w:color w:val="auto"/>
                <w:w w:val="91"/>
              </w:rPr>
            </w:pPr>
            <w:hyperlink w:anchor="page282">
              <w:r>
                <w:rPr>
                  <w:rFonts w:ascii="Arial" w:cs="Arial" w:eastAsia="Arial" w:hAnsi="Arial"/>
                  <w:sz w:val="17"/>
                  <w:szCs w:val="17"/>
                  <w:color w:val="auto"/>
                  <w:w w:val="91"/>
                </w:rPr>
                <w:t>F-43</w:t>
              </w:r>
            </w:hyperlink>
          </w:p>
        </w:tc>
      </w:tr>
      <w:tr>
        <w:trPr>
          <w:trHeight w:val="668"/>
        </w:trPr>
        <w:tc>
          <w:tcPr>
            <w:tcW w:w="900" w:type="dxa"/>
            <w:vAlign w:val="bottom"/>
          </w:tcPr>
          <w:p>
            <w:pPr>
              <w:spacing w:after="0"/>
              <w:rPr>
                <w:sz w:val="24"/>
                <w:szCs w:val="24"/>
                <w:color w:val="auto"/>
              </w:rPr>
            </w:pPr>
          </w:p>
        </w:tc>
        <w:tc>
          <w:tcPr>
            <w:tcW w:w="7540" w:type="dxa"/>
            <w:vAlign w:val="bottom"/>
          </w:tcPr>
          <w:p>
            <w:pPr>
              <w:ind w:left="4520"/>
              <w:spacing w:after="0"/>
              <w:rPr>
                <w:sz w:val="20"/>
                <w:szCs w:val="20"/>
                <w:color w:val="auto"/>
              </w:rPr>
            </w:pPr>
            <w:r>
              <w:rPr>
                <w:rFonts w:ascii="Arial" w:cs="Arial" w:eastAsia="Arial" w:hAnsi="Arial"/>
                <w:sz w:val="17"/>
                <w:szCs w:val="17"/>
                <w:color w:val="auto"/>
              </w:rPr>
              <w:t>F-13</w:t>
            </w:r>
          </w:p>
        </w:tc>
        <w:tc>
          <w:tcPr>
            <w:tcW w:w="2600" w:type="dxa"/>
            <w:vAlign w:val="bottom"/>
          </w:tcPr>
          <w:p>
            <w:pPr>
              <w:spacing w:after="0"/>
              <w:rPr>
                <w:sz w:val="24"/>
                <w:szCs w:val="24"/>
                <w:color w:val="auto"/>
              </w:rPr>
            </w:pPr>
          </w:p>
        </w:tc>
      </w:tr>
    </w:tbl>
    <w:p>
      <w:pPr>
        <w:sectPr>
          <w:pgSz w:w="11900" w:h="16838" w:orient="portrait"/>
          <w:cols w:equalWidth="0" w:num="1">
            <w:col w:w="11040"/>
          </w:cols>
          <w:pgMar w:left="360" w:top="330" w:right="49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b w:val="1"/>
          <w:bCs w:val="1"/>
          <w:color w:val="auto"/>
        </w:rPr>
        <w:t>Note 1 - Organization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DiscoverOrg Holdings, LLC (together with its subsidiaries, “DiscoverOrg” or the “Company”) provides a go-to-market intelligence platform for sales and marketing teams. The Company’s cloud-based platform provides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Company’s headquarters are located in Vancouver, Washington, with operations in seven offices throughout the United States (“U.S.”) and one office in Israel.</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began operations in 2007 through a predecessor entity then called DiscoverOrg LLC and was incorporated in Delaware in 2014 as a limited liability company. The Company is comprised of two limited liability companies that are treated as partnerships for tax purposes, eleven limited liability companies that are single member entities and disregarded for tax purposes, two corporations, and one foreign entity. Members' liability is limited pursuant to the Delaware Limited Liability Company Act.</w:t>
      </w:r>
    </w:p>
    <w:p>
      <w:pPr>
        <w:spacing w:after="0" w:line="120" w:lineRule="exact"/>
        <w:rPr>
          <w:sz w:val="20"/>
          <w:szCs w:val="20"/>
          <w:color w:val="auto"/>
        </w:rPr>
      </w:pPr>
    </w:p>
    <w:p>
      <w:pPr>
        <w:ind w:right="5400"/>
        <w:spacing w:after="0" w:line="453" w:lineRule="auto"/>
        <w:rPr>
          <w:sz w:val="20"/>
          <w:szCs w:val="20"/>
          <w:color w:val="auto"/>
        </w:rPr>
      </w:pPr>
      <w:r>
        <w:rPr>
          <w:rFonts w:ascii="Arial" w:cs="Arial" w:eastAsia="Arial" w:hAnsi="Arial"/>
          <w:sz w:val="17"/>
          <w:szCs w:val="17"/>
          <w:b w:val="1"/>
          <w:bCs w:val="1"/>
          <w:color w:val="auto"/>
        </w:rPr>
        <w:t xml:space="preserve">Note 2 - Basis of Presentation and Summary of Significant Accounting Policies </w:t>
      </w:r>
      <w:r>
        <w:rPr>
          <w:rFonts w:ascii="Arial" w:cs="Arial" w:eastAsia="Arial" w:hAnsi="Arial"/>
          <w:sz w:val="17"/>
          <w:szCs w:val="17"/>
          <w:b w:val="1"/>
          <w:bCs w:val="1"/>
          <w:i w:val="1"/>
          <w:iCs w:val="1"/>
          <w:color w:val="auto"/>
        </w:rPr>
        <w:t>Basis of Presentation</w:t>
      </w:r>
    </w:p>
    <w:p>
      <w:pPr>
        <w:spacing w:after="0" w:line="2"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United States (“GAAP”). The consolidated financial statements include the results of DiscoverOrg Holdings, LLC and its wholly owned subsidiaries. All intercompany balances and transactions have been eliminated in consolidation.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a business combination, equity-based compensation and income taxes, among other things. Management bases these estimates on historical and anticipated results, trends, and other assumptions with respect to future events that we believe are reasonable and evaluate the Company’s estimates on an ongoing basis. Given that estimates and judgments are required, actual results may differ and such differences could be material to the consolidated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derives revenue primarily from subscription services. Subscription services consist of SaaS applications and related access to the Company’s databases. Subscription contracts are generally based on the number of users that access the applications, the level of functionality, and the number of datasets or records made available. Subscription contracts typically have a term of one to three years and are non-cancellable. Subscription contracts generally represent a single performance obligation and are recognized on a ratable basis over the subscription term. Services are typically billed quarterly or annually in advance of delivery.</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 xml:space="preserve">The Company adopted Financial Accounting Standards Board (“FASB”) Accounting Standards Codification (“ASC”) Topic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w:t>
      </w:r>
      <w:r>
        <w:rPr>
          <w:rFonts w:ascii="Arial" w:cs="Arial" w:eastAsia="Arial" w:hAnsi="Arial"/>
          <w:sz w:val="17"/>
          <w:szCs w:val="17"/>
          <w:color w:val="auto"/>
        </w:rPr>
        <w:t>(“Topic 606”), effective January 1, 2018, using the full retrospective method of adoption as if the adoption occurred on January 1,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such, the consolidated financial statements present revenue in accordance with Topic 606 for all the periods presented.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240"/>
          </w:cols>
          <w:pgMar w:left="320" w:top="331" w:right="339" w:bottom="1440" w:gutter="0" w:footer="0" w:header="0"/>
        </w:sectPr>
      </w:pPr>
    </w:p>
    <w:bookmarkStart w:id="253" w:name="page254"/>
    <w:bookmarkEnd w:id="253"/>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accounts for revenue contracts with customers through the following steps:</w:t>
      </w:r>
    </w:p>
    <w:p>
      <w:pPr>
        <w:spacing w:after="0" w:line="171" w:lineRule="exact"/>
        <w:rPr>
          <w:sz w:val="20"/>
          <w:szCs w:val="20"/>
          <w:color w:val="auto"/>
        </w:rPr>
      </w:pPr>
    </w:p>
    <w:p>
      <w:pPr>
        <w:ind w:left="640" w:hanging="321"/>
        <w:spacing w:after="0"/>
        <w:tabs>
          <w:tab w:leader="none" w:pos="6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identify the contract with a customer;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allocate the transaction price;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recognize revenue when or as the Company satisfies a performance obligation.</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recognizes revenue for subscription contracts on a ratable basis over the contract term, beginning on the date that the service is made available to the customer. Unearned revenue results from revenue amounts billed to customers in advance or cash received from customers in advance of the satisfaction of performance obligations. At times, the Company may adjust billing under a contract based on the addition of services or other circumstances, which are accounted for as variable consideration under Topic 606. The Company estimates these amounts based on historical experience to arrive at transaction price.</w:t>
      </w:r>
    </w:p>
    <w:p>
      <w:pPr>
        <w:spacing w:after="0" w:line="126"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identified an error in its consolidated balance sheet as of January 1, 2018 related to the adoption of ASC 606, Revenue from Contracts with Customers, consisting of a $4.3 million understatement of members’ deficit and an understatement of deferred revenue of the same amount. The Company has corrected this error by decreasing members’ deficit by $4.3 million to $29.8 million in the consolidated statements of changes in members’ deficit as of January 1, 2018, and adjusting unearned revenue and member’s deficit in the consolidated balance sheets as of December 31, 2018 both by $4.3 million. The Company does not believe these adjustments are material to the previously issued financial statements, and the adjustments had no impact on the consolidated statements of operations or consolidated statements of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83"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Company's financial instruments consist principally of cash and cash equivalents, prepaid expenses and other current assets, accounts receivable,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 of highly liquid investments with maturities of three months or less at the time of purchase.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240"/>
          </w:cols>
          <w:pgMar w:left="320" w:top="750" w:right="33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Customers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2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Concentrations of credit risk with respect to accounts receivable and revenue are limited due to a large, diverse customer base. The Company does not require collateral from clients. The Company maintains an allowance for doubtful accounts based upon the expected collectability of accounts receivable. The Company maintains allowances for possible losses, which, when realized, have been within the range of management’s expectations.</w:t>
      </w:r>
    </w:p>
    <w:p>
      <w:pPr>
        <w:spacing w:after="0" w:line="10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During the years ended December 31, 2019 and 2018, revenue by geographic area, based on billing addresses of the customers, was as follows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6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1"/>
              </w:rPr>
              <w:t>For the year ended December 31,</w:t>
            </w:r>
          </w:p>
        </w:tc>
        <w:tc>
          <w:tcPr>
            <w:tcW w:w="560" w:type="dxa"/>
            <w:vAlign w:val="bottom"/>
            <w:tcBorders>
              <w:bottom w:val="single" w:sz="8" w:color="auto"/>
            </w:tcBorders>
          </w:tcPr>
          <w:p>
            <w:pPr>
              <w:spacing w:after="0"/>
              <w:rPr>
                <w:sz w:val="16"/>
                <w:szCs w:val="16"/>
                <w:color w:val="auto"/>
              </w:rPr>
            </w:pPr>
          </w:p>
        </w:tc>
      </w:tr>
      <w:tr>
        <w:trPr>
          <w:trHeight w:val="255"/>
        </w:trPr>
        <w:tc>
          <w:tcPr>
            <w:tcW w:w="8000" w:type="dxa"/>
            <w:vAlign w:val="bottom"/>
          </w:tcPr>
          <w:p>
            <w:pPr>
              <w:spacing w:after="0"/>
              <w:rPr>
                <w:sz w:val="22"/>
                <w:szCs w:val="22"/>
                <w:color w:val="auto"/>
              </w:rPr>
            </w:pPr>
          </w:p>
        </w:tc>
        <w:tc>
          <w:tcPr>
            <w:tcW w:w="1000" w:type="dxa"/>
            <w:vAlign w:val="bottom"/>
          </w:tcPr>
          <w:p>
            <w:pPr>
              <w:ind w:left="640"/>
              <w:spacing w:after="0"/>
              <w:rPr>
                <w:sz w:val="20"/>
                <w:szCs w:val="20"/>
                <w:color w:val="auto"/>
              </w:rPr>
            </w:pPr>
            <w:r>
              <w:rPr>
                <w:rFonts w:ascii="Arial" w:cs="Arial" w:eastAsia="Arial" w:hAnsi="Arial"/>
                <w:sz w:val="14"/>
                <w:szCs w:val="14"/>
                <w:b w:val="1"/>
                <w:bCs w:val="1"/>
                <w:color w:val="auto"/>
              </w:rPr>
              <w:t>2019</w:t>
            </w:r>
          </w:p>
        </w:tc>
        <w:tc>
          <w:tcPr>
            <w:tcW w:w="1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2"/>
                <w:szCs w:val="22"/>
                <w:color w:val="auto"/>
              </w:rPr>
            </w:pPr>
          </w:p>
        </w:tc>
      </w:tr>
      <w:tr>
        <w:trPr>
          <w:trHeight w:val="24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United States</w:t>
            </w:r>
          </w:p>
        </w:tc>
        <w:tc>
          <w:tcPr>
            <w:tcW w:w="1000" w:type="dxa"/>
            <w:vAlign w:val="bottom"/>
            <w:tcBorders>
              <w:top w:val="single" w:sz="8" w:color="auto"/>
              <w:bottom w:val="single" w:sz="8" w:color="CCEEFF"/>
            </w:tcBorders>
            <w:shd w:val="clear" w:color="auto" w:fill="CCEEFF"/>
          </w:tcPr>
          <w:p>
            <w:pPr>
              <w:jc w:val="right"/>
              <w:ind w:right="821"/>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134.9</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Rest of world</w:t>
            </w:r>
          </w:p>
        </w:tc>
        <w:tc>
          <w:tcPr>
            <w:tcW w:w="1000" w:type="dxa"/>
            <w:vAlign w:val="bottom"/>
          </w:tcPr>
          <w:p>
            <w:pPr>
              <w:spacing w:after="0"/>
              <w:rPr>
                <w:sz w:val="20"/>
                <w:szCs w:val="20"/>
                <w:color w:val="auto"/>
              </w:rPr>
            </w:pPr>
          </w:p>
        </w:tc>
        <w:tc>
          <w:tcPr>
            <w:tcW w:w="580" w:type="dxa"/>
            <w:vAlign w:val="bottom"/>
          </w:tcPr>
          <w:p>
            <w:pPr>
              <w:jc w:val="right"/>
              <w:ind w:right="17"/>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9.4</w:t>
            </w:r>
          </w:p>
        </w:tc>
      </w:tr>
      <w:tr>
        <w:trPr>
          <w:trHeight w:val="27"/>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 single foreign country and no single customer represented more than 10% of the Company’s revenues in any period.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Contract assets represent a contractual right to consideration in the future. Contract assets are generated when contractual billing schedules differ from revenue recognition timing.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to ten years.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240"/>
          </w:cols>
          <w:pgMar w:left="320" w:top="750" w:right="339" w:bottom="1440" w:gutter="0" w:footer="0" w:header="0"/>
        </w:sectPr>
      </w:pPr>
    </w:p>
    <w:bookmarkStart w:id="255" w:name="page256"/>
    <w:bookmarkEnd w:id="255"/>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contracts are capitalized and included in deferred costs and other assets. Capitalized amounts also include (1) amounts paid to employees other than the direct sales force who earn incentive payouts under annual compensation plans that are tied to the value of contracts acquired, (2) commissions paid to employees upon renewals of subscription contracts, and (3) the associated payroll taxes associated with the payments to the Company’s employees.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Costs capitalized related to new revenue contracts are amortized on a straight-line basis over three years, which reflects the average period of benefit, including expected contract renewals. When determining the period of benefit, the Company considered its customer contracts, technology, and other relevant factors. Additionally, the Company amortizes capitalized costs for contract renewals over twelve months.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Certain commissions are not capitalized as they do not represent incremental costs of obtaining a contract. Such commissions are expensed as incurred.</w:t>
      </w:r>
    </w:p>
    <w:p>
      <w:pPr>
        <w:spacing w:after="0" w:line="18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capitalized $25.3 million and $3.3 million of costs to obtain revenue contracts and amortized $8.6 million and $1.5 million to sales and marketing expense for the years ended December 31, 2019 and 2018, respectively. Costs capitalized to obtain a revenue contract, net on the Company's consolidated balance sheets totaled $20.5 million and $3.8 million at December 31, 2019 and 2018, respectively. There were no impairments of costs to obtain revenue contracts in the years ended December 31, 2019 and 2018.</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 xml:space="preserve">The Company expenses advertising costs as incurred in accordance with ASC 720-35, </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$9.8 million and $2.5 million for the years ended December 31, 2019 and 2018, respectively, are included in sales and marketing on the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 xml:space="preserve">The Company accounts for research and development costs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and all research and development costs are expensed as incurred. Research and development costs consist primarily of salaries, employee benefits, related overhead costs associated with product development, testing, quality assurance, documentation, enhancements, and upgrades.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Transaction Related Expenses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Company allocates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40"/>
          </w:cols>
          <w:pgMar w:left="320" w:top="750" w:right="339" w:bottom="1440" w:gutter="0" w:footer="0" w:header="0"/>
        </w:sectPr>
      </w:pPr>
    </w:p>
    <w:bookmarkStart w:id="256" w:name="page257"/>
    <w:bookmarkEnd w:id="256"/>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DiscoverOrg has one reporting unit.</w:t>
      </w:r>
    </w:p>
    <w:p>
      <w:pPr>
        <w:spacing w:after="0" w:line="119"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The Company first assesses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(see Note 6 - Goodwill and Acquired Intangible Assets).</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Acquired intangible assets are amortized on a straight-line basis over the estimated period over which we expect to realize economic value related to the intangible asset. The amortization periods range from 2 years to 15 years.</w:t>
      </w:r>
    </w:p>
    <w:p>
      <w:pPr>
        <w:spacing w:after="0" w:line="106"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Indefinite lived intangible assets consist primarily of brand portfolios acquired from Pre-Acquisition ZI and represent costs paid to legally register phrases and graphic designs that identify and distinguish products sold by the Company. ZoomInfo related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during the years ended December 31, 2019 and 2018 relating to acquired assets accounted for under ASC 350.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40"/>
          </w:cols>
          <w:pgMar w:left="320" w:top="750" w:right="33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asset exceeds the estimated future cash flows of the asset. During the year ended December 31, 2019, we recorded an impairment charge of $1.1 million relating to the impairment of a right-of-use asset acquired in Pre-Acquisition ZI acquisition (refer to Note 4 – Business Combinations). No impairment charges were recorded during the year ended December 31, 2018.</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Accrued expenses and other current liabilities at December 31, 2019 and 2018, include the following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0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000" w:type="dxa"/>
            <w:vAlign w:val="bottom"/>
            <w:shd w:val="clear" w:color="auto" w:fill="CCEEFF"/>
          </w:tcPr>
          <w:p>
            <w:pPr>
              <w:ind w:left="40"/>
              <w:spacing w:after="0" w:line="260" w:lineRule="exact"/>
              <w:rPr>
                <w:sz w:val="20"/>
                <w:szCs w:val="20"/>
                <w:color w:val="auto"/>
              </w:rPr>
            </w:pPr>
            <w:r>
              <w:rPr>
                <w:rFonts w:ascii="Arial" w:cs="Arial" w:eastAsia="Arial" w:hAnsi="Arial"/>
                <w:sz w:val="17"/>
                <w:szCs w:val="17"/>
                <w:color w:val="auto"/>
              </w:rPr>
              <w:t>Accrued salaries, wages, and benefits</w:t>
            </w:r>
            <w:r>
              <w:rPr>
                <w:rFonts w:ascii="Arial" w:cs="Arial" w:eastAsia="Arial" w:hAnsi="Arial"/>
                <w:sz w:val="24"/>
                <w:szCs w:val="24"/>
                <w:color w:val="auto"/>
                <w:vertAlign w:val="superscript"/>
              </w:rPr>
              <w:t>(1)</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42.6</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Other</w:t>
            </w:r>
          </w:p>
        </w:tc>
        <w:tc>
          <w:tcPr>
            <w:tcW w:w="104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accrued expenses and other current liabilities</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8000" w:type="dxa"/>
            <w:vAlign w:val="bottom"/>
            <w:vMerge w:val="restart"/>
          </w:tcPr>
          <w:p>
            <w:pPr>
              <w:jc w:val="right"/>
              <w:ind w:right="6657"/>
              <w:spacing w:after="0"/>
              <w:rPr>
                <w:sz w:val="20"/>
                <w:szCs w:val="20"/>
                <w:color w:val="auto"/>
              </w:rPr>
            </w:pPr>
            <w:r>
              <w:rPr>
                <w:rFonts w:ascii="Arial" w:cs="Arial" w:eastAsia="Arial" w:hAnsi="Arial"/>
                <w:sz w:val="14"/>
                <w:szCs w:val="14"/>
                <w:color w:val="auto"/>
                <w:w w:val="88"/>
              </w:rPr>
              <w:t>__________________</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0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Includes $24.9 million of deferred consideration relating to the ZoomInfo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Unearned Revenue</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Unearned revenue consists of customer payments and billings in advance of revenue being recognized from the subscription services. Unearned revenue that is anticipated to be recognized within the next 12 months is recorded as unearned revenue, current portion and the remaining portion is included in unearned revenue, net of current portion.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71"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is comprised of two limited liability companies that are treated as partnerships for tax purposes, eleven limited liability companies that are single member entities and disregarded for tax purposes, two corporations, and one foreign entity.</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The Company records income tax provision, deferred tax assets, and deferred tax liabilities only for the items for which the Company is responsible for making payments directly to the relevant tax authority.</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240"/>
          </w:cols>
          <w:pgMar w:left="320" w:top="750" w:right="339" w:bottom="1440" w:gutter="0" w:footer="0" w:header="0"/>
        </w:sectPr>
      </w:pPr>
    </w:p>
    <w:bookmarkStart w:id="258" w:name="page259"/>
    <w:bookmarkEnd w:id="258"/>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is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the Company believes that its estimates and judgments were reasonable, actual results may differ from these estimates. Some or all of these judgments are subject to review by the taxing authorities.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recognizes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0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 xml:space="preserve">The Company accounts for incentive units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1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12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 xml:space="preserve">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Prior to the adoption of ASU 2018-07, </w:t>
      </w:r>
      <w:r>
        <w:rPr>
          <w:rFonts w:ascii="Arial" w:cs="Arial" w:eastAsia="Arial" w:hAnsi="Arial"/>
          <w:sz w:val="17"/>
          <w:szCs w:val="17"/>
          <w:i w:val="1"/>
          <w:iCs w:val="1"/>
          <w:color w:val="auto"/>
        </w:rPr>
        <w:t>Compensation - Stock Compensation (Topic 718) - Improvements to Nonemployee Share-Based Payment Accounting,</w:t>
      </w:r>
      <w:r>
        <w:rPr>
          <w:rFonts w:ascii="Arial" w:cs="Arial" w:eastAsia="Arial" w:hAnsi="Arial"/>
          <w:sz w:val="17"/>
          <w:szCs w:val="17"/>
          <w:color w:val="auto"/>
        </w:rPr>
        <w:t xml:space="preserve"> on January 1, 2019, the Company measured the fair value of stock-based awards granted to non-employees in accordance with ASC 505-50-25, </w:t>
      </w:r>
      <w:r>
        <w:rPr>
          <w:rFonts w:ascii="Arial" w:cs="Arial" w:eastAsia="Arial" w:hAnsi="Arial"/>
          <w:sz w:val="17"/>
          <w:szCs w:val="17"/>
          <w:i w:val="1"/>
          <w:iCs w:val="1"/>
          <w:color w:val="auto"/>
        </w:rPr>
        <w:t>Equity Based Payments to Non-Employees</w:t>
      </w:r>
      <w:r>
        <w:rPr>
          <w:rFonts w:ascii="Arial" w:cs="Arial" w:eastAsia="Arial" w:hAnsi="Arial"/>
          <w:sz w:val="17"/>
          <w:szCs w:val="17"/>
          <w:color w:val="auto"/>
        </w:rPr>
        <w:t>, which required the measurement and recognition of compensation expense for all equity-based payment awards made to non-employees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Upon the adoption of ASU 2018-07, the Company fair valued the remaining outstanding unvested non-employee awards as of January 1, 2019 and will recognize expense in the same periods and in the same manner as if the Company had paid cash to the recipient in lieu of the non-employee award.</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71"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 xml:space="preserve">Effective January 1, 2019, the Company adopted ASU No. 2017-12, </w:t>
      </w:r>
      <w:r>
        <w:rPr>
          <w:rFonts w:ascii="Arial" w:cs="Arial" w:eastAsia="Arial" w:hAnsi="Arial"/>
          <w:sz w:val="15"/>
          <w:szCs w:val="15"/>
          <w:i w:val="1"/>
          <w:iCs w:val="1"/>
          <w:color w:val="auto"/>
        </w:rPr>
        <w:t>Derivatives and Hedging (Topic 815), Targeted Improvements to 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Hedging Activities </w:t>
      </w:r>
      <w:r>
        <w:rPr>
          <w:rFonts w:ascii="Arial" w:cs="Arial" w:eastAsia="Arial" w:hAnsi="Arial"/>
          <w:sz w:val="15"/>
          <w:szCs w:val="15"/>
          <w:color w:val="auto"/>
        </w:rPr>
        <w:t>(ASU 2017-12) on a prospective basis. The new guidance eliminates the requirement to separately measure and report hedge ineffectiveness</w:t>
      </w:r>
      <w:r>
        <w:rPr>
          <w:rFonts w:ascii="Arial" w:cs="Arial" w:eastAsia="Arial" w:hAnsi="Arial"/>
          <w:sz w:val="15"/>
          <w:szCs w:val="15"/>
          <w:i w:val="1"/>
          <w:iCs w:val="1"/>
          <w:color w:val="auto"/>
        </w:rPr>
        <w:t xml:space="preserve"> </w:t>
      </w:r>
      <w:r>
        <w:rPr>
          <w:rFonts w:ascii="Arial" w:cs="Arial" w:eastAsia="Arial" w:hAnsi="Arial"/>
          <w:sz w:val="15"/>
          <w:szCs w:val="15"/>
          <w:color w:val="auto"/>
        </w:rPr>
        <w:t>and, for qualifying hedges, requires the entire change in the fair value of the hedging instrument to be presented in the same income statement line as the hedged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240"/>
          </w:cols>
          <w:pgMar w:left="320" w:top="750" w:right="33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7"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item. The Company’s hedges, consisting of our interest rate swaps and interest rate cap, are fully effective. Therefore, adoption of ASU 2017-12 did not have any impact on the Company’s financial statements. See Note 8 - Derivatives and Hedging Activities for the disclosures required by ASU 2017-12.</w:t>
      </w:r>
    </w:p>
    <w:p>
      <w:pPr>
        <w:spacing w:after="0" w:line="83"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which increases the transparency and comparability among organizations’ accounting for leases. The guidance requires a company to recognize lease assets and liabilities on the balance sheet, as well as disclose key information about lease arrangements. In July 2018, the FASB issued guidance to permit an alternative transition method for ASC 842, which allows transition to the new lease standard by recognizing a cumulative-effect adjustment to the opening balance of retained earnings in the period of adoption. The Company adopted ASC 842 as of January 1, 2019 under this new alternative transition method. The Company elected the package of practical expedients permitted under the transition guidance within the new standard, which among other things, allows the Company to carry forward the historical lease classification. In addition, as a practical expedient relating to its real estate leases, the Company will not separate lease components from nonlease components. The Company did not elect the hindsight practical expedient permitted under the transition guidance within the new lease standard. The Company recognized a right-of-use asset of $9.3 million and a lease liability of $12.8 million, largely pertaining to the Company’s headquarter office lease, with a cumulative-effect adjustment, net of tax, to retained earnings in the amount of $1.8 million representing hidden impairment, upon adoption of ASC 842. The adoption of ASC 842 did not, and is not expected to in the future, have a material impact on earnings.</w:t>
      </w:r>
    </w:p>
    <w:p>
      <w:pPr>
        <w:spacing w:after="0" w:line="118" w:lineRule="exact"/>
        <w:rPr>
          <w:sz w:val="20"/>
          <w:szCs w:val="20"/>
          <w:color w:val="auto"/>
        </w:rPr>
      </w:pPr>
    </w:p>
    <w:p>
      <w:pPr>
        <w:jc w:val="both"/>
        <w:ind w:firstLine="314"/>
        <w:spacing w:after="0" w:line="280"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This update expands the scope of Topic 718, “Compensation - Stock Compensation,” to include equity-based awards granted to non-employees in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for goods or services. The accounting for employees and non-employees will be substantially aligned. For public entities, ASU 2018-07 is required to be adopted for annual periods beginning after December 15, 2018, including interim periods within those fiscal years. For non-public entities and emerging growth companies that choose to take advantage of the extended transition periods, ASU 2018-07 is effective for annual periods beginning after December 15, 2019. Early adoption is permitted for all entities but no earlier than the Company's adoption of ASU 2014-09. The Company adopted ASU 2018-07 on January 1, 2019. In accordance with transition guidance, unsettled non-employee awards were measured at the adoption date fair value as a substitute for grant date fair value. There was no impact to the consolidated financial statements upon adoption.</w:t>
      </w:r>
    </w:p>
    <w:p>
      <w:pPr>
        <w:spacing w:after="0" w:line="11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(“ASU 2018-15”) which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 cloud computing arrangements with the requirements for capitalizing implementation costs incurred to develop or obtain internal-use software. ASU 2018-15 is effective for annual and interim periods beginning after December 15, 2019, with early adoption permitted. Companies can choose to adopt the new guidance prospectively or retrospectively. The Company elected to early adopt the standard, on a prospective basis, effective for the year and interim periods within the year beginning January 1, 2019. The adoption of this standard did not have a material impact on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the measurement and recognition of expected credit losses for financial assets held at amortized cost. It also eliminates the concept</w:t>
      </w:r>
      <w:r>
        <w:rPr>
          <w:rFonts w:ascii="Arial" w:cs="Arial" w:eastAsia="Arial" w:hAnsi="Arial"/>
          <w:sz w:val="17"/>
          <w:szCs w:val="17"/>
          <w:i w:val="1"/>
          <w:iCs w:val="1"/>
          <w:color w:val="auto"/>
        </w:rPr>
        <w:t xml:space="preserve"> </w:t>
      </w:r>
      <w:r>
        <w:rPr>
          <w:rFonts w:ascii="Arial" w:cs="Arial" w:eastAsia="Arial" w:hAnsi="Arial"/>
          <w:sz w:val="17"/>
          <w:szCs w:val="17"/>
          <w:color w:val="auto"/>
        </w:rPr>
        <w:t>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2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which amends disclosure requirements for fair value measurements by requiring new disclosures, modifying existing requirements, and eliminating others. The amendments are the result of a broader disclosure project, which aims to improve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240"/>
          </w:cols>
          <w:pgMar w:left="320" w:top="750" w:right="339" w:bottom="1440" w:gutter="0" w:footer="0" w:header="0"/>
        </w:sectPr>
      </w:pPr>
    </w:p>
    <w:bookmarkStart w:id="260" w:name="page261"/>
    <w:bookmarkEnd w:id="260"/>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38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Detail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comprised the following service offerings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55"/>
        </w:trPr>
        <w:tc>
          <w:tcPr>
            <w:tcW w:w="80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intelligence tools</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289.3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143.4</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Email verification service</w:t>
            </w:r>
          </w:p>
        </w:tc>
        <w:tc>
          <w:tcPr>
            <w:tcW w:w="10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0.9</w:t>
            </w:r>
          </w:p>
        </w:tc>
      </w:tr>
      <w:tr>
        <w:trPr>
          <w:trHeight w:val="27"/>
        </w:trPr>
        <w:tc>
          <w:tcPr>
            <w:tcW w:w="8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r>
      <w:tr>
        <w:trPr>
          <w:trHeight w:val="20"/>
        </w:trPr>
        <w:tc>
          <w:tcPr>
            <w:tcW w:w="8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Go-To-Market business intelligence tools are subscription services that allow customers access to the SaaS tools to support sales and marketing processes, which include data, analytics, and insights to provide accurate and comprehensive intelligence on organizations and professionals. The Company’s customers use the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Of the total revenue recognized in the years ended December 31, 2019 and 2018, $52.2 million and $37.1 million was included in the unearned revenue balance as of December 31, 2018 and 2017, respectively. Revenue recognized from performance obligations satisfied (or partially satisfied) in previous periods was not material.</w:t>
      </w:r>
    </w:p>
    <w:p>
      <w:pPr>
        <w:spacing w:after="0" w:line="11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Revenue by geography is determined based on the domicile of the DiscoverOrg contracting entity. All customer contracts are with the Company’s U.S. entities, therefore substantially all of the revenue is designated as U.S. revenue. Due to the SaaS-based nature of the service, it is possible that some of the customers use the service outside of the U.S. The Company estimates that less than 11% of its customers are located outside of the U.S.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Unearned Revenue</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Company’s standard billing terms typically require payment at the beginning of each annual or quarterly period. Subscription revenue is generally recognized ratably over the contract term starting with when the service is made available to the customer. Email verification service revenue is recognized in the period services are used by customers. The amount of revenue recognized reflects the consideration the Company expects to be entitled to receive in exchange for these services.</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non-cancellable subscription agreements.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contract asset balances of $0.1 million and $1.1 million as of December 31, 2019 and 2018, respectively, are recorded as current assets within Prepaid expenses and other current assets in the consolidated balance sheets. The unearned revenue balances were $159.1 million and $52.5 million as of December 31, 2019 and 2018,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240"/>
          </w:cols>
          <w:pgMar w:left="320" w:top="750" w:right="339" w:bottom="1440" w:gutter="0" w:footer="0" w:header="0"/>
        </w:sectPr>
      </w:pPr>
    </w:p>
    <w:bookmarkStart w:id="261" w:name="page262"/>
    <w:bookmarkEnd w:id="261"/>
    <w:p>
      <w:pPr>
        <w:spacing w:after="0"/>
        <w:rPr>
          <w:sz w:val="20"/>
          <w:szCs w:val="20"/>
          <w:color w:val="auto"/>
        </w:rPr>
      </w:pPr>
      <w:r>
        <w:rPr>
          <w:rFonts w:ascii="Arial" w:cs="Arial" w:eastAsia="Arial" w:hAnsi="Arial"/>
          <w:sz w:val="17"/>
          <w:szCs w:val="17"/>
          <w:b w:val="1"/>
          <w:bCs w:val="1"/>
          <w:color w:val="auto"/>
        </w:rPr>
        <w:t>Note 3 - Revenue from Contracts with Customers (continued)</w:t>
      </w:r>
    </w:p>
    <w:p>
      <w:pPr>
        <w:spacing w:after="0" w:line="38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performance obligations consisted of the following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Current</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Noncurrent</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Total</w:t>
            </w:r>
          </w:p>
        </w:tc>
      </w:tr>
      <w:tr>
        <w:trPr>
          <w:trHeight w:val="24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 of December 31, 2018</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93"/>
              </w:rPr>
              <w:t>111.9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w w:val="90"/>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155.1</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As of December 31, 2019</w:t>
            </w:r>
          </w:p>
        </w:tc>
        <w:tc>
          <w:tcPr>
            <w:tcW w:w="1060" w:type="dxa"/>
            <w:vAlign w:val="bottom"/>
          </w:tcPr>
          <w:p>
            <w:pPr>
              <w:jc w:val="right"/>
              <w:ind w:right="859"/>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3"/>
              <w:spacing w:after="0"/>
              <w:rPr>
                <w:sz w:val="20"/>
                <w:szCs w:val="20"/>
                <w:color w:val="auto"/>
              </w:rPr>
            </w:pPr>
            <w:r>
              <w:rPr>
                <w:rFonts w:ascii="Arial" w:cs="Arial" w:eastAsia="Arial" w:hAnsi="Arial"/>
                <w:sz w:val="17"/>
                <w:szCs w:val="17"/>
                <w:color w:val="auto"/>
                <w:w w:val="93"/>
              </w:rPr>
              <w:t>266.6</w:t>
            </w:r>
          </w:p>
        </w:tc>
        <w:tc>
          <w:tcPr>
            <w:tcW w:w="120" w:type="dxa"/>
            <w:vAlign w:val="bottom"/>
          </w:tcPr>
          <w:p>
            <w:pPr>
              <w:spacing w:after="0"/>
              <w:rPr>
                <w:sz w:val="20"/>
                <w:szCs w:val="20"/>
                <w:color w:val="auto"/>
              </w:rPr>
            </w:pPr>
          </w:p>
        </w:tc>
        <w:tc>
          <w:tcPr>
            <w:tcW w:w="1140" w:type="dxa"/>
            <w:vAlign w:val="bottom"/>
          </w:tcPr>
          <w:p>
            <w:pPr>
              <w:jc w:val="right"/>
              <w:ind w:right="939"/>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3"/>
              <w:spacing w:after="0"/>
              <w:rPr>
                <w:sz w:val="20"/>
                <w:szCs w:val="20"/>
                <w:color w:val="auto"/>
              </w:rPr>
            </w:pPr>
            <w:r>
              <w:rPr>
                <w:rFonts w:ascii="Arial" w:cs="Arial" w:eastAsia="Arial" w:hAnsi="Arial"/>
                <w:sz w:val="17"/>
                <w:szCs w:val="17"/>
                <w:color w:val="auto"/>
                <w:w w:val="90"/>
              </w:rPr>
              <w:t>74.1</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340.7</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Komiko</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Contingent earnout payments</w:t>
            </w:r>
          </w:p>
        </w:tc>
        <w:tc>
          <w:tcPr>
            <w:tcW w:w="6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0"/>
        </w:trPr>
        <w:tc>
          <w:tcPr>
            <w:tcW w:w="9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Developed technology</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Unearned revenue</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Goodwill</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6.3</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consideration</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Contingent Earnout Payments</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paid for acquisitions</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8.3</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240"/>
          </w:cols>
          <w:pgMar w:left="320" w:top="750" w:right="339" w:bottom="1440" w:gutter="0" w:footer="0" w:header="0"/>
        </w:sectPr>
      </w:pPr>
    </w:p>
    <w:bookmarkStart w:id="262" w:name="page263"/>
    <w:bookmarkEnd w:id="262"/>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acquired consisted of primarily $2.4 million of developed technology with an estimated useful life of 7 years.</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 The pro forma revenue and earnings impact on the combined entity, had the acquisition date been January 1, 2018, was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Pre-Acquisition ZI</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acquisition date fair value of the consideration paid by the Company for Pre-Acquisition ZI was $760.1 million, including cash acquired of $12.1 million, and was comprised of the following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consideration</w:t>
            </w:r>
          </w:p>
        </w:tc>
        <w:tc>
          <w:tcPr>
            <w:tcW w:w="5120" w:type="dxa"/>
            <w:vAlign w:val="bottom"/>
            <w:tcBorders>
              <w:bottom w:val="single" w:sz="8" w:color="CCEEFF"/>
            </w:tcBorders>
            <w:gridSpan w:val="2"/>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667.3</w:t>
            </w:r>
          </w:p>
        </w:tc>
      </w:tr>
      <w:tr>
        <w:trPr>
          <w:trHeight w:val="235"/>
        </w:trPr>
        <w:tc>
          <w:tcPr>
            <w:tcW w:w="5140" w:type="dxa"/>
            <w:vAlign w:val="bottom"/>
          </w:tcPr>
          <w:p>
            <w:pPr>
              <w:ind w:left="40"/>
              <w:spacing w:after="0"/>
              <w:rPr>
                <w:sz w:val="20"/>
                <w:szCs w:val="20"/>
                <w:color w:val="auto"/>
              </w:rPr>
            </w:pPr>
            <w:r>
              <w:rPr>
                <w:rFonts w:ascii="Arial" w:cs="Arial" w:eastAsia="Arial" w:hAnsi="Arial"/>
                <w:sz w:val="17"/>
                <w:szCs w:val="17"/>
                <w:color w:val="auto"/>
              </w:rPr>
              <w:t>Liability for equity award settlement</w:t>
            </w:r>
          </w:p>
        </w:tc>
        <w:tc>
          <w:tcPr>
            <w:tcW w:w="4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25.2</w:t>
            </w:r>
          </w:p>
        </w:tc>
      </w:tr>
      <w:tr>
        <w:trPr>
          <w:trHeight w:val="27"/>
        </w:trPr>
        <w:tc>
          <w:tcPr>
            <w:tcW w:w="5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w w:val="99"/>
              </w:rPr>
              <w:t>Portion of replacement awards attributable to pre-acquisition service</w:t>
            </w:r>
          </w:p>
        </w:tc>
        <w:tc>
          <w:tcPr>
            <w:tcW w:w="45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27.9</w:t>
            </w:r>
          </w:p>
        </w:tc>
      </w:tr>
      <w:tr>
        <w:trPr>
          <w:trHeight w:val="235"/>
        </w:trPr>
        <w:tc>
          <w:tcPr>
            <w:tcW w:w="5140" w:type="dxa"/>
            <w:vAlign w:val="bottom"/>
          </w:tcPr>
          <w:p>
            <w:pPr>
              <w:ind w:left="40"/>
              <w:spacing w:after="0"/>
              <w:rPr>
                <w:sz w:val="20"/>
                <w:szCs w:val="20"/>
                <w:color w:val="auto"/>
              </w:rPr>
            </w:pPr>
            <w:r>
              <w:rPr>
                <w:rFonts w:ascii="Arial" w:cs="Arial" w:eastAsia="Arial" w:hAnsi="Arial"/>
                <w:sz w:val="17"/>
                <w:szCs w:val="17"/>
                <w:color w:val="auto"/>
              </w:rPr>
              <w:t>Other purchase consideration liabilities</w:t>
            </w:r>
          </w:p>
        </w:tc>
        <w:tc>
          <w:tcPr>
            <w:tcW w:w="4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6.5</w:t>
            </w:r>
          </w:p>
        </w:tc>
      </w:tr>
      <w:tr>
        <w:trPr>
          <w:trHeight w:val="27"/>
        </w:trPr>
        <w:tc>
          <w:tcPr>
            <w:tcW w:w="5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consideration</w:t>
            </w:r>
          </w:p>
        </w:tc>
        <w:tc>
          <w:tcPr>
            <w:tcW w:w="45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33.2</w:t>
            </w:r>
          </w:p>
        </w:tc>
      </w:tr>
      <w:tr>
        <w:trPr>
          <w:trHeight w:val="248"/>
        </w:trPr>
        <w:tc>
          <w:tcPr>
            <w:tcW w:w="5140" w:type="dxa"/>
            <w:vAlign w:val="bottom"/>
          </w:tcPr>
          <w:p>
            <w:pPr>
              <w:ind w:left="40"/>
              <w:spacing w:after="0"/>
              <w:rPr>
                <w:sz w:val="20"/>
                <w:szCs w:val="20"/>
                <w:color w:val="auto"/>
              </w:rPr>
            </w:pPr>
            <w:r>
              <w:rPr>
                <w:rFonts w:ascii="Arial" w:cs="Arial" w:eastAsia="Arial" w:hAnsi="Arial"/>
                <w:sz w:val="17"/>
                <w:szCs w:val="17"/>
                <w:color w:val="auto"/>
              </w:rPr>
              <w:t>Total purchase consideration</w:t>
            </w:r>
          </w:p>
        </w:tc>
        <w:tc>
          <w:tcPr>
            <w:tcW w:w="454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760.1</w:t>
            </w:r>
          </w:p>
        </w:tc>
      </w:tr>
      <w:tr>
        <w:trPr>
          <w:trHeight w:val="20"/>
        </w:trPr>
        <w:tc>
          <w:tcPr>
            <w:tcW w:w="51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72"/>
        </w:trPr>
        <w:tc>
          <w:tcPr>
            <w:tcW w:w="5140" w:type="dxa"/>
            <w:vAlign w:val="bottom"/>
          </w:tcPr>
          <w:p>
            <w:pPr>
              <w:spacing w:after="0"/>
              <w:rPr>
                <w:sz w:val="24"/>
                <w:szCs w:val="24"/>
                <w:color w:val="auto"/>
              </w:rPr>
            </w:pPr>
          </w:p>
        </w:tc>
        <w:tc>
          <w:tcPr>
            <w:tcW w:w="5120" w:type="dxa"/>
            <w:vAlign w:val="bottom"/>
            <w:gridSpan w:val="2"/>
          </w:tcPr>
          <w:p>
            <w:pPr>
              <w:jc w:val="right"/>
              <w:ind w:right="4393"/>
              <w:spacing w:after="0"/>
              <w:rPr>
                <w:sz w:val="20"/>
                <w:szCs w:val="20"/>
                <w:color w:val="auto"/>
              </w:rPr>
            </w:pPr>
            <w:r>
              <w:rPr>
                <w:rFonts w:ascii="Arial" w:cs="Arial" w:eastAsia="Arial" w:hAnsi="Arial"/>
                <w:sz w:val="17"/>
                <w:szCs w:val="17"/>
                <w:color w:val="auto"/>
              </w:rPr>
              <w:t>F-24</w:t>
            </w:r>
          </w:p>
        </w:tc>
        <w:tc>
          <w:tcPr>
            <w:tcW w:w="980" w:type="dxa"/>
            <w:vAlign w:val="bottom"/>
          </w:tcPr>
          <w:p>
            <w:pPr>
              <w:spacing w:after="0"/>
              <w:rPr>
                <w:sz w:val="24"/>
                <w:szCs w:val="24"/>
                <w:color w:val="auto"/>
              </w:rPr>
            </w:pPr>
          </w:p>
        </w:tc>
      </w:tr>
    </w:tbl>
    <w:p>
      <w:pPr>
        <w:sectPr>
          <w:pgSz w:w="11900" w:h="16838" w:orient="portrait"/>
          <w:cols w:equalWidth="0" w:num="1">
            <w:col w:w="11240"/>
          </w:cols>
          <w:pgMar w:left="320" w:top="750" w:right="339" w:bottom="1440" w:gutter="0" w:footer="0" w:header="0"/>
        </w:sectPr>
      </w:pPr>
    </w:p>
    <w:bookmarkStart w:id="263" w:name="page264"/>
    <w:bookmarkEnd w:id="263"/>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30"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In accordance with the purchase agreement, the Company will pay deferred consideration of $25.0 million and $10.0 million on the first and second anniversary of the Pre-Acquisition ZI acquisition, respectively. The fair value of the deferred consideration payments was determined using a present value calculation. The following table summarizes the fair values of the assets acquired and liabilities assumed, as of the date of acquisition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Accounts receivable</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22.1</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Prepaid expenses and other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4.2</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Property and equipment</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6.3</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28.6</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322.0</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 and other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Lease liabilities</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Unearned revenue</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245.3</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Goodwill</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514.8</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consideration</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760.1</w:t>
            </w:r>
          </w:p>
        </w:tc>
      </w:tr>
      <w:tr>
        <w:trPr>
          <w:trHeight w:val="228"/>
        </w:trPr>
        <w:tc>
          <w:tcPr>
            <w:tcW w:w="9680" w:type="dxa"/>
            <w:vAlign w:val="bottom"/>
          </w:tcPr>
          <w:p>
            <w:pPr>
              <w:ind w:left="480"/>
              <w:spacing w:after="0"/>
              <w:rPr>
                <w:sz w:val="20"/>
                <w:szCs w:val="20"/>
                <w:color w:val="auto"/>
              </w:rPr>
            </w:pPr>
            <w:r>
              <w:rPr>
                <w:rFonts w:ascii="Arial" w:cs="Arial" w:eastAsia="Arial" w:hAnsi="Arial"/>
                <w:sz w:val="17"/>
                <w:szCs w:val="17"/>
                <w:color w:val="auto"/>
              </w:rPr>
              <w:t>Deferred consideration</w:t>
            </w: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Cash acquired</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48"/>
        </w:trPr>
        <w:tc>
          <w:tcPr>
            <w:tcW w:w="9680" w:type="dxa"/>
            <w:vAlign w:val="bottom"/>
          </w:tcPr>
          <w:p>
            <w:pPr>
              <w:ind w:left="40"/>
              <w:spacing w:after="0"/>
              <w:rPr>
                <w:sz w:val="20"/>
                <w:szCs w:val="20"/>
                <w:color w:val="auto"/>
              </w:rPr>
            </w:pPr>
            <w:r>
              <w:rPr>
                <w:rFonts w:ascii="Arial" w:cs="Arial" w:eastAsia="Arial" w:hAnsi="Arial"/>
                <w:sz w:val="17"/>
                <w:szCs w:val="17"/>
                <w:color w:val="auto"/>
              </w:rPr>
              <w:t>Cash paid for acquisitions, net of cash acquired</w:t>
            </w: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714.8</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119" w:lineRule="exact"/>
        <w:rPr>
          <w:sz w:val="20"/>
          <w:szCs w:val="20"/>
          <w:color w:val="auto"/>
        </w:rPr>
      </w:pPr>
    </w:p>
    <w:p>
      <w:pPr>
        <w:jc w:val="both"/>
        <w:ind w:firstLine="314"/>
        <w:spacing w:after="0" w:line="305" w:lineRule="auto"/>
        <w:rPr>
          <w:sz w:val="20"/>
          <w:szCs w:val="20"/>
          <w:color w:val="auto"/>
        </w:rPr>
      </w:pPr>
      <w:r>
        <w:rPr>
          <w:rFonts w:ascii="Arial" w:cs="Arial" w:eastAsia="Arial" w:hAnsi="Arial"/>
          <w:sz w:val="15"/>
          <w:szCs w:val="15"/>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9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240"/>
          </w:cols>
          <w:pgMar w:left="320" w:top="750" w:right="339" w:bottom="1440" w:gutter="0" w:footer="0" w:header="0"/>
        </w:sectPr>
      </w:pPr>
    </w:p>
    <w:bookmarkStart w:id="264" w:name="page265"/>
    <w:bookmarkEnd w:id="264"/>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following table sets forth the components of identifiable intangible assets acquired and the estimated useful lives as of the date of acquisition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 Useful</w:t>
            </w:r>
          </w:p>
        </w:tc>
        <w:tc>
          <w:tcPr>
            <w:tcW w:w="0" w:type="dxa"/>
            <w:vAlign w:val="bottom"/>
          </w:tcPr>
          <w:p>
            <w:pPr>
              <w:spacing w:after="0"/>
              <w:rPr>
                <w:sz w:val="1"/>
                <w:szCs w:val="1"/>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Brand portfolio</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8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116.0</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5.8 years</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173.0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15.0 years</w:t>
            </w:r>
          </w:p>
        </w:tc>
        <w:tc>
          <w:tcPr>
            <w:tcW w:w="0" w:type="dxa"/>
            <w:vAlign w:val="bottom"/>
          </w:tcPr>
          <w:p>
            <w:pPr>
              <w:spacing w:after="0"/>
              <w:rPr>
                <w:sz w:val="1"/>
                <w:szCs w:val="1"/>
                <w:color w:val="auto"/>
              </w:rPr>
            </w:pPr>
          </w:p>
        </w:tc>
      </w:tr>
      <w:tr>
        <w:trPr>
          <w:trHeight w:val="248"/>
        </w:trPr>
        <w:tc>
          <w:tcPr>
            <w:tcW w:w="8000" w:type="dxa"/>
            <w:vAlign w:val="bottom"/>
          </w:tcPr>
          <w:p>
            <w:pPr>
              <w:ind w:left="260"/>
              <w:spacing w:after="0"/>
              <w:rPr>
                <w:sz w:val="20"/>
                <w:szCs w:val="20"/>
                <w:color w:val="auto"/>
              </w:rPr>
            </w:pPr>
            <w:r>
              <w:rPr>
                <w:rFonts w:ascii="Arial" w:cs="Arial" w:eastAsia="Arial" w:hAnsi="Arial"/>
                <w:sz w:val="17"/>
                <w:szCs w:val="17"/>
                <w:color w:val="auto"/>
              </w:rPr>
              <w:t>Total intangible assets</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322.0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unaudited pro forma revenue and earnings of the combined entity had the acquisition date been January 1, 2018,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0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85"/>
              </w:rPr>
              <w:t>Revenue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right"/>
              <w:ind w:right="101"/>
              <w:spacing w:after="0"/>
              <w:rPr>
                <w:sz w:val="20"/>
                <w:szCs w:val="20"/>
                <w:color w:val="auto"/>
              </w:rPr>
            </w:pPr>
            <w:r>
              <w:rPr>
                <w:rFonts w:ascii="Arial" w:cs="Arial" w:eastAsia="Arial" w:hAnsi="Arial"/>
                <w:sz w:val="14"/>
                <w:szCs w:val="14"/>
                <w:b w:val="1"/>
                <w:bCs w:val="1"/>
                <w:color w:val="auto"/>
              </w:rPr>
              <w:t>Loss Before Income</w:t>
            </w:r>
          </w:p>
        </w:tc>
        <w:tc>
          <w:tcPr>
            <w:tcW w:w="0" w:type="dxa"/>
            <w:vAlign w:val="bottom"/>
          </w:tcPr>
          <w:p>
            <w:pPr>
              <w:spacing w:after="0"/>
              <w:rPr>
                <w:sz w:val="1"/>
                <w:szCs w:val="1"/>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4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Supplemental pro forma from January 1, 2019 to December 31, 2019</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9"/>
              </w:rPr>
              <w:t>334.1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35"/>
        </w:trPr>
        <w:tc>
          <w:tcPr>
            <w:tcW w:w="9060" w:type="dxa"/>
            <w:vAlign w:val="bottom"/>
            <w:gridSpan w:val="2"/>
          </w:tcPr>
          <w:p>
            <w:pPr>
              <w:ind w:left="40"/>
              <w:spacing w:after="0"/>
              <w:rPr>
                <w:sz w:val="20"/>
                <w:szCs w:val="20"/>
                <w:color w:val="auto"/>
              </w:rPr>
            </w:pPr>
            <w:r>
              <w:rPr>
                <w:rFonts w:ascii="Arial" w:cs="Arial" w:eastAsia="Arial" w:hAnsi="Arial"/>
                <w:sz w:val="17"/>
                <w:szCs w:val="17"/>
                <w:color w:val="auto"/>
              </w:rPr>
              <w:t>Supplemental pro forma from January 1, 2018 to December 31, 2018</w:t>
            </w:r>
          </w:p>
        </w:tc>
        <w:tc>
          <w:tcPr>
            <w:tcW w:w="520" w:type="dxa"/>
            <w:vAlign w:val="bottom"/>
          </w:tcPr>
          <w:p>
            <w:pPr>
              <w:jc w:val="right"/>
              <w:ind w:right="33"/>
              <w:spacing w:after="0"/>
              <w:rPr>
                <w:sz w:val="20"/>
                <w:szCs w:val="20"/>
                <w:color w:val="auto"/>
              </w:rPr>
            </w:pPr>
            <w:r>
              <w:rPr>
                <w:rFonts w:ascii="Arial" w:cs="Arial" w:eastAsia="Arial" w:hAnsi="Arial"/>
                <w:sz w:val="17"/>
                <w:szCs w:val="17"/>
                <w:color w:val="auto"/>
                <w:w w:val="89"/>
              </w:rPr>
              <w:t>205.6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(146.4)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unaudited pro forma information above is adjusted for the amortization of unearned revenue fair value adjustments, acquired tangible and intangible assets, interest expense, and $9.2 million of transaction costs and bonuses incurred by the Company and Pre-Acquisition ZI as if the acquisition had occurred on January 1, 2018. This pro forma information is prepared for comparative purposes only and does not necessarily reflect the actual results that would have occurred, nor is it necessarily indicative of future results of operations of the combined companies.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NeverBounce</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In September 2018, DiscoverOrg acquired certain assets and assumed certain liabilities of Metrics Delivered LLC (“NeverBounce”), which provided email verification services under the NeverBounce trade name. The Company has included the financial results of NeverBounce in the consolidated financial statements from the date of acquisition. Transaction costs associated with the acquisition were $0.1 million and are included in General and administrative expense. The acquisition date fair value of the consideration transferred for NeverBounce was approximately $9.6 million, which was comprised of the following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Contingent Earnout Payments</w:t>
            </w:r>
          </w:p>
        </w:tc>
        <w:tc>
          <w:tcPr>
            <w:tcW w:w="6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1.1</w:t>
            </w:r>
          </w:p>
        </w:tc>
      </w:tr>
      <w:tr>
        <w:trPr>
          <w:trHeight w:val="27"/>
        </w:trPr>
        <w:tc>
          <w:tcPr>
            <w:tcW w:w="9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9.6</w:t>
            </w:r>
          </w:p>
        </w:tc>
      </w:tr>
      <w:tr>
        <w:trPr>
          <w:trHeight w:val="20"/>
        </w:trPr>
        <w:tc>
          <w:tcPr>
            <w:tcW w:w="9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much as $2.0 million. As of December 31, 2019,</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240"/>
          </w:cols>
          <w:pgMar w:left="320" w:top="750" w:right="339" w:bottom="1440" w:gutter="0" w:footer="0" w:header="0"/>
        </w:sectPr>
      </w:pPr>
    </w:p>
    <w:bookmarkStart w:id="265" w:name="page266"/>
    <w:bookmarkEnd w:id="265"/>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contingent consideration of $0.4 million had been paid and remaining payments may be up to $1.6 million if all performance criteria are met.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Fixed assets</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Brand portfolio</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Developed technology</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Customer relationships</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1.1</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expenses &amp; unearned revenue</w:t>
            </w:r>
          </w:p>
        </w:tc>
        <w:tc>
          <w:tcPr>
            <w:tcW w:w="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8"/>
        </w:trPr>
        <w:tc>
          <w:tcPr>
            <w:tcW w:w="9680" w:type="dxa"/>
            <w:vAlign w:val="bottom"/>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640" w:type="dxa"/>
            <w:vAlign w:val="bottom"/>
            <w:tcBorders>
              <w:top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3.6</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Goodwill</w:t>
            </w:r>
          </w:p>
        </w:tc>
        <w:tc>
          <w:tcPr>
            <w:tcW w:w="6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6.0</w:t>
            </w:r>
          </w:p>
        </w:tc>
      </w:tr>
      <w:tr>
        <w:trPr>
          <w:trHeight w:val="248"/>
        </w:trPr>
        <w:tc>
          <w:tcPr>
            <w:tcW w:w="9680" w:type="dxa"/>
            <w:vAlign w:val="bottom"/>
          </w:tcPr>
          <w:p>
            <w:pPr>
              <w:ind w:left="260"/>
              <w:spacing w:after="0"/>
              <w:rPr>
                <w:sz w:val="20"/>
                <w:szCs w:val="20"/>
                <w:color w:val="auto"/>
              </w:rPr>
            </w:pPr>
            <w:r>
              <w:rPr>
                <w:rFonts w:ascii="Arial" w:cs="Arial" w:eastAsia="Arial" w:hAnsi="Arial"/>
                <w:sz w:val="17"/>
                <w:szCs w:val="17"/>
                <w:color w:val="auto"/>
              </w:rPr>
              <w:t>Total consideration, net of cash acquired</w:t>
            </w:r>
          </w:p>
        </w:tc>
        <w:tc>
          <w:tcPr>
            <w:tcW w:w="6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9.6</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excess of purchase consideration over the fair value of the net tangible and intangible assets acquired was recorded as goodwill. The fair values assigned to tangible and identifiable intangible assets acquired and liabilities assumed are based on management’s estimates and assumptions. The following table sets forth the components of identifiable intangible assets acquired and the estimated useful lives as of the date of acquisition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Brand portfolio</w:t>
            </w:r>
          </w:p>
        </w:tc>
        <w:tc>
          <w:tcPr>
            <w:tcW w:w="1160" w:type="dxa"/>
            <w:vAlign w:val="bottom"/>
            <w:tcBorders>
              <w:bottom w:val="single" w:sz="8" w:color="CCEEFF"/>
            </w:tcBorders>
            <w:shd w:val="clear" w:color="auto" w:fill="CCEEFF"/>
          </w:tcPr>
          <w:p>
            <w:pPr>
              <w:jc w:val="right"/>
              <w:ind w:right="98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7 years</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1160" w:type="dxa"/>
            <w:vAlign w:val="bottom"/>
          </w:tcPr>
          <w:p>
            <w:pPr>
              <w:spacing w:after="0"/>
              <w:rPr>
                <w:sz w:val="20"/>
                <w:szCs w:val="20"/>
                <w:color w:val="auto"/>
              </w:rPr>
            </w:pPr>
          </w:p>
        </w:tc>
        <w:tc>
          <w:tcPr>
            <w:tcW w:w="400" w:type="dxa"/>
            <w:vAlign w:val="bottom"/>
          </w:tcPr>
          <w:p>
            <w:pPr>
              <w:jc w:val="right"/>
              <w:ind w:right="13"/>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89"/>
              </w:rPr>
              <w:t>7 years</w:t>
            </w:r>
          </w:p>
        </w:tc>
      </w:tr>
      <w:tr>
        <w:trPr>
          <w:trHeight w:val="27"/>
        </w:trPr>
        <w:tc>
          <w:tcPr>
            <w:tcW w:w="8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35"/>
        </w:trPr>
        <w:tc>
          <w:tcPr>
            <w:tcW w:w="8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 years</w:t>
            </w:r>
          </w:p>
        </w:tc>
      </w:tr>
      <w:tr>
        <w:trPr>
          <w:trHeight w:val="27"/>
        </w:trPr>
        <w:tc>
          <w:tcPr>
            <w:tcW w:w="8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Developed technology represents the fair value of the NeverBounce technology. Customer relationships represent the fair values of the underlying relationships with NeverBounce customers. The goodwill balance is primarily attributed to the assembled workforce and the expanded market opportunities when integrating NeverBounce’s technology with DiscoverOrg’s technology. The goodwill balance is expected to be deductible for U.S. income tax purposes.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and Equipment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fixed assets consist of the following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r>
      <w:tr>
        <w:trPr>
          <w:trHeight w:val="242"/>
        </w:trPr>
        <w:tc>
          <w:tcPr>
            <w:tcW w:w="80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equipment</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Furniture and fixtures</w:t>
            </w:r>
          </w:p>
        </w:tc>
        <w:tc>
          <w:tcPr>
            <w:tcW w:w="24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1.2</w:t>
            </w: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Leasehold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2.0</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Internal use developed software</w:t>
            </w:r>
          </w:p>
        </w:tc>
        <w:tc>
          <w:tcPr>
            <w:tcW w:w="24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6"/>
              <w:spacing w:after="0"/>
              <w:rPr>
                <w:sz w:val="20"/>
                <w:szCs w:val="20"/>
                <w:color w:val="auto"/>
              </w:rPr>
            </w:pPr>
            <w:r>
              <w:rPr>
                <w:rFonts w:ascii="Arial" w:cs="Arial" w:eastAsia="Arial" w:hAnsi="Arial"/>
                <w:sz w:val="17"/>
                <w:szCs w:val="17"/>
                <w:color w:val="auto"/>
              </w:rPr>
              <w:t>10.3</w:t>
            </w: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Construction in progress</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8"/>
        </w:trPr>
        <w:tc>
          <w:tcPr>
            <w:tcW w:w="80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15.4</w:t>
            </w:r>
          </w:p>
        </w:tc>
      </w:tr>
      <w:tr>
        <w:trPr>
          <w:trHeight w:val="27"/>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w:t>
            </w:r>
          </w:p>
        </w:tc>
      </w:tr>
      <w:tr>
        <w:trPr>
          <w:trHeight w:val="248"/>
        </w:trPr>
        <w:tc>
          <w:tcPr>
            <w:tcW w:w="800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9.6</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$6.1 million and $2.6 million for the years ended December 31, 2019 and 2018,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240"/>
          </w:cols>
          <w:pgMar w:left="320" w:top="750" w:right="33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b w:val="1"/>
          <w:bCs w:val="1"/>
          <w:color w:val="auto"/>
        </w:rPr>
        <w:t>Note 6 - Goodwill and Acquired Intangible Assets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December 31, 2019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Net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Amortization Period in</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98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4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268.6</w:t>
            </w:r>
          </w:p>
        </w:tc>
        <w:tc>
          <w:tcPr>
            <w:tcW w:w="1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20"/>
                <w:szCs w:val="20"/>
                <w:color w:val="auto"/>
              </w:rPr>
            </w:pPr>
          </w:p>
        </w:tc>
        <w:tc>
          <w:tcPr>
            <w:tcW w:w="98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234.1</w:t>
            </w:r>
          </w:p>
        </w:tc>
        <w:tc>
          <w:tcPr>
            <w:tcW w:w="1660" w:type="dxa"/>
            <w:vAlign w:val="bottom"/>
            <w:gridSpan w:val="2"/>
          </w:tcPr>
          <w:p>
            <w:pPr>
              <w:jc w:val="right"/>
              <w:ind w:right="3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101.4</w:t>
            </w:r>
          </w:p>
        </w:tc>
        <w:tc>
          <w:tcPr>
            <w:tcW w:w="1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Brand portfolio</w:t>
            </w:r>
          </w:p>
        </w:tc>
        <w:tc>
          <w:tcPr>
            <w:tcW w:w="60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2.1</w:t>
            </w:r>
          </w:p>
        </w:tc>
        <w:tc>
          <w:tcPr>
            <w:tcW w:w="1660" w:type="dxa"/>
            <w:vAlign w:val="bottom"/>
            <w:gridSpan w:val="2"/>
          </w:tcPr>
          <w:p>
            <w:pPr>
              <w:jc w:val="right"/>
              <w:ind w:right="3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437.1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337.6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Pre-Acquisition ZI brand portfolio</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966.8</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$42.6 million for the year ended December 31, 2019.</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did not incur cost to renew or extend the term of acquired intangible assets during the years ending December 31, 2019 and 2018.</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amortization expense for intangible assets as of December 31, 2019 is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7"/>
              </w:rPr>
              <w:t>Estimate Amortization</w:t>
            </w:r>
          </w:p>
        </w:tc>
        <w:tc>
          <w:tcPr>
            <w:tcW w:w="0" w:type="dxa"/>
            <w:vAlign w:val="bottom"/>
          </w:tcPr>
          <w:p>
            <w:pPr>
              <w:spacing w:after="0"/>
              <w:rPr>
                <w:sz w:val="1"/>
                <w:szCs w:val="1"/>
                <w:color w:val="auto"/>
              </w:rPr>
            </w:pPr>
          </w:p>
        </w:tc>
      </w:tr>
      <w:tr>
        <w:trPr>
          <w:trHeight w:val="188"/>
        </w:trPr>
        <w:tc>
          <w:tcPr>
            <w:tcW w:w="9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4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 years ended December 31,</w:t>
            </w: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80" w:type="dxa"/>
            <w:vAlign w:val="bottom"/>
          </w:tcPr>
          <w:p>
            <w:pPr>
              <w:jc w:val="right"/>
              <w:ind w:right="9073"/>
              <w:spacing w:after="0"/>
              <w:rPr>
                <w:sz w:val="20"/>
                <w:szCs w:val="20"/>
                <w:color w:val="auto"/>
              </w:rPr>
            </w:pPr>
            <w:r>
              <w:rPr>
                <w:rFonts w:ascii="Arial" w:cs="Arial" w:eastAsia="Arial" w:hAnsi="Arial"/>
                <w:sz w:val="17"/>
                <w:szCs w:val="17"/>
                <w:color w:val="auto"/>
              </w:rPr>
              <w:t>2020</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9680" w:type="dxa"/>
            <w:vAlign w:val="bottom"/>
            <w:tcBorders>
              <w:bottom w:val="single" w:sz="8" w:color="CCEEFF"/>
            </w:tcBorders>
            <w:shd w:val="clear" w:color="auto" w:fill="CCEEFF"/>
          </w:tcPr>
          <w:p>
            <w:pPr>
              <w:jc w:val="right"/>
              <w:ind w:right="9073"/>
              <w:spacing w:after="0"/>
              <w:rPr>
                <w:sz w:val="20"/>
                <w:szCs w:val="20"/>
                <w:color w:val="auto"/>
              </w:rPr>
            </w:pPr>
            <w:r>
              <w:rPr>
                <w:rFonts w:ascii="Arial" w:cs="Arial" w:eastAsia="Arial" w:hAnsi="Arial"/>
                <w:sz w:val="17"/>
                <w:szCs w:val="17"/>
                <w:color w:val="auto"/>
              </w:rPr>
              <w:t>2021</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35"/>
        </w:trPr>
        <w:tc>
          <w:tcPr>
            <w:tcW w:w="9680" w:type="dxa"/>
            <w:vAlign w:val="bottom"/>
          </w:tcPr>
          <w:p>
            <w:pPr>
              <w:jc w:val="right"/>
              <w:ind w:right="9073"/>
              <w:spacing w:after="0"/>
              <w:rPr>
                <w:sz w:val="20"/>
                <w:szCs w:val="20"/>
                <w:color w:val="auto"/>
              </w:rPr>
            </w:pPr>
            <w:r>
              <w:rPr>
                <w:rFonts w:ascii="Arial" w:cs="Arial" w:eastAsia="Arial" w:hAnsi="Arial"/>
                <w:sz w:val="17"/>
                <w:szCs w:val="17"/>
                <w:color w:val="auto"/>
              </w:rPr>
              <w:t>2022</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9680" w:type="dxa"/>
            <w:vAlign w:val="bottom"/>
            <w:tcBorders>
              <w:bottom w:val="single" w:sz="8" w:color="CCEEFF"/>
            </w:tcBorders>
            <w:shd w:val="clear" w:color="auto" w:fill="CCEEFF"/>
          </w:tcPr>
          <w:p>
            <w:pPr>
              <w:jc w:val="right"/>
              <w:ind w:right="9073"/>
              <w:spacing w:after="0"/>
              <w:rPr>
                <w:sz w:val="20"/>
                <w:szCs w:val="20"/>
                <w:color w:val="auto"/>
              </w:rPr>
            </w:pPr>
            <w:r>
              <w:rPr>
                <w:rFonts w:ascii="Arial" w:cs="Arial" w:eastAsia="Arial" w:hAnsi="Arial"/>
                <w:sz w:val="17"/>
                <w:szCs w:val="17"/>
                <w:color w:val="auto"/>
              </w:rPr>
              <w:t>2023</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35"/>
        </w:trPr>
        <w:tc>
          <w:tcPr>
            <w:tcW w:w="9680" w:type="dxa"/>
            <w:vAlign w:val="bottom"/>
          </w:tcPr>
          <w:p>
            <w:pPr>
              <w:jc w:val="right"/>
              <w:ind w:right="9073"/>
              <w:spacing w:after="0"/>
              <w:rPr>
                <w:sz w:val="20"/>
                <w:szCs w:val="20"/>
                <w:color w:val="auto"/>
              </w:rPr>
            </w:pPr>
            <w:r>
              <w:rPr>
                <w:rFonts w:ascii="Arial" w:cs="Arial" w:eastAsia="Arial" w:hAnsi="Arial"/>
                <w:sz w:val="17"/>
                <w:szCs w:val="17"/>
                <w:color w:val="auto"/>
              </w:rPr>
              <w:t>2024</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393"/>
        </w:trPr>
        <w:tc>
          <w:tcPr>
            <w:tcW w:w="9680" w:type="dxa"/>
            <w:vAlign w:val="bottom"/>
          </w:tcPr>
          <w:p>
            <w:pPr>
              <w:ind w:left="320"/>
              <w:spacing w:after="0"/>
              <w:rPr>
                <w:sz w:val="20"/>
                <w:szCs w:val="20"/>
                <w:color w:val="auto"/>
              </w:rPr>
            </w:pPr>
            <w:r>
              <w:rPr>
                <w:rFonts w:ascii="Arial" w:cs="Arial" w:eastAsia="Arial" w:hAnsi="Arial"/>
                <w:sz w:val="17"/>
                <w:szCs w:val="17"/>
                <w:color w:val="auto"/>
              </w:rPr>
              <w:t>The following summarizes changes to the Company’s goodwill (in millions):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9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January 1, 2018</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439.7</w:t>
            </w:r>
          </w:p>
        </w:tc>
        <w:tc>
          <w:tcPr>
            <w:tcW w:w="0" w:type="dxa"/>
            <w:vAlign w:val="bottom"/>
          </w:tcPr>
          <w:p>
            <w:pPr>
              <w:spacing w:after="0"/>
              <w:rPr>
                <w:sz w:val="1"/>
                <w:szCs w:val="1"/>
                <w:color w:val="auto"/>
              </w:rPr>
            </w:pP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Acquisition of NeverBounce</w:t>
            </w:r>
          </w:p>
        </w:tc>
        <w:tc>
          <w:tcPr>
            <w:tcW w:w="3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December 31, 2018</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445.7</w:t>
            </w:r>
          </w:p>
        </w:tc>
        <w:tc>
          <w:tcPr>
            <w:tcW w:w="0" w:type="dxa"/>
            <w:vAlign w:val="bottom"/>
          </w:tcPr>
          <w:p>
            <w:pPr>
              <w:spacing w:after="0"/>
              <w:rPr>
                <w:sz w:val="1"/>
                <w:szCs w:val="1"/>
                <w:color w:val="auto"/>
              </w:rPr>
            </w:pP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Acquisition of ZoomInfo</w:t>
            </w:r>
          </w:p>
        </w:tc>
        <w:tc>
          <w:tcPr>
            <w:tcW w:w="3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7"/>
                <w:szCs w:val="17"/>
                <w:color w:val="auto"/>
              </w:rPr>
              <w:t>514.8</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Acquisition of Komiko</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48"/>
        </w:trPr>
        <w:tc>
          <w:tcPr>
            <w:tcW w:w="9680" w:type="dxa"/>
            <w:vAlign w:val="bottom"/>
          </w:tcPr>
          <w:p>
            <w:pPr>
              <w:ind w:left="40"/>
              <w:spacing w:after="0"/>
              <w:rPr>
                <w:sz w:val="20"/>
                <w:szCs w:val="20"/>
                <w:color w:val="auto"/>
              </w:rPr>
            </w:pPr>
            <w:r>
              <w:rPr>
                <w:rFonts w:ascii="Arial" w:cs="Arial" w:eastAsia="Arial" w:hAnsi="Arial"/>
                <w:sz w:val="17"/>
                <w:szCs w:val="17"/>
                <w:color w:val="auto"/>
              </w:rPr>
              <w:t>Balance at December 31, 2019</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966.8</w:t>
            </w:r>
          </w:p>
        </w:tc>
        <w:tc>
          <w:tcPr>
            <w:tcW w:w="0" w:type="dxa"/>
            <w:vAlign w:val="bottom"/>
          </w:tcPr>
          <w:p>
            <w:pPr>
              <w:spacing w:after="0"/>
              <w:rPr>
                <w:sz w:val="1"/>
                <w:szCs w:val="1"/>
                <w:color w:val="auto"/>
              </w:rPr>
            </w:pPr>
          </w:p>
        </w:tc>
      </w:tr>
      <w:tr>
        <w:trPr>
          <w:trHeight w:val="20"/>
        </w:trPr>
        <w:tc>
          <w:tcPr>
            <w:tcW w:w="9680" w:type="dxa"/>
            <w:vAlign w:val="bottom"/>
            <w:vMerge w:val="restart"/>
          </w:tcPr>
          <w:p>
            <w:pPr>
              <w:ind w:left="5460"/>
              <w:spacing w:after="0"/>
              <w:rPr>
                <w:sz w:val="20"/>
                <w:szCs w:val="20"/>
                <w:color w:val="auto"/>
              </w:rPr>
            </w:pPr>
            <w:r>
              <w:rPr>
                <w:rFonts w:ascii="Arial" w:cs="Arial" w:eastAsia="Arial" w:hAnsi="Arial"/>
                <w:sz w:val="17"/>
                <w:szCs w:val="17"/>
                <w:color w:val="auto"/>
              </w:rPr>
              <w:t>F-28</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9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1" w:right="339" w:bottom="1440" w:gutter="0" w:footer="0" w:header="0"/>
        </w:sectPr>
      </w:pPr>
    </w:p>
    <w:bookmarkStart w:id="267" w:name="page268"/>
    <w:bookmarkEnd w:id="267"/>
    <w:p>
      <w:pPr>
        <w:spacing w:after="0"/>
        <w:rPr>
          <w:sz w:val="20"/>
          <w:szCs w:val="20"/>
          <w:color w:val="auto"/>
        </w:rPr>
      </w:pPr>
      <w:r>
        <w:rPr>
          <w:rFonts w:ascii="Arial" w:cs="Arial" w:eastAsia="Arial" w:hAnsi="Arial"/>
          <w:sz w:val="17"/>
          <w:szCs w:val="17"/>
          <w:b w:val="1"/>
          <w:bCs w:val="1"/>
          <w:color w:val="auto"/>
        </w:rPr>
        <w:t>Note 6 - Goodwill and Acquired Intangible Assets (continued)</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December 31, 2018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96"/>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Amortization Period in</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4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95.6</w:t>
            </w:r>
          </w:p>
        </w:tc>
        <w:tc>
          <w:tcPr>
            <w:tcW w:w="1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78.2</w:t>
            </w:r>
          </w:p>
        </w:tc>
        <w:tc>
          <w:tcPr>
            <w:tcW w:w="1660" w:type="dxa"/>
            <w:vAlign w:val="bottom"/>
            <w:gridSpan w:val="2"/>
          </w:tcPr>
          <w:p>
            <w:pPr>
              <w:jc w:val="right"/>
              <w:ind w:right="30"/>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7.9</w:t>
            </w:r>
          </w:p>
        </w:tc>
        <w:tc>
          <w:tcPr>
            <w:tcW w:w="1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Brand portfolio</w:t>
            </w:r>
          </w:p>
        </w:tc>
        <w:tc>
          <w:tcPr>
            <w:tcW w:w="60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2.6</w:t>
            </w:r>
          </w:p>
        </w:tc>
        <w:tc>
          <w:tcPr>
            <w:tcW w:w="1660" w:type="dxa"/>
            <w:vAlign w:val="bottom"/>
            <w:gridSpan w:val="2"/>
          </w:tcPr>
          <w:p>
            <w:pPr>
              <w:jc w:val="right"/>
              <w:ind w:right="3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Goodwill</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6"/>
              <w:spacing w:after="0"/>
              <w:rPr>
                <w:sz w:val="20"/>
                <w:szCs w:val="20"/>
                <w:color w:val="auto"/>
              </w:rPr>
            </w:pPr>
            <w:r>
              <w:rPr>
                <w:rFonts w:ascii="Arial" w:cs="Arial" w:eastAsia="Arial" w:hAnsi="Arial"/>
                <w:sz w:val="17"/>
                <w:szCs w:val="17"/>
                <w:color w:val="auto"/>
              </w:rPr>
              <w:t>445.7</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Amortization expense was $14.7 million for the year ended December 31, 2018. A summary of estimated future amortization expense is as follows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 the year ending December 31,</w:t>
            </w:r>
          </w:p>
        </w:tc>
        <w:tc>
          <w:tcPr>
            <w:tcW w:w="6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2019</w:t>
            </w:r>
          </w:p>
        </w:tc>
        <w:tc>
          <w:tcPr>
            <w:tcW w:w="62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12.3</w:t>
            </w:r>
          </w:p>
        </w:tc>
      </w:tr>
      <w:tr>
        <w:trPr>
          <w:trHeight w:val="235"/>
        </w:trPr>
        <w:tc>
          <w:tcPr>
            <w:tcW w:w="2960" w:type="dxa"/>
            <w:vAlign w:val="bottom"/>
          </w:tcPr>
          <w:p>
            <w:pPr>
              <w:spacing w:after="0"/>
              <w:rPr>
                <w:sz w:val="20"/>
                <w:szCs w:val="20"/>
                <w:color w:val="auto"/>
              </w:rPr>
            </w:pPr>
          </w:p>
        </w:tc>
        <w:tc>
          <w:tcPr>
            <w:tcW w:w="6720" w:type="dxa"/>
            <w:vAlign w:val="bottom"/>
          </w:tcPr>
          <w:p>
            <w:pPr>
              <w:ind w:left="560"/>
              <w:spacing w:after="0"/>
              <w:rPr>
                <w:sz w:val="20"/>
                <w:szCs w:val="20"/>
                <w:color w:val="auto"/>
              </w:rPr>
            </w:pPr>
            <w:r>
              <w:rPr>
                <w:rFonts w:ascii="Arial" w:cs="Arial" w:eastAsia="Arial" w:hAnsi="Arial"/>
                <w:sz w:val="17"/>
                <w:szCs w:val="17"/>
                <w:color w:val="auto"/>
              </w:rPr>
              <w:t>2020</w:t>
            </w:r>
          </w:p>
        </w:tc>
        <w:tc>
          <w:tcPr>
            <w:tcW w:w="6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7.5</w:t>
            </w:r>
          </w:p>
        </w:tc>
      </w:tr>
      <w:tr>
        <w:trPr>
          <w:trHeight w:val="27"/>
        </w:trPr>
        <w:tc>
          <w:tcPr>
            <w:tcW w:w="29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29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2021</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7.5</w:t>
            </w:r>
          </w:p>
        </w:tc>
      </w:tr>
      <w:tr>
        <w:trPr>
          <w:trHeight w:val="235"/>
        </w:trPr>
        <w:tc>
          <w:tcPr>
            <w:tcW w:w="2960" w:type="dxa"/>
            <w:vAlign w:val="bottom"/>
          </w:tcPr>
          <w:p>
            <w:pPr>
              <w:spacing w:after="0"/>
              <w:rPr>
                <w:sz w:val="20"/>
                <w:szCs w:val="20"/>
                <w:color w:val="auto"/>
              </w:rPr>
            </w:pPr>
          </w:p>
        </w:tc>
        <w:tc>
          <w:tcPr>
            <w:tcW w:w="6720" w:type="dxa"/>
            <w:vAlign w:val="bottom"/>
          </w:tcPr>
          <w:p>
            <w:pPr>
              <w:ind w:left="560"/>
              <w:spacing w:after="0"/>
              <w:rPr>
                <w:sz w:val="20"/>
                <w:szCs w:val="20"/>
                <w:color w:val="auto"/>
              </w:rPr>
            </w:pPr>
            <w:r>
              <w:rPr>
                <w:rFonts w:ascii="Arial" w:cs="Arial" w:eastAsia="Arial" w:hAnsi="Arial"/>
                <w:sz w:val="17"/>
                <w:szCs w:val="17"/>
                <w:color w:val="auto"/>
              </w:rPr>
              <w:t>2022</w:t>
            </w:r>
          </w:p>
        </w:tc>
        <w:tc>
          <w:tcPr>
            <w:tcW w:w="6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7.5</w:t>
            </w:r>
          </w:p>
        </w:tc>
      </w:tr>
      <w:tr>
        <w:trPr>
          <w:trHeight w:val="27"/>
        </w:trPr>
        <w:tc>
          <w:tcPr>
            <w:tcW w:w="29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296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2023</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7.4</w:t>
            </w:r>
          </w:p>
        </w:tc>
      </w:tr>
      <w:tr>
        <w:trPr>
          <w:trHeight w:val="235"/>
        </w:trPr>
        <w:tc>
          <w:tcPr>
            <w:tcW w:w="2960" w:type="dxa"/>
            <w:vAlign w:val="bottom"/>
          </w:tcPr>
          <w:p>
            <w:pPr>
              <w:spacing w:after="0"/>
              <w:rPr>
                <w:sz w:val="20"/>
                <w:szCs w:val="20"/>
                <w:color w:val="auto"/>
              </w:rPr>
            </w:pPr>
          </w:p>
        </w:tc>
        <w:tc>
          <w:tcPr>
            <w:tcW w:w="6720" w:type="dxa"/>
            <w:vAlign w:val="bottom"/>
          </w:tcPr>
          <w:p>
            <w:pPr>
              <w:ind w:left="560"/>
              <w:spacing w:after="0"/>
              <w:rPr>
                <w:sz w:val="20"/>
                <w:szCs w:val="20"/>
                <w:color w:val="auto"/>
              </w:rPr>
            </w:pPr>
            <w:r>
              <w:rPr>
                <w:rFonts w:ascii="Arial" w:cs="Arial" w:eastAsia="Arial" w:hAnsi="Arial"/>
                <w:sz w:val="17"/>
                <w:szCs w:val="17"/>
                <w:color w:val="auto"/>
              </w:rPr>
              <w:t>Thereafter</w:t>
            </w:r>
          </w:p>
        </w:tc>
        <w:tc>
          <w:tcPr>
            <w:tcW w:w="62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46.5</w:t>
            </w:r>
          </w:p>
        </w:tc>
      </w:tr>
      <w:tr>
        <w:trPr>
          <w:trHeight w:val="27"/>
        </w:trPr>
        <w:tc>
          <w:tcPr>
            <w:tcW w:w="296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0"/>
        </w:trPr>
        <w:tc>
          <w:tcPr>
            <w:tcW w:w="296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88.7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Based on the results of the Company’s impairment assessment, the Company did not recognize any impairment of goodwill during the years ended December 31, 2019 and 2018.</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Financing Arrangements</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conjunction with the acquisition of Pre-Acquisition ZI on February 1, 2019, DiscoverOrg raised $965 million of first lien debt (including a $100 million undrawn revolving credit facility), $370 million of second lien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3.25% to 3.5% for Base Rate loans (depending on the Company’s leverage) or 4.25% or 4.5% for LIBOR Based Loans, depending on the Company’s leverage. The first lien borrowings are to be repaid quarterly in the amount of $2.2 million with the final payment due on February 1, 2026. The effective interest rate on the first lien debt was 7.5% for the year ended December 31, 2019. See Note 18 - Subsequent Events regarding a repricing of the first lien debt that occurred subsequent to year end.</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Deferred costs, net of current portion on the accompanying consolidated balance sheets were immaterial as of December 31, 2019.</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240"/>
          </w:cols>
          <w:pgMar w:left="320" w:top="750" w:right="339" w:bottom="1440" w:gutter="0" w:footer="0" w:header="0"/>
        </w:sectPr>
      </w:pPr>
    </w:p>
    <w:bookmarkStart w:id="268" w:name="page269"/>
    <w:bookmarkEnd w:id="268"/>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3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second lien debt has a variable interest rate whereby the Company can elect to use a Base Rate or LIBOR plus an applicable rate. The applicable rate is 7.5% for Base Rate loans or 8.5% for LIBOR Based Loans. The second lien borrowings must be repaid on February 1, 2027. Under certain conditions, the Company will owe a prepayment penalty of 2% or 1%, if the Company repays the loans before February 1, 2020 or February 1, 2021, respectively. The effective interest rate on the second lien debt was 11.9% for the year ended December 31, 2019.</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106" w:lineRule="exact"/>
        <w:rPr>
          <w:sz w:val="20"/>
          <w:szCs w:val="20"/>
          <w:color w:val="auto"/>
        </w:rPr>
      </w:pPr>
    </w:p>
    <w:p>
      <w:pPr>
        <w:ind w:left="640" w:hanging="321"/>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0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Series A Preferred Units have preference with respect to cash flows generated by DiscoverOrg and will receive proceeds from future distributions on a preferential basis for the value of the preferred plus accrued but unpaid interest at an annual rate of 15%.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240"/>
          </w:cols>
          <w:pgMar w:left="320" w:top="750" w:right="33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2019 and 2018, the carrying values of the Company’s borrowings were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Date of Issuance</w:t>
            </w:r>
          </w:p>
        </w:tc>
        <w:tc>
          <w:tcPr>
            <w:tcW w:w="12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12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Elected Interest Rate</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 as of</w:t>
            </w:r>
          </w:p>
        </w:tc>
        <w:tc>
          <w:tcPr>
            <w:tcW w:w="140" w:type="dxa"/>
            <w:vAlign w:val="bottom"/>
          </w:tcPr>
          <w:p>
            <w:pPr>
              <w:spacing w:after="0"/>
              <w:rPr>
                <w:sz w:val="14"/>
                <w:szCs w:val="14"/>
                <w:color w:val="auto"/>
              </w:rPr>
            </w:pPr>
          </w:p>
        </w:tc>
        <w:tc>
          <w:tcPr>
            <w:tcW w:w="142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Carrying value as of</w:t>
            </w:r>
          </w:p>
        </w:tc>
        <w:tc>
          <w:tcPr>
            <w:tcW w:w="0" w:type="dxa"/>
            <w:vAlign w:val="bottom"/>
          </w:tcPr>
          <w:p>
            <w:pPr>
              <w:spacing w:after="0"/>
              <w:rPr>
                <w:sz w:val="1"/>
                <w:szCs w:val="1"/>
                <w:color w:val="auto"/>
              </w:rPr>
            </w:pPr>
          </w:p>
        </w:tc>
      </w:tr>
      <w:tr>
        <w:trPr>
          <w:trHeight w:val="188"/>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First Lien Term Loan</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2019</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2026</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841.6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2940" w:type="dxa"/>
            <w:vAlign w:val="bottom"/>
            <w:gridSpan w:val="2"/>
          </w:tcPr>
          <w:p>
            <w:pPr>
              <w:ind w:left="40"/>
              <w:spacing w:after="0"/>
              <w:rPr>
                <w:sz w:val="20"/>
                <w:szCs w:val="20"/>
                <w:color w:val="auto"/>
              </w:rPr>
            </w:pPr>
            <w:r>
              <w:rPr>
                <w:rFonts w:ascii="Arial" w:cs="Arial" w:eastAsia="Arial" w:hAnsi="Arial"/>
                <w:sz w:val="17"/>
                <w:szCs w:val="17"/>
                <w:color w:val="auto"/>
              </w:rPr>
              <w:t>First Lien Revolver</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February 2019</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February 2024</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n/a</w:t>
            </w: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Second Lien Term Loan</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2019</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2027</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+ 8.5%</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2940" w:type="dxa"/>
            <w:vAlign w:val="bottom"/>
            <w:gridSpan w:val="2"/>
          </w:tcPr>
          <w:p>
            <w:pPr>
              <w:ind w:left="40"/>
              <w:spacing w:after="0"/>
              <w:rPr>
                <w:sz w:val="20"/>
                <w:szCs w:val="20"/>
                <w:color w:val="auto"/>
              </w:rPr>
            </w:pPr>
            <w:r>
              <w:rPr>
                <w:rFonts w:ascii="Arial" w:cs="Arial" w:eastAsia="Arial" w:hAnsi="Arial"/>
                <w:sz w:val="17"/>
                <w:szCs w:val="17"/>
                <w:color w:val="auto"/>
              </w:rPr>
              <w:t>Antares First Lien Term Loan</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August 2017</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August 2023</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LIBOR + 4.5%</w:t>
            </w: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368.6</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Goldman Second Lien Term Loan</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2016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2024</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7"/>
              </w:rPr>
              <w:t>LIBOR + 8.5%</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147.4</w:t>
            </w:r>
          </w:p>
        </w:tc>
        <w:tc>
          <w:tcPr>
            <w:tcW w:w="0" w:type="dxa"/>
            <w:vAlign w:val="bottom"/>
          </w:tcPr>
          <w:p>
            <w:pPr>
              <w:spacing w:after="0"/>
              <w:rPr>
                <w:sz w:val="1"/>
                <w:szCs w:val="1"/>
                <w:color w:val="auto"/>
              </w:rPr>
            </w:pPr>
          </w:p>
        </w:tc>
      </w:tr>
      <w:tr>
        <w:trPr>
          <w:trHeight w:val="295"/>
        </w:trPr>
        <w:tc>
          <w:tcPr>
            <w:tcW w:w="2940" w:type="dxa"/>
            <w:vAlign w:val="bottom"/>
            <w:gridSpan w:val="2"/>
          </w:tcPr>
          <w:p>
            <w:pPr>
              <w:ind w:left="40"/>
              <w:spacing w:after="0"/>
              <w:rPr>
                <w:sz w:val="20"/>
                <w:szCs w:val="20"/>
                <w:color w:val="auto"/>
              </w:rPr>
            </w:pPr>
            <w:r>
              <w:rPr>
                <w:rFonts w:ascii="Arial" w:cs="Arial" w:eastAsia="Arial" w:hAnsi="Arial"/>
                <w:sz w:val="17"/>
                <w:szCs w:val="17"/>
                <w:color w:val="auto"/>
              </w:rPr>
              <w:t>Subordinated Term Loan</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September 2017</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September 2024</w:t>
            </w:r>
          </w:p>
        </w:tc>
        <w:tc>
          <w:tcPr>
            <w:tcW w:w="168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LIBOR + 12.5%</w:t>
            </w:r>
          </w:p>
        </w:tc>
        <w:tc>
          <w:tcPr>
            <w:tcW w:w="14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117.7</w:t>
            </w:r>
          </w:p>
        </w:tc>
        <w:tc>
          <w:tcPr>
            <w:tcW w:w="0" w:type="dxa"/>
            <w:vAlign w:val="bottom"/>
          </w:tcPr>
          <w:p>
            <w:pPr>
              <w:spacing w:after="0"/>
              <w:rPr>
                <w:sz w:val="1"/>
                <w:szCs w:val="1"/>
                <w:color w:val="auto"/>
              </w:rPr>
            </w:pPr>
          </w:p>
        </w:tc>
      </w:tr>
      <w:tr>
        <w:trPr>
          <w:trHeight w:val="228"/>
        </w:trPr>
        <w:tc>
          <w:tcPr>
            <w:tcW w:w="29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Carrying Value of Debt</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633.7</w:t>
            </w:r>
          </w:p>
        </w:tc>
        <w:tc>
          <w:tcPr>
            <w:tcW w:w="0" w:type="dxa"/>
            <w:vAlign w:val="bottom"/>
          </w:tcPr>
          <w:p>
            <w:pPr>
              <w:spacing w:after="0"/>
              <w:rPr>
                <w:sz w:val="1"/>
                <w:szCs w:val="1"/>
                <w:color w:val="auto"/>
              </w:rPr>
            </w:pPr>
          </w:p>
        </w:tc>
      </w:tr>
      <w:tr>
        <w:trPr>
          <w:trHeight w:val="235"/>
        </w:trPr>
        <w:tc>
          <w:tcPr>
            <w:tcW w:w="2940" w:type="dxa"/>
            <w:vAlign w:val="bottom"/>
            <w:gridSpan w:val="2"/>
          </w:tcPr>
          <w:p>
            <w:pPr>
              <w:ind w:left="260"/>
              <w:spacing w:after="0"/>
              <w:rPr>
                <w:sz w:val="20"/>
                <w:szCs w:val="20"/>
                <w:color w:val="auto"/>
              </w:rPr>
            </w:pPr>
            <w:r>
              <w:rPr>
                <w:rFonts w:ascii="Arial" w:cs="Arial" w:eastAsia="Arial" w:hAnsi="Arial"/>
                <w:sz w:val="17"/>
                <w:szCs w:val="17"/>
                <w:color w:val="auto"/>
              </w:rPr>
              <w:t>less current portion</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Long Term Debt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1,194.6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631.8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expected future principal payments for all borrowings as of December 31, 2019 is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Maturity</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Discounts and Issuance</w:t>
            </w:r>
          </w:p>
        </w:tc>
        <w:tc>
          <w:tcPr>
            <w:tcW w:w="260" w:type="dxa"/>
            <w:vAlign w:val="bottom"/>
          </w:tcPr>
          <w:p>
            <w:pPr>
              <w:spacing w:after="0"/>
              <w:rPr>
                <w:sz w:val="14"/>
                <w:szCs w:val="14"/>
                <w:color w:val="auto"/>
              </w:rPr>
            </w:pPr>
          </w:p>
        </w:tc>
        <w:tc>
          <w:tcPr>
            <w:tcW w:w="13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Costs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 the year ended December 31,</w:t>
            </w:r>
          </w:p>
        </w:tc>
        <w:tc>
          <w:tcPr>
            <w:tcW w:w="34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2020</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480" w:type="dxa"/>
            <w:vAlign w:val="bottom"/>
          </w:tcPr>
          <w:p>
            <w:pPr>
              <w:ind w:left="480"/>
              <w:spacing w:after="0"/>
              <w:rPr>
                <w:sz w:val="20"/>
                <w:szCs w:val="20"/>
                <w:color w:val="auto"/>
              </w:rPr>
            </w:pPr>
            <w:r>
              <w:rPr>
                <w:rFonts w:ascii="Arial" w:cs="Arial" w:eastAsia="Arial" w:hAnsi="Arial"/>
                <w:sz w:val="17"/>
                <w:szCs w:val="17"/>
                <w:color w:val="auto"/>
              </w:rPr>
              <w:t>2021</w:t>
            </w:r>
          </w:p>
        </w:tc>
        <w:tc>
          <w:tcPr>
            <w:tcW w:w="14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8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480" w:type="dxa"/>
            <w:vAlign w:val="bottom"/>
          </w:tcPr>
          <w:p>
            <w:pPr>
              <w:ind w:left="48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8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480" w:type="dxa"/>
            <w:vAlign w:val="bottom"/>
          </w:tcPr>
          <w:p>
            <w:pPr>
              <w:ind w:left="480"/>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1,185.0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1,184.8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82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1,228.5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1,203.3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Antares First Lien Term Loan</w:t>
      </w:r>
    </w:p>
    <w:p>
      <w:pPr>
        <w:spacing w:after="0" w:line="177"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In August 2017, the Company entered into a $330 million senior term loan with Antares that matures in August 2023. In March 2018, the Company executed an amendment to the term loan and issued an additional $47.7 million of First Lien Term Loan debt. The interest rate is based on LIBOR or a defined Base Rate plus an applicable rate ranging from 4.25% to 4.5%, depending on the leverage ratio. The Base Rate is the higher of prime or the Federal Funds Rate plus 0.5%. The term loan is collateralized by all assets of the Company. As of December 31, 2018, there was $373.2 million outstanding on this term loan. The loan was issued with a $2.5 million original issue discount (“OID”), which is amortized to interest expense using the effective interest method. The Company incurred $3.2 million in debt issuance costs upon issuance of the debt. Debt issuance costs are deferred and amortized as interest expense using the effective interest method.</w:t>
      </w:r>
    </w:p>
    <w:p>
      <w:pPr>
        <w:spacing w:after="0" w:line="1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credit agreement requires the Company to make certain payments on the outstanding loan balances if it has generated excess cash flows as defined by the credit agreement, beginning the year ended December 31, 2020.</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Goldman Second Lien Term Loan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In February 2016, the Company entered into a $55.0 million second lien term loan agreement with Goldman Sachs. In August 2017 and March 2018, the facility was increased by $75.0 million and $19.8 million, respectively. The interest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240"/>
          </w:cols>
          <w:pgMar w:left="320" w:top="750" w:right="339" w:bottom="1440" w:gutter="0" w:footer="0" w:header="0"/>
        </w:sectPr>
      </w:pPr>
    </w:p>
    <w:bookmarkStart w:id="270" w:name="page271"/>
    <w:bookmarkEnd w:id="270"/>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rate is based on LIBOR plus an applicable margin of 8.5% or a defined Base Rate plus an applicable rate ranging from 8.3% to 8.5%, depending on the leverage ratio. The Base Rate is the higher of prime or the Federal Funds Rate plus 0.5%. The term loan is collateralized by all assets of the Company. As of December 31, 2018, there was $149.8 million outstanding on this term loan. The loan was issued with a $1.0 million original issue discount (“OID”), which is amortized to interest expense using the effective interest method. The Company incurred $1.8 million in debt issuance costs upon issuance of the debt. Debt issuance costs are deferred and amortized as interest expense using the effective interest method.</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Subordinated Loan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In September 2017, the Company entered into a $100 million senior subordinated loan. The interest rate is based on the LIBOR plus an applicable margin of 12.5%. The interest is payable in kind (PIK) and increases the outstanding principal amount on each interest payment date. As of December 31, 2018, there was $120.2 million in principal and interest outstanding on this loan, respectively. The Company incurred $3.2 million in debt issuance costs upon issuance of the debt. Debt issuance costs are deferred and amortized as interest expense using the effective interest method.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Derivatives and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is exposed to changes in interest rates, primarily relating to changes in interest rates as a result of the term loans, which have variable interest rates. Consequently, from time to time, the Company may use interest rate swaps or other financial instruments to manage the exposure to interest rate movements. The Company does not enter into derivative transactions for speculative or trading purposes.</w:t>
      </w:r>
    </w:p>
    <w:p>
      <w:pPr>
        <w:spacing w:after="0" w:line="119" w:lineRule="exact"/>
        <w:rPr>
          <w:sz w:val="20"/>
          <w:szCs w:val="20"/>
          <w:color w:val="auto"/>
        </w:rPr>
      </w:pPr>
    </w:p>
    <w:p>
      <w:pPr>
        <w:jc w:val="both"/>
        <w:ind w:firstLine="314"/>
        <w:spacing w:after="0" w:line="314" w:lineRule="auto"/>
        <w:rPr>
          <w:sz w:val="20"/>
          <w:szCs w:val="20"/>
          <w:color w:val="auto"/>
        </w:rPr>
      </w:pPr>
      <w:r>
        <w:rPr>
          <w:rFonts w:ascii="Arial" w:cs="Arial" w:eastAsia="Arial" w:hAnsi="Arial"/>
          <w:sz w:val="15"/>
          <w:szCs w:val="15"/>
          <w:color w:val="auto"/>
        </w:rPr>
        <w:t>The Company recognizes derivative instruments and hedging activities on a gross basis as either assets or liabilities on the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9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April 2019, the Company entered into two separate interest rate swap agreements effectively converting $350 million of floating rate debt under the first lien credit facility to fixed rate obligations. In April 2019, the Company also entered into a $500 million interest rate cap. These agreements have been designated and qualify as cash flow hedging instruments and, as such, changes in the fair value are recorded in accumulated other comprehensive income (loss) on the Company’s consolidated balance sheets to the extent the agreements are effective hedges.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December 31, 2019, the Company had the following outstanding interest rate derivatives that were designated as cash flow hedges of interest rate risk:</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 Derivatives</w:t>
            </w:r>
          </w:p>
        </w:tc>
        <w:tc>
          <w:tcPr>
            <w:tcW w:w="17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0"/>
              </w:rPr>
              <w:t>Number of Instruments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Notional Aggregate Principal</w:t>
            </w:r>
          </w:p>
        </w:tc>
        <w:tc>
          <w:tcPr>
            <w:tcW w:w="1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Interest Cap / Swap Rate</w:t>
            </w:r>
          </w:p>
        </w:tc>
        <w:tc>
          <w:tcPr>
            <w:tcW w:w="100" w:type="dxa"/>
            <w:vAlign w:val="bottom"/>
            <w:vMerge w:val="restart"/>
          </w:tcPr>
          <w:p>
            <w:pPr>
              <w:spacing w:after="0"/>
              <w:rPr>
                <w:sz w:val="14"/>
                <w:szCs w:val="14"/>
                <w:color w:val="auto"/>
              </w:rPr>
            </w:pPr>
          </w:p>
        </w:tc>
        <w:tc>
          <w:tcPr>
            <w:tcW w:w="18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Interest rate cap contract</w:t>
            </w:r>
          </w:p>
        </w:tc>
        <w:tc>
          <w:tcPr>
            <w:tcW w:w="170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7"/>
                <w:szCs w:val="17"/>
                <w:color w:val="auto"/>
                <w:w w:val="86"/>
              </w:rPr>
              <w:t>One</w:t>
            </w:r>
          </w:p>
        </w:tc>
        <w:tc>
          <w:tcPr>
            <w:tcW w:w="6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w w:val="97"/>
              </w:rPr>
              <w:t>April 30, 2024</w:t>
            </w:r>
          </w:p>
        </w:tc>
        <w:tc>
          <w:tcPr>
            <w:tcW w:w="0" w:type="dxa"/>
            <w:vAlign w:val="bottom"/>
          </w:tcPr>
          <w:p>
            <w:pPr>
              <w:spacing w:after="0"/>
              <w:rPr>
                <w:sz w:val="1"/>
                <w:szCs w:val="1"/>
                <w:color w:val="auto"/>
              </w:rPr>
            </w:pPr>
          </w:p>
        </w:tc>
      </w:tr>
      <w:tr>
        <w:trPr>
          <w:trHeight w:val="235"/>
        </w:trPr>
        <w:tc>
          <w:tcPr>
            <w:tcW w:w="3680" w:type="dxa"/>
            <w:vAlign w:val="bottom"/>
            <w:gridSpan w:val="2"/>
          </w:tcPr>
          <w:p>
            <w:pPr>
              <w:ind w:left="40"/>
              <w:spacing w:after="0"/>
              <w:rPr>
                <w:sz w:val="20"/>
                <w:szCs w:val="20"/>
                <w:color w:val="auto"/>
              </w:rPr>
            </w:pPr>
            <w:r>
              <w:rPr>
                <w:rFonts w:ascii="Arial" w:cs="Arial" w:eastAsia="Arial" w:hAnsi="Arial"/>
                <w:sz w:val="17"/>
                <w:szCs w:val="17"/>
                <w:color w:val="auto"/>
              </w:rPr>
              <w:t>Interest rate swap contracts</w:t>
            </w:r>
          </w:p>
        </w:tc>
        <w:tc>
          <w:tcPr>
            <w:tcW w:w="1700" w:type="dxa"/>
            <w:vAlign w:val="bottom"/>
          </w:tcPr>
          <w:p>
            <w:pPr>
              <w:jc w:val="center"/>
              <w:ind w:left="19"/>
              <w:spacing w:after="0"/>
              <w:rPr>
                <w:sz w:val="20"/>
                <w:szCs w:val="20"/>
                <w:color w:val="auto"/>
              </w:rPr>
            </w:pPr>
            <w:r>
              <w:rPr>
                <w:rFonts w:ascii="Arial" w:cs="Arial" w:eastAsia="Arial" w:hAnsi="Arial"/>
                <w:sz w:val="17"/>
                <w:szCs w:val="17"/>
                <w:color w:val="auto"/>
                <w:w w:val="99"/>
              </w:rPr>
              <w:t>Two</w:t>
            </w:r>
          </w:p>
        </w:tc>
        <w:tc>
          <w:tcPr>
            <w:tcW w:w="640" w:type="dxa"/>
            <w:vAlign w:val="bottom"/>
            <w:gridSpan w:val="3"/>
          </w:tcPr>
          <w:p>
            <w:pPr>
              <w:ind w:left="24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9"/>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2.301%</w:t>
            </w:r>
          </w:p>
        </w:tc>
        <w:tc>
          <w:tcPr>
            <w:tcW w:w="100" w:type="dxa"/>
            <w:vAlign w:val="bottom"/>
          </w:tcPr>
          <w:p>
            <w:pPr>
              <w:spacing w:after="0"/>
              <w:rPr>
                <w:sz w:val="20"/>
                <w:szCs w:val="20"/>
                <w:color w:val="auto"/>
              </w:rPr>
            </w:pPr>
          </w:p>
        </w:tc>
        <w:tc>
          <w:tcPr>
            <w:tcW w:w="1800" w:type="dxa"/>
            <w:vAlign w:val="bottom"/>
          </w:tcPr>
          <w:p>
            <w:pPr>
              <w:ind w:left="760"/>
              <w:spacing w:after="0"/>
              <w:rPr>
                <w:sz w:val="20"/>
                <w:szCs w:val="20"/>
                <w:color w:val="auto"/>
              </w:rPr>
            </w:pPr>
            <w:r>
              <w:rPr>
                <w:rFonts w:ascii="Arial" w:cs="Arial" w:eastAsia="Arial" w:hAnsi="Arial"/>
                <w:sz w:val="17"/>
                <w:szCs w:val="17"/>
                <w:color w:val="auto"/>
                <w:w w:val="97"/>
              </w:rPr>
              <w:t>April 29, 2022</w:t>
            </w:r>
          </w:p>
        </w:tc>
        <w:tc>
          <w:tcPr>
            <w:tcW w:w="0" w:type="dxa"/>
            <w:vAlign w:val="bottom"/>
          </w:tcPr>
          <w:p>
            <w:pPr>
              <w:spacing w:after="0"/>
              <w:rPr>
                <w:sz w:val="1"/>
                <w:szCs w:val="1"/>
                <w:color w:val="auto"/>
              </w:rPr>
            </w:pPr>
          </w:p>
        </w:tc>
      </w:tr>
      <w:tr>
        <w:trPr>
          <w:trHeight w:val="812"/>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gridSpan w:val="3"/>
          </w:tcPr>
          <w:p>
            <w:pPr>
              <w:ind w:left="80"/>
              <w:spacing w:after="0"/>
              <w:rPr>
                <w:sz w:val="20"/>
                <w:szCs w:val="20"/>
                <w:color w:val="auto"/>
              </w:rPr>
            </w:pPr>
            <w:r>
              <w:rPr>
                <w:rFonts w:ascii="Arial" w:cs="Arial" w:eastAsia="Arial" w:hAnsi="Arial"/>
                <w:sz w:val="17"/>
                <w:szCs w:val="17"/>
                <w:color w:val="auto"/>
              </w:rPr>
              <w:t>F-32</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0" w:right="33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b w:val="1"/>
          <w:bCs w:val="1"/>
          <w:color w:val="auto"/>
        </w:rPr>
        <w:t>Note 8 - Derivatives and Hedging Activities (continued)</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as of December 31, 2019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ind w:right="23"/>
              <w:spacing w:after="0"/>
              <w:rPr>
                <w:sz w:val="20"/>
                <w:szCs w:val="20"/>
                <w:color w:val="auto"/>
              </w:rPr>
            </w:pPr>
            <w:r>
              <w:rPr>
                <w:rFonts w:ascii="Arial" w:cs="Arial" w:eastAsia="Arial" w:hAnsi="Arial"/>
                <w:sz w:val="14"/>
                <w:szCs w:val="14"/>
                <w:b w:val="1"/>
                <w:bCs w:val="1"/>
                <w:color w:val="auto"/>
                <w:w w:val="87"/>
              </w:rPr>
              <w:t>Unrealized Gains (Losses)</w:t>
            </w:r>
          </w:p>
        </w:tc>
      </w:tr>
      <w:tr>
        <w:trPr>
          <w:trHeight w:val="144"/>
        </w:trPr>
        <w:tc>
          <w:tcPr>
            <w:tcW w:w="9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ind w:right="23"/>
              <w:spacing w:after="0" w:line="144" w:lineRule="exact"/>
              <w:rPr>
                <w:sz w:val="20"/>
                <w:szCs w:val="20"/>
                <w:color w:val="auto"/>
              </w:rPr>
            </w:pPr>
            <w:r>
              <w:rPr>
                <w:rFonts w:ascii="Arial" w:cs="Arial" w:eastAsia="Arial" w:hAnsi="Arial"/>
                <w:sz w:val="14"/>
                <w:szCs w:val="14"/>
                <w:b w:val="1"/>
                <w:bCs w:val="1"/>
                <w:color w:val="auto"/>
                <w:w w:val="89"/>
              </w:rPr>
              <w:t>Recognized in Other</w:t>
            </w:r>
          </w:p>
        </w:tc>
      </w:tr>
      <w:tr>
        <w:trPr>
          <w:trHeight w:val="188"/>
        </w:trPr>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8"/>
              </w:rPr>
              <w:t>Comprehensive Income</w:t>
            </w:r>
          </w:p>
        </w:tc>
      </w:tr>
      <w:tr>
        <w:trPr>
          <w:trHeight w:val="242"/>
        </w:trPr>
        <w:tc>
          <w:tcPr>
            <w:tcW w:w="9340" w:type="dxa"/>
            <w:vAlign w:val="bottom"/>
            <w:tcBorders>
              <w:bottom w:val="single" w:sz="8" w:color="auto"/>
            </w:tcBorders>
          </w:tcPr>
          <w:p>
            <w:pPr>
              <w:ind w:left="4340"/>
              <w:spacing w:after="0"/>
              <w:rPr>
                <w:sz w:val="20"/>
                <w:szCs w:val="20"/>
                <w:color w:val="auto"/>
              </w:rPr>
            </w:pPr>
            <w:r>
              <w:rPr>
                <w:rFonts w:ascii="Arial" w:cs="Arial" w:eastAsia="Arial" w:hAnsi="Arial"/>
                <w:sz w:val="14"/>
                <w:szCs w:val="14"/>
                <w:b w:val="1"/>
                <w:bCs w:val="1"/>
                <w:color w:val="auto"/>
              </w:rPr>
              <w:t>Instrument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December 31, 2019</w:t>
            </w:r>
          </w:p>
        </w:tc>
      </w:tr>
      <w:tr>
        <w:trPr>
          <w:trHeight w:val="240"/>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Accrued expenses and other current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2.6</w:t>
            </w:r>
          </w:p>
        </w:tc>
      </w:tr>
      <w:tr>
        <w:trPr>
          <w:trHeight w:val="235"/>
        </w:trPr>
        <w:tc>
          <w:tcPr>
            <w:tcW w:w="9440" w:type="dxa"/>
            <w:vAlign w:val="bottom"/>
            <w:gridSpan w:val="2"/>
          </w:tcPr>
          <w:p>
            <w:pPr>
              <w:ind w:left="40"/>
              <w:spacing w:after="0"/>
              <w:rPr>
                <w:sz w:val="20"/>
                <w:szCs w:val="20"/>
                <w:color w:val="auto"/>
              </w:rPr>
            </w:pPr>
            <w:r>
              <w:rPr>
                <w:rFonts w:ascii="Arial" w:cs="Arial" w:eastAsia="Arial" w:hAnsi="Arial"/>
                <w:sz w:val="17"/>
                <w:szCs w:val="17"/>
                <w:color w:val="auto"/>
              </w:rPr>
              <w:t>Other long-term liabilities</w:t>
            </w:r>
          </w:p>
        </w:tc>
        <w:tc>
          <w:tcPr>
            <w:tcW w:w="120" w:type="dxa"/>
            <w:vAlign w:val="bottom"/>
          </w:tcPr>
          <w:p>
            <w:pPr>
              <w:spacing w:after="0"/>
              <w:rPr>
                <w:sz w:val="20"/>
                <w:szCs w:val="20"/>
                <w:color w:val="auto"/>
              </w:rPr>
            </w:pPr>
          </w:p>
        </w:tc>
        <w:tc>
          <w:tcPr>
            <w:tcW w:w="1680" w:type="dxa"/>
            <w:vAlign w:val="bottom"/>
          </w:tcPr>
          <w:p>
            <w:pPr>
              <w:jc w:val="right"/>
              <w:ind w:right="23"/>
              <w:spacing w:after="0"/>
              <w:rPr>
                <w:sz w:val="20"/>
                <w:szCs w:val="20"/>
                <w:color w:val="auto"/>
              </w:rPr>
            </w:pPr>
            <w:r>
              <w:rPr>
                <w:rFonts w:ascii="Arial" w:cs="Arial" w:eastAsia="Arial" w:hAnsi="Arial"/>
                <w:sz w:val="17"/>
                <w:szCs w:val="17"/>
                <w:color w:val="auto"/>
              </w:rPr>
              <w:t>3.4</w:t>
            </w:r>
          </w:p>
        </w:tc>
      </w:tr>
      <w:tr>
        <w:trPr>
          <w:trHeight w:val="27"/>
        </w:trPr>
        <w:tc>
          <w:tcPr>
            <w:tcW w:w="9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8"/>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6.0</w:t>
            </w:r>
          </w:p>
        </w:tc>
      </w:tr>
      <w:tr>
        <w:trPr>
          <w:trHeight w:val="20"/>
        </w:trPr>
        <w:tc>
          <w:tcPr>
            <w:tcW w:w="9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the period that the hedged item affects earnings, such as when interest payments are made on the Company’s variable-rate debt, the Company reclassifies the related gain or loss on the interest rate swap cash flow hedges to interest expense. The cash flows associated with the cash flow hedges are reported in Net cash provided by (used in) operating activities on our consolidated statements of cash flows.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Fair Value Measurements</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inputs or methodology used for valuing financial assets and liabilities are not necessarily an indication of the risk associated with investing in them.</w:t>
      </w:r>
    </w:p>
    <w:p>
      <w:pPr>
        <w:spacing w:after="0" w:line="183"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The company has elected to use the income approach to value the derivatives, using observable Level II market expectations at measurement date and standard valuation techniques to convert future amounts to a single present amount (discounted) reflecting current market expectations about those future amounts. Level II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bootstrapped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240"/>
          </w:cols>
          <w:pgMar w:left="320" w:top="750" w:right="339" w:bottom="1440" w:gutter="0" w:footer="0" w:header="0"/>
        </w:sectPr>
      </w:pPr>
    </w:p>
    <w:bookmarkStart w:id="272" w:name="page273"/>
    <w:bookmarkEnd w:id="272"/>
    <w:p>
      <w:pPr>
        <w:spacing w:after="0"/>
        <w:rPr>
          <w:sz w:val="20"/>
          <w:szCs w:val="20"/>
          <w:color w:val="auto"/>
        </w:rPr>
      </w:pPr>
      <w:r>
        <w:rPr>
          <w:rFonts w:ascii="Arial" w:cs="Arial" w:eastAsia="Arial" w:hAnsi="Arial"/>
          <w:sz w:val="17"/>
          <w:szCs w:val="17"/>
          <w:b w:val="1"/>
          <w:bCs w:val="1"/>
          <w:color w:val="auto"/>
        </w:rPr>
        <w:t>Note 9 - Fair Value Measurements (continued)</w:t>
      </w:r>
    </w:p>
    <w:p>
      <w:pPr>
        <w:spacing w:after="0" w:line="2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Inputs are collected from SuperDerivatives as of the close on the last day of the period. The valuation of the interest rate swaps also take into consideration estimates of our own, as well as counterparty’s, risk of non-performance under the contract.</w:t>
      </w:r>
    </w:p>
    <w:p>
      <w:pPr>
        <w:spacing w:after="0" w:line="10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classified the measurement of fair value of long-lived assets as Level 3.</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Assets and Liabilities Measured at Fair Value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Following are the disclosures related to our assets and (liabilities) that are measured at fair value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at December 31, 2019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3</w:t>
            </w:r>
          </w:p>
        </w:tc>
      </w:tr>
      <w:tr>
        <w:trPr>
          <w:trHeight w:val="24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Measured on a recurring basis: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6300" w:type="dxa"/>
            <w:vAlign w:val="bottom"/>
            <w:gridSpan w:val="2"/>
          </w:tcPr>
          <w:p>
            <w:pPr>
              <w:ind w:left="40"/>
              <w:spacing w:after="0"/>
              <w:rPr>
                <w:sz w:val="20"/>
                <w:szCs w:val="20"/>
                <w:color w:val="auto"/>
              </w:rPr>
            </w:pPr>
            <w:r>
              <w:rPr>
                <w:rFonts w:ascii="Arial" w:cs="Arial" w:eastAsia="Arial" w:hAnsi="Arial"/>
                <w:sz w:val="17"/>
                <w:szCs w:val="17"/>
                <w:color w:val="auto"/>
              </w:rPr>
              <w:t>Derivative contract, net</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5"/>
        </w:trPr>
        <w:tc>
          <w:tcPr>
            <w:tcW w:w="6300" w:type="dxa"/>
            <w:vAlign w:val="bottom"/>
            <w:gridSpan w:val="2"/>
          </w:tcPr>
          <w:p>
            <w:pPr>
              <w:ind w:left="40"/>
              <w:spacing w:after="0"/>
              <w:rPr>
                <w:sz w:val="20"/>
                <w:szCs w:val="20"/>
                <w:color w:val="auto"/>
              </w:rPr>
            </w:pPr>
            <w:r>
              <w:rPr>
                <w:rFonts w:ascii="Arial" w:cs="Arial" w:eastAsia="Arial" w:hAnsi="Arial"/>
                <w:sz w:val="17"/>
                <w:szCs w:val="17"/>
                <w:b w:val="1"/>
                <w:bCs w:val="1"/>
                <w:color w:val="auto"/>
              </w:rPr>
              <w:t>Measured on a non-recurring basis: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Impaired right-of-use assets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w:t>
            </w:r>
          </w:p>
        </w:tc>
      </w:tr>
      <w:tr>
        <w:trPr>
          <w:trHeight w:val="545"/>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at December 31, 2018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3</w:t>
            </w:r>
          </w:p>
        </w:tc>
      </w:tr>
      <w:tr>
        <w:trPr>
          <w:trHeight w:val="24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Measured on a recurring basis: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6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300" w:type="dxa"/>
            <w:vAlign w:val="bottom"/>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5"/>
        </w:trPr>
        <w:tc>
          <w:tcPr>
            <w:tcW w:w="6300" w:type="dxa"/>
            <w:vAlign w:val="bottom"/>
            <w:gridSpan w:val="2"/>
          </w:tcPr>
          <w:p>
            <w:pPr>
              <w:ind w:left="40"/>
              <w:spacing w:after="0"/>
              <w:rPr>
                <w:sz w:val="20"/>
                <w:szCs w:val="20"/>
                <w:color w:val="auto"/>
              </w:rPr>
            </w:pPr>
            <w:r>
              <w:rPr>
                <w:rFonts w:ascii="Arial" w:cs="Arial" w:eastAsia="Arial" w:hAnsi="Arial"/>
                <w:sz w:val="17"/>
                <w:szCs w:val="17"/>
                <w:b w:val="1"/>
                <w:bCs w:val="1"/>
                <w:color w:val="auto"/>
              </w:rPr>
              <w:t>Measured on a non-recurring basis: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5"/>
        </w:trPr>
        <w:tc>
          <w:tcPr>
            <w:tcW w:w="6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See Note 4 – Business Combinations for details regarding the Company’s business combination accounted for initially at fair value. See Note 8 - Derivatives and Hedging Activities for details regarding the Company’s derivative contracts.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Commitments and Contingencies</w:t>
      </w:r>
    </w:p>
    <w:p>
      <w:pPr>
        <w:spacing w:after="0" w:line="171" w:lineRule="exact"/>
        <w:rPr>
          <w:sz w:val="20"/>
          <w:szCs w:val="20"/>
          <w:color w:val="auto"/>
        </w:rPr>
      </w:pPr>
    </w:p>
    <w:p>
      <w:pPr>
        <w:jc w:val="both"/>
        <w:ind w:firstLine="314"/>
        <w:spacing w:after="0" w:line="329" w:lineRule="auto"/>
        <w:rPr>
          <w:sz w:val="20"/>
          <w:szCs w:val="20"/>
          <w:color w:val="auto"/>
        </w:rPr>
      </w:pPr>
      <w:r>
        <w:rPr>
          <w:rFonts w:ascii="Arial" w:cs="Arial" w:eastAsia="Arial" w:hAnsi="Arial"/>
          <w:sz w:val="15"/>
          <w:szCs w:val="15"/>
          <w:b w:val="1"/>
          <w:bCs w:val="1"/>
          <w:color w:val="auto"/>
        </w:rPr>
        <w:t xml:space="preserve">Sales and use tax </w:t>
      </w:r>
      <w:r>
        <w:rPr>
          <w:rFonts w:ascii="Arial" w:cs="Arial" w:eastAsia="Arial" w:hAnsi="Arial"/>
          <w:sz w:val="15"/>
          <w:szCs w:val="15"/>
          <w:color w:val="auto"/>
        </w:rPr>
        <w:t>- The Company has conducted an assessment of sales and use tax exposure in states where the Company has established nexus.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assessment, the Company has recorded a liability for taxes owed and related penalties and interest in the amount of $2.1 million and $1.4 million at December 31, 2019 and 2018, respectively. This liability is included in accrued expenses and other current liabilities in our consolidated balance sheets.</w:t>
      </w:r>
    </w:p>
    <w:p>
      <w:pPr>
        <w:spacing w:after="0" w:line="77"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Contingent earnout payments </w:t>
      </w:r>
      <w:r>
        <w:rPr>
          <w:rFonts w:ascii="Arial" w:cs="Arial" w:eastAsia="Arial" w:hAnsi="Arial"/>
          <w:sz w:val="17"/>
          <w:szCs w:val="17"/>
          <w:color w:val="auto"/>
        </w:rPr>
        <w:t>- The Company is contingently committed to making additional payments of up to $1.6 million and $4.0 million as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acquisition of NeverBounce and Komiko, respectively. Refer to Note 4 - Business Combinations.</w:t>
      </w:r>
    </w:p>
    <w:p>
      <w:pPr>
        <w:spacing w:after="0" w:line="94" w:lineRule="exact"/>
        <w:rPr>
          <w:sz w:val="20"/>
          <w:szCs w:val="20"/>
          <w:color w:val="auto"/>
        </w:rPr>
      </w:pPr>
    </w:p>
    <w:p>
      <w:pPr>
        <w:jc w:val="both"/>
        <w:ind w:firstLine="314"/>
        <w:spacing w:after="0" w:line="330" w:lineRule="auto"/>
        <w:rPr>
          <w:sz w:val="20"/>
          <w:szCs w:val="20"/>
          <w:color w:val="auto"/>
        </w:rPr>
      </w:pPr>
      <w:r>
        <w:rPr>
          <w:rFonts w:ascii="Arial" w:cs="Arial" w:eastAsia="Arial" w:hAnsi="Arial"/>
          <w:sz w:val="16"/>
          <w:szCs w:val="16"/>
          <w:b w:val="1"/>
          <w:bCs w:val="1"/>
          <w:color w:val="auto"/>
        </w:rPr>
        <w:t xml:space="preserve">Deferred acquisition related payments - </w:t>
      </w:r>
      <w:r>
        <w:rPr>
          <w:rFonts w:ascii="Arial" w:cs="Arial" w:eastAsia="Arial" w:hAnsi="Arial"/>
          <w:sz w:val="16"/>
          <w:szCs w:val="16"/>
          <w:color w:val="auto"/>
        </w:rPr>
        <w:t>In accordance with the purchase agreement, the Company will pay deferred consideration of $25.0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$10.0 million on the first and second anniversary of the Pre-Acquisition ZI acquisition, respectively. Refer to Note 4 - Business Combinations.</w:t>
      </w:r>
    </w:p>
    <w:p>
      <w:pPr>
        <w:spacing w:after="0" w:line="70"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Series A Preferred Units </w:t>
      </w:r>
      <w:r>
        <w:rPr>
          <w:rFonts w:ascii="Arial" w:cs="Arial" w:eastAsia="Arial" w:hAnsi="Arial"/>
          <w:sz w:val="17"/>
          <w:szCs w:val="17"/>
          <w:color w:val="auto"/>
        </w:rPr>
        <w:t>- The Company has issued Series A Preferred Units which accrue cumulative liquidation preferences. Refer to Note 13 -</w:t>
      </w:r>
      <w:r>
        <w:rPr>
          <w:rFonts w:ascii="Arial" w:cs="Arial" w:eastAsia="Arial" w:hAnsi="Arial"/>
          <w:sz w:val="17"/>
          <w:szCs w:val="17"/>
          <w:b w:val="1"/>
          <w:bCs w:val="1"/>
          <w:color w:val="auto"/>
        </w:rPr>
        <w:t xml:space="preserve"> </w:t>
      </w:r>
      <w:r>
        <w:rPr>
          <w:rFonts w:ascii="Arial" w:cs="Arial" w:eastAsia="Arial" w:hAnsi="Arial"/>
          <w:sz w:val="17"/>
          <w:szCs w:val="17"/>
          <w:color w:val="auto"/>
        </w:rPr>
        <w:t>Redeemable Series A Preferred Units.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240"/>
          </w:cols>
          <w:pgMar w:left="320" w:top="750" w:right="339" w:bottom="1440" w:gutter="0" w:footer="0" w:header="0"/>
        </w:sectPr>
      </w:pPr>
    </w:p>
    <w:bookmarkStart w:id="273" w:name="page274"/>
    <w:bookmarkEnd w:id="273"/>
    <w:p>
      <w:pPr>
        <w:spacing w:after="0"/>
        <w:rPr>
          <w:sz w:val="20"/>
          <w:szCs w:val="20"/>
          <w:color w:val="auto"/>
        </w:rPr>
      </w:pPr>
      <w:r>
        <w:rPr>
          <w:rFonts w:ascii="Arial" w:cs="Arial" w:eastAsia="Arial" w:hAnsi="Arial"/>
          <w:sz w:val="17"/>
          <w:szCs w:val="17"/>
          <w:b w:val="1"/>
          <w:bCs w:val="1"/>
          <w:color w:val="auto"/>
        </w:rPr>
        <w:t>Note 11 - Leases</w:t>
      </w:r>
    </w:p>
    <w:p>
      <w:pPr>
        <w:spacing w:after="0" w:line="177" w:lineRule="exact"/>
        <w:rPr>
          <w:sz w:val="20"/>
          <w:szCs w:val="20"/>
          <w:color w:val="auto"/>
        </w:rPr>
      </w:pPr>
    </w:p>
    <w:p>
      <w:pPr>
        <w:jc w:val="both"/>
        <w:ind w:firstLine="314"/>
        <w:spacing w:after="0" w:line="279" w:lineRule="auto"/>
        <w:rPr>
          <w:sz w:val="20"/>
          <w:szCs w:val="20"/>
          <w:color w:val="auto"/>
        </w:rPr>
      </w:pPr>
      <w:r>
        <w:rPr>
          <w:rFonts w:ascii="Arial" w:cs="Arial" w:eastAsia="Arial" w:hAnsi="Arial"/>
          <w:sz w:val="16"/>
          <w:szCs w:val="16"/>
          <w:color w:val="auto"/>
        </w:rPr>
        <w:t xml:space="preserve">The Company adopted Topic 842, </w:t>
      </w:r>
      <w:r>
        <w:rPr>
          <w:rFonts w:ascii="Arial" w:cs="Arial" w:eastAsia="Arial" w:hAnsi="Arial"/>
          <w:sz w:val="16"/>
          <w:szCs w:val="16"/>
          <w:i w:val="1"/>
          <w:iCs w:val="1"/>
          <w:color w:val="auto"/>
        </w:rPr>
        <w:t>Leases</w:t>
      </w:r>
      <w:r>
        <w:rPr>
          <w:rFonts w:ascii="Arial" w:cs="Arial" w:eastAsia="Arial" w:hAnsi="Arial"/>
          <w:sz w:val="16"/>
          <w:szCs w:val="16"/>
          <w:color w:val="auto"/>
        </w:rPr>
        <w:t>, on January 1, 2019, using the modified 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The Company determines if an arrangement is a lease or contains a lease at inception. Operating lease liabilities are recognized based on the present value of the remaining lease payments, discounted using the discount rate for the lease at the commencement date. As the rate implicit in the lease is not readily determinable for the operating leases, the Company generally uses an incremental borrowing rate based on information available at the commencement date to determine the present value of future lease payments. The Company’s leases have remaining lease terms of up to eleven years, some of which include options to extend the leases for up to five years, and some of which include options to terminate the leases at the end of the fifth year. The Company’s leases do not have significant rent escalation, holidays, concessions, material residual value guarantees, material restrictive covenants or contingent rent provisions.</w:t>
      </w:r>
    </w:p>
    <w:p>
      <w:pPr>
        <w:spacing w:after="0" w:line="118"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real estate leases. In addition, the Company has elected the practical expedient to exclude short-term leases, which have an original lease term of less than one year, from the right-of-use assets and lease liabilities as well as the package of practical expedients relating to adoption of Topic 842. Operating lease costs, including variable lease payments and sublease income that were immaterial for the year ended December 31, 2019, are included in operating costs within the Consolidated Statements of Operations.</w:t>
      </w:r>
    </w:p>
    <w:p>
      <w:pPr>
        <w:spacing w:after="0" w:line="12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also has subleases of former corporate offices. Subleases have remaining lease terms of one to six years. Sublease income, which is recorded in rent expense, net, was immaterial for the Year ended December 31, 2019, and 2018. The following are additional details related to leases recorded on our balance sheet as of December 31, 2019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Leases</w:t>
            </w:r>
          </w:p>
        </w:tc>
        <w:tc>
          <w:tcPr>
            <w:tcW w:w="100" w:type="dxa"/>
            <w:vAlign w:val="bottom"/>
            <w:vMerge w:val="restart"/>
          </w:tcPr>
          <w:p>
            <w:pPr>
              <w:spacing w:after="0"/>
              <w:rPr>
                <w:sz w:val="14"/>
                <w:szCs w:val="14"/>
                <w:color w:val="auto"/>
              </w:rPr>
            </w:pPr>
          </w:p>
        </w:tc>
        <w:tc>
          <w:tcPr>
            <w:tcW w:w="23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vMerge w:val="restart"/>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Balance at December 31,</w:t>
            </w:r>
          </w:p>
        </w:tc>
        <w:tc>
          <w:tcPr>
            <w:tcW w:w="0" w:type="dxa"/>
            <w:vAlign w:val="bottom"/>
          </w:tcPr>
          <w:p>
            <w:pPr>
              <w:spacing w:after="0"/>
              <w:rPr>
                <w:sz w:val="1"/>
                <w:szCs w:val="1"/>
                <w:color w:val="auto"/>
              </w:rPr>
            </w:pPr>
          </w:p>
        </w:tc>
      </w:tr>
      <w:tr>
        <w:trPr>
          <w:trHeight w:val="188"/>
        </w:trPr>
        <w:tc>
          <w:tcPr>
            <w:tcW w:w="7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200" w:type="dxa"/>
            <w:vAlign w:val="bottom"/>
            <w:gridSpan w:val="2"/>
          </w:tcPr>
          <w:p>
            <w:pPr>
              <w:ind w:left="40"/>
              <w:spacing w:after="0"/>
              <w:rPr>
                <w:sz w:val="20"/>
                <w:szCs w:val="20"/>
                <w:color w:val="auto"/>
              </w:rPr>
            </w:pPr>
            <w:r>
              <w:rPr>
                <w:rFonts w:ascii="Arial" w:cs="Arial" w:eastAsia="Arial" w:hAnsi="Arial"/>
                <w:sz w:val="17"/>
                <w:szCs w:val="17"/>
                <w:color w:val="auto"/>
              </w:rPr>
              <w:t>Operating lease right-of-use assets, net</w:t>
            </w:r>
          </w:p>
        </w:tc>
        <w:tc>
          <w:tcPr>
            <w:tcW w:w="2480" w:type="dxa"/>
            <w:vAlign w:val="bottom"/>
            <w:gridSpan w:val="2"/>
          </w:tcPr>
          <w:p>
            <w:pPr>
              <w:ind w:left="40"/>
              <w:spacing w:after="0"/>
              <w:rPr>
                <w:sz w:val="20"/>
                <w:szCs w:val="20"/>
                <w:color w:val="auto"/>
              </w:rPr>
            </w:pPr>
            <w:r>
              <w:rPr>
                <w:rFonts w:ascii="Arial" w:cs="Arial" w:eastAsia="Arial" w:hAnsi="Arial"/>
                <w:sz w:val="17"/>
                <w:szCs w:val="17"/>
                <w:color w:val="auto"/>
              </w:rPr>
              <w:t>Operating lease assets</w:t>
            </w:r>
          </w:p>
        </w:tc>
        <w:tc>
          <w:tcPr>
            <w:tcW w:w="380" w:type="dxa"/>
            <w:vAlign w:val="bottom"/>
          </w:tcPr>
          <w:p>
            <w:pPr>
              <w:ind w:left="4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166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p>
      <w:pPr>
        <w:spacing w:after="0" w:line="72"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7"/>
          <w:szCs w:val="17"/>
          <w:color w:val="auto"/>
        </w:rPr>
        <w:t>Current portion of operating lease liabilities</w:t>
      </w:r>
      <w:r>
        <w:rPr>
          <w:sz w:val="20"/>
          <w:szCs w:val="20"/>
          <w:color w:val="auto"/>
        </w:rPr>
        <w:tab/>
      </w:r>
      <w:r>
        <w:rPr>
          <w:rFonts w:ascii="Arial" w:cs="Arial" w:eastAsia="Arial" w:hAnsi="Arial"/>
          <w:sz w:val="15"/>
          <w:szCs w:val="15"/>
          <w:color w:val="auto"/>
        </w:rPr>
        <w:t>Operating lease assets</w:t>
      </w:r>
    </w:p>
    <w:p>
      <w:pPr>
        <w:spacing w:after="0" w:line="66"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7"/>
          <w:szCs w:val="17"/>
          <w:color w:val="auto"/>
        </w:rPr>
        <w:t>Operating lease liabilities, net of current portion</w:t>
      </w:r>
      <w:r>
        <w:rPr>
          <w:sz w:val="20"/>
          <w:szCs w:val="20"/>
          <w:color w:val="auto"/>
        </w:rPr>
        <w:tab/>
      </w:r>
      <w:r>
        <w:rPr>
          <w:rFonts w:ascii="Arial" w:cs="Arial" w:eastAsia="Arial" w:hAnsi="Arial"/>
          <w:sz w:val="15"/>
          <w:szCs w:val="15"/>
          <w:color w:val="auto"/>
        </w:rPr>
        <w:t>Operating lease assets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Rent expense was $6.5 million and $1.9 million for the years ended December 31, 2019, and 2018,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information related to leases was as follows:</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Supplemental Cash Flow Information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174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17462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paid for amounts included in the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136130" cy="166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Lease liabilities arising from obtaining right-of-use assets</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209" w:hanging="1209"/>
        <w:spacing w:after="0"/>
        <w:tabs>
          <w:tab w:leader="none" w:pos="120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4.0</w:t>
      </w:r>
    </w:p>
    <w:p>
      <w:pPr>
        <w:spacing w:after="0" w:line="89" w:lineRule="exact"/>
        <w:rPr>
          <w:sz w:val="20"/>
          <w:szCs w:val="20"/>
          <w:color w:val="auto"/>
        </w:rPr>
      </w:pPr>
    </w:p>
    <w:p>
      <w:pPr>
        <w:ind w:left="1129" w:hanging="1129"/>
        <w:spacing w:after="0"/>
        <w:tabs>
          <w:tab w:leader="none" w:pos="1129" w:val="left"/>
        </w:tabs>
        <w:numPr>
          <w:ilvl w:val="0"/>
          <w:numId w:val="173"/>
        </w:numPr>
        <w:rPr>
          <w:rFonts w:ascii="Arial" w:cs="Arial" w:eastAsia="Arial" w:hAnsi="Arial"/>
          <w:sz w:val="15"/>
          <w:szCs w:val="15"/>
          <w:color w:val="auto"/>
        </w:rPr>
      </w:pPr>
      <w:r>
        <w:rPr>
          <w:rFonts w:ascii="Arial" w:cs="Arial" w:eastAsia="Arial" w:hAnsi="Arial"/>
          <w:sz w:val="15"/>
          <w:szCs w:val="15"/>
          <w:color w:val="auto"/>
        </w:rPr>
        <w:t>40.7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
        <w:spacing w:after="0"/>
        <w:rPr>
          <w:sz w:val="20"/>
          <w:szCs w:val="20"/>
          <w:color w:val="auto"/>
        </w:rPr>
      </w:pPr>
      <w:r>
        <w:rPr>
          <w:rFonts w:ascii="Arial" w:cs="Arial" w:eastAsia="Arial" w:hAnsi="Arial"/>
          <w:sz w:val="12"/>
          <w:szCs w:val="12"/>
          <w:b w:val="1"/>
          <w:bCs w:val="1"/>
          <w:color w:val="auto"/>
        </w:rPr>
        <w:t>Year ended December</w:t>
      </w:r>
    </w:p>
    <w:p>
      <w:pPr>
        <w:spacing w:after="0" w:line="22" w:lineRule="exact"/>
        <w:rPr>
          <w:sz w:val="20"/>
          <w:szCs w:val="20"/>
          <w:color w:val="auto"/>
        </w:rPr>
      </w:pPr>
    </w:p>
    <w:p>
      <w:pPr>
        <w:jc w:val="center"/>
        <w:ind w:right="31"/>
        <w:spacing w:after="0"/>
        <w:rPr>
          <w:sz w:val="20"/>
          <w:szCs w:val="20"/>
          <w:color w:val="auto"/>
        </w:rPr>
      </w:pPr>
      <w:r>
        <w:rPr>
          <w:rFonts w:ascii="Arial" w:cs="Arial" w:eastAsia="Arial" w:hAnsi="Arial"/>
          <w:sz w:val="14"/>
          <w:szCs w:val="14"/>
          <w:b w:val="1"/>
          <w:bCs w:val="1"/>
          <w:color w:val="auto"/>
        </w:rPr>
        <w:t>31, 2019</w:t>
      </w:r>
    </w:p>
    <w:p>
      <w:pPr>
        <w:spacing w:after="0" w:line="43" w:lineRule="exact"/>
        <w:rPr>
          <w:sz w:val="20"/>
          <w:szCs w:val="20"/>
          <w:color w:val="auto"/>
        </w:rPr>
      </w:pPr>
    </w:p>
    <w:p>
      <w:pPr>
        <w:ind w:left="1209" w:hanging="1209"/>
        <w:spacing w:after="0"/>
        <w:tabs>
          <w:tab w:leader="none" w:pos="1209" w:val="left"/>
        </w:tabs>
        <w:numPr>
          <w:ilvl w:val="0"/>
          <w:numId w:val="174"/>
        </w:numPr>
        <w:rPr>
          <w:rFonts w:ascii="Arial" w:cs="Arial" w:eastAsia="Arial" w:hAnsi="Arial"/>
          <w:sz w:val="15"/>
          <w:szCs w:val="15"/>
          <w:color w:val="auto"/>
        </w:rPr>
      </w:pPr>
      <w:r>
        <w:rPr>
          <w:rFonts w:ascii="Arial" w:cs="Arial" w:eastAsia="Arial" w:hAnsi="Arial"/>
          <w:sz w:val="15"/>
          <w:szCs w:val="15"/>
          <w:color w:val="auto"/>
        </w:rPr>
        <w:t>3.4</w:t>
      </w:r>
    </w:p>
    <w:p>
      <w:pPr>
        <w:spacing w:after="0" w:line="653" w:lineRule="exact"/>
        <w:rPr>
          <w:sz w:val="20"/>
          <w:szCs w:val="20"/>
          <w:color w:val="auto"/>
        </w:rPr>
      </w:pPr>
    </w:p>
    <w:p>
      <w:pPr>
        <w:sectPr>
          <w:pgSz w:w="11900" w:h="16838" w:orient="portrait"/>
          <w:cols w:equalWidth="0" w:num="2">
            <w:col w:w="8991" w:space="720"/>
            <w:col w:w="1529"/>
          </w:cols>
          <w:pgMar w:left="320" w:top="331"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6320" w:type="dxa"/>
            <w:vAlign w:val="bottom"/>
          </w:tcPr>
          <w:p>
            <w:pPr>
              <w:ind w:left="40"/>
              <w:spacing w:after="0"/>
              <w:rPr>
                <w:sz w:val="20"/>
                <w:szCs w:val="20"/>
                <w:color w:val="auto"/>
              </w:rPr>
            </w:pPr>
            <w:r>
              <w:rPr>
                <w:rFonts w:ascii="Arial" w:cs="Arial" w:eastAsia="Arial" w:hAnsi="Arial"/>
                <w:sz w:val="17"/>
                <w:szCs w:val="17"/>
                <w:color w:val="auto"/>
              </w:rPr>
              <w:t>From Zoom Information, Inc. acquisition</w:t>
            </w:r>
          </w:p>
        </w:tc>
        <w:tc>
          <w:tcPr>
            <w:tcW w:w="4000" w:type="dxa"/>
            <w:vAlign w:val="bottom"/>
          </w:tcPr>
          <w:p>
            <w:pPr>
              <w:jc w:val="right"/>
              <w:ind w:right="43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28.6</w:t>
            </w:r>
          </w:p>
        </w:tc>
      </w:tr>
      <w:tr>
        <w:trPr>
          <w:trHeight w:val="242"/>
        </w:trPr>
        <w:tc>
          <w:tcPr>
            <w:tcW w:w="6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400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3.8</w:t>
            </w:r>
          </w:p>
        </w:tc>
      </w:tr>
      <w:tr>
        <w:trPr>
          <w:trHeight w:val="27"/>
        </w:trPr>
        <w:tc>
          <w:tcPr>
            <w:tcW w:w="632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5"/>
        <w:spacing w:after="0"/>
        <w:tabs>
          <w:tab w:leader="none" w:pos="32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Excludes lease liabilities arising from the adoption of Topic 842. Refer to Note 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240"/>
          </w:cols>
          <w:pgMar w:left="320" w:top="331" w:right="339" w:bottom="1440" w:gutter="0" w:footer="0" w:header="0"/>
          <w:type w:val="continuous"/>
        </w:sectPr>
      </w:pPr>
    </w:p>
    <w:bookmarkStart w:id="274" w:name="page275"/>
    <w:bookmarkEnd w:id="274"/>
    <w:p>
      <w:pPr>
        <w:spacing w:after="0"/>
        <w:rPr>
          <w:sz w:val="20"/>
          <w:szCs w:val="20"/>
          <w:color w:val="auto"/>
        </w:rPr>
      </w:pPr>
      <w:r>
        <w:rPr>
          <w:rFonts w:ascii="Arial" w:cs="Arial" w:eastAsia="Arial" w:hAnsi="Arial"/>
          <w:sz w:val="17"/>
          <w:szCs w:val="17"/>
          <w:b w:val="1"/>
          <w:bCs w:val="1"/>
          <w:color w:val="auto"/>
        </w:rPr>
        <w:t>Note 11 - Leases (continued)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w w:val="91"/>
              </w:rPr>
              <w:t>Year ended December 31,</w:t>
            </w:r>
          </w:p>
        </w:tc>
      </w:tr>
      <w:tr>
        <w:trPr>
          <w:trHeight w:val="188"/>
        </w:trPr>
        <w:tc>
          <w:tcPr>
            <w:tcW w:w="9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r>
      <w:tr>
        <w:trPr>
          <w:trHeight w:val="24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75"/>
        </w:trPr>
        <w:tc>
          <w:tcPr>
            <w:tcW w:w="9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5"/>
        </w:trPr>
        <w:tc>
          <w:tcPr>
            <w:tcW w:w="960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Weighted Average Discount Rate</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7"/>
        </w:trPr>
        <w:tc>
          <w:tcPr>
            <w:tcW w:w="9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table below reconciles the undiscounted future minimum lease payments under non-cancellable leases to the total lease liabilities recognized on the condensed consolidated balance sheets as of December 31, 2019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6"/>
                <w:szCs w:val="16"/>
                <w:color w:val="auto"/>
              </w:rPr>
            </w:pPr>
          </w:p>
        </w:tc>
        <w:tc>
          <w:tcPr>
            <w:tcW w:w="1360" w:type="dxa"/>
            <w:vAlign w:val="bottom"/>
          </w:tcPr>
          <w:p>
            <w:pPr>
              <w:jc w:val="right"/>
              <w:ind w:right="174"/>
              <w:spacing w:after="0"/>
              <w:rPr>
                <w:sz w:val="20"/>
                <w:szCs w:val="20"/>
                <w:color w:val="auto"/>
              </w:rPr>
            </w:pPr>
            <w:r>
              <w:rPr>
                <w:rFonts w:ascii="Arial" w:cs="Arial" w:eastAsia="Arial" w:hAnsi="Arial"/>
                <w:sz w:val="14"/>
                <w:szCs w:val="14"/>
                <w:b w:val="1"/>
                <w:bCs w:val="1"/>
                <w:color w:val="auto"/>
                <w:w w:val="91"/>
              </w:rPr>
              <w:t>Operating Leases</w:t>
            </w:r>
          </w:p>
        </w:tc>
      </w:tr>
      <w:tr>
        <w:trPr>
          <w:trHeight w:val="240"/>
        </w:trPr>
        <w:tc>
          <w:tcPr>
            <w:tcW w:w="9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6.7</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7.5</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7.6</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7.2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6.8</w:t>
            </w: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Thereafter</w:t>
            </w: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22.7</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future minimum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58.5</w:t>
            </w: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less effects of discounting</w:t>
            </w: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13.8</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44.7</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Future minimum rental payments under the Company’s non-cancellable operating leases as of December 31, 2018, were as follows (in millions)</w:t>
      </w:r>
      <w:r>
        <w:rPr>
          <w:rFonts w:ascii="Arial" w:cs="Arial" w:eastAsia="Arial" w:hAnsi="Arial"/>
          <w:sz w:val="22"/>
          <w:szCs w:val="22"/>
          <w:color w:val="auto"/>
          <w:vertAlign w:val="superscript"/>
        </w:rPr>
        <w:t>(1)</w:t>
      </w:r>
      <w:r>
        <w:rPr>
          <w:rFonts w:ascii="Arial" w:cs="Arial" w:eastAsia="Arial" w:hAnsi="Arial"/>
          <w:sz w:val="16"/>
          <w:szCs w:val="16"/>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Contractual Payments</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Expected Sub-Lease</w:t>
            </w:r>
          </w:p>
        </w:tc>
        <w:tc>
          <w:tcPr>
            <w:tcW w:w="240" w:type="dxa"/>
            <w:vAlign w:val="bottom"/>
          </w:tcPr>
          <w:p>
            <w:pPr>
              <w:spacing w:after="0"/>
              <w:rPr>
                <w:sz w:val="14"/>
                <w:szCs w:val="14"/>
                <w:color w:val="auto"/>
              </w:rPr>
            </w:pPr>
          </w:p>
        </w:tc>
        <w:tc>
          <w:tcPr>
            <w:tcW w:w="1320" w:type="dxa"/>
            <w:vAlign w:val="bottom"/>
          </w:tcPr>
          <w:p>
            <w:pPr>
              <w:jc w:val="right"/>
              <w:ind w:right="297"/>
              <w:spacing w:after="0"/>
              <w:rPr>
                <w:sz w:val="20"/>
                <w:szCs w:val="20"/>
                <w:color w:val="auto"/>
              </w:rPr>
            </w:pPr>
            <w:r>
              <w:rPr>
                <w:rFonts w:ascii="Arial" w:cs="Arial" w:eastAsia="Arial" w:hAnsi="Arial"/>
                <w:sz w:val="14"/>
                <w:szCs w:val="14"/>
                <w:b w:val="1"/>
                <w:bCs w:val="1"/>
                <w:color w:val="auto"/>
              </w:rPr>
              <w:t>Net Expected</w:t>
            </w:r>
          </w:p>
        </w:tc>
        <w:tc>
          <w:tcPr>
            <w:tcW w:w="0" w:type="dxa"/>
            <w:vAlign w:val="bottom"/>
          </w:tcPr>
          <w:p>
            <w:pPr>
              <w:spacing w:after="0"/>
              <w:rPr>
                <w:sz w:val="1"/>
                <w:szCs w:val="1"/>
                <w:color w:val="auto"/>
              </w:rPr>
            </w:pPr>
          </w:p>
        </w:tc>
      </w:tr>
      <w:tr>
        <w:trPr>
          <w:trHeight w:val="188"/>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Due</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6"/>
                <w:szCs w:val="16"/>
                <w:color w:val="auto"/>
              </w:rPr>
            </w:pPr>
          </w:p>
        </w:tc>
        <w:tc>
          <w:tcPr>
            <w:tcW w:w="1320" w:type="dxa"/>
            <w:vAlign w:val="bottom"/>
          </w:tcPr>
          <w:p>
            <w:pPr>
              <w:jc w:val="right"/>
              <w:ind w:right="277"/>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40"/>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120" w:type="dxa"/>
            <w:vAlign w:val="bottom"/>
          </w:tcPr>
          <w:p>
            <w:pPr>
              <w:spacing w:after="0"/>
              <w:rPr>
                <w:sz w:val="20"/>
                <w:szCs w:val="20"/>
                <w:color w:val="auto"/>
              </w:rPr>
            </w:pPr>
          </w:p>
        </w:tc>
        <w:tc>
          <w:tcPr>
            <w:tcW w:w="1480" w:type="dxa"/>
            <w:vAlign w:val="bottom"/>
          </w:tcPr>
          <w:p>
            <w:pPr>
              <w:jc w:val="right"/>
              <w:ind w:right="37"/>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 xml:space="preserve">Amounts are based on ASC 840, </w:t>
      </w:r>
      <w:r>
        <w:rPr>
          <w:rFonts w:ascii="Arial" w:cs="Arial" w:eastAsia="Arial" w:hAnsi="Arial"/>
          <w:sz w:val="14"/>
          <w:szCs w:val="14"/>
          <w:i w:val="1"/>
          <w:iCs w:val="1"/>
          <w:color w:val="auto"/>
        </w:rPr>
        <w:t>Leases</w:t>
      </w:r>
      <w:r>
        <w:rPr>
          <w:rFonts w:ascii="Arial" w:cs="Arial" w:eastAsia="Arial" w:hAnsi="Arial"/>
          <w:sz w:val="14"/>
          <w:szCs w:val="14"/>
          <w:color w:val="auto"/>
        </w:rPr>
        <w:t xml:space="preserve"> that were superseded upon the Company’s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w:t>
      </w:r>
    </w:p>
    <w:p>
      <w:pPr>
        <w:spacing w:after="0" w:line="20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Expense associated with short term leases and variable lease costs were immaterial for the Year ended December 31, 2019. The expense related to short-term leases reasonably reflects the Company’s short-term lease commitments.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Members’ Deficit</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In March 2018, certain members of the Company sold membership interests to private equity funds managed by Carlyle Partners (“Carlyle Investment”) and entered into the Third Amended and Restated Limited Liability Company Agreement (the “3rd LLC Agreement”). The 3rd LLC Agreement establishes different classes of membership units and the rights and economics related to each. All existing units of the Company were converted at the time of the Carlyle Investment to new Common and Preferred units equal to an initial investment level of one dollar per unit. Class P units were reserved for use in equity incentive programs for employees, directors, and service providers.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240"/>
          </w:cols>
          <w:pgMar w:left="320" w:top="750" w:right="339" w:bottom="1440" w:gutter="0" w:footer="0" w:header="0"/>
        </w:sectPr>
      </w:pPr>
    </w:p>
    <w:bookmarkStart w:id="275" w:name="page276"/>
    <w:bookmarkEnd w:id="275"/>
    <w:p>
      <w:pPr>
        <w:spacing w:after="0"/>
        <w:rPr>
          <w:sz w:val="20"/>
          <w:szCs w:val="20"/>
          <w:color w:val="auto"/>
        </w:rPr>
      </w:pPr>
      <w:r>
        <w:rPr>
          <w:rFonts w:ascii="Arial" w:cs="Arial" w:eastAsia="Arial" w:hAnsi="Arial"/>
          <w:sz w:val="17"/>
          <w:szCs w:val="17"/>
          <w:b w:val="1"/>
          <w:bCs w:val="1"/>
          <w:color w:val="auto"/>
        </w:rPr>
        <w:t>Note 12 - Members' Deficit (continued)</w:t>
      </w:r>
    </w:p>
    <w:p>
      <w:pPr>
        <w:spacing w:after="0" w:line="230"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Class P units were subsequently granted to employees and directors directly in DiscoverOrg Holdings, LLC and through DiscoverOrg Management Holdings, LLC, which was granted units and subsequently granted units to employees. See Note 15 - Equity-Based Compensation for additional detail with respect to granted units.</w:t>
      </w:r>
    </w:p>
    <w:p>
      <w:pPr>
        <w:spacing w:after="0" w:line="11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on a ratable basis to all units, with Class P Units participating in distributions once other units have achieved a specified Return Threshold.</w:t>
      </w:r>
    </w:p>
    <w:p>
      <w:pPr>
        <w:spacing w:after="0" w:line="10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December 31, 2019, there were 96.0 million Preferred Units outstanding, 244.1 million Common Units outstanding, and 17.2 million Class P Units outstanding. As of December 31, 2018, there were 96.0 million Preferred Units outstanding, 246.0 million Common Units outstanding, and 5.7 million Class P Units outstanding. Prior to the Carlyle Investment, the Company operated under the Amended and Restated Limited Liability Company Agreement (the “Prior LLC Agreement”).</w:t>
      </w:r>
    </w:p>
    <w:p>
      <w:pPr>
        <w:spacing w:after="0" w:line="126" w:lineRule="exact"/>
        <w:rPr>
          <w:sz w:val="20"/>
          <w:szCs w:val="20"/>
          <w:color w:val="auto"/>
        </w:rPr>
      </w:pPr>
    </w:p>
    <w:p>
      <w:pPr>
        <w:ind w:right="1740" w:firstLine="314"/>
        <w:spacing w:after="0" w:line="450" w:lineRule="auto"/>
        <w:rPr>
          <w:sz w:val="20"/>
          <w:szCs w:val="20"/>
          <w:color w:val="auto"/>
        </w:rPr>
      </w:pPr>
      <w:r>
        <w:rPr>
          <w:rFonts w:ascii="Arial" w:cs="Arial" w:eastAsia="Arial" w:hAnsi="Arial"/>
          <w:sz w:val="17"/>
          <w:szCs w:val="17"/>
          <w:color w:val="auto"/>
        </w:rPr>
        <w:t xml:space="preserve">The Company has an outstanding payable as of December 31, 2019 of $0.7 million to a predecessor entity that is a current member. </w:t>
      </w:r>
      <w:r>
        <w:rPr>
          <w:rFonts w:ascii="Arial" w:cs="Arial" w:eastAsia="Arial" w:hAnsi="Arial"/>
          <w:sz w:val="17"/>
          <w:szCs w:val="17"/>
          <w:b w:val="1"/>
          <w:bCs w:val="1"/>
          <w:color w:val="auto"/>
        </w:rPr>
        <w:t>Note 13 - Redeemable Series A Preferred Units</w:t>
      </w:r>
    </w:p>
    <w:p>
      <w:pPr>
        <w:jc w:val="both"/>
        <w:ind w:firstLine="314"/>
        <w:spacing w:after="0" w:line="322" w:lineRule="auto"/>
        <w:rPr>
          <w:sz w:val="20"/>
          <w:szCs w:val="20"/>
          <w:color w:val="auto"/>
        </w:rPr>
      </w:pPr>
      <w:r>
        <w:rPr>
          <w:rFonts w:ascii="Arial" w:cs="Arial" w:eastAsia="Arial" w:hAnsi="Arial"/>
          <w:sz w:val="16"/>
          <w:szCs w:val="16"/>
          <w:color w:val="auto"/>
        </w:rPr>
        <w:t>On February 1, 2019, and in connection with the ZoomInfo acquisition (see Note 4 – Business Combinations), the Company issued 51.8 million Series A Preferred Units in exchange for $200.2 million, net of $0.6 million in issuance costs. As of December 31, 2019, 51.8 million units remained outstanding.</w:t>
      </w:r>
    </w:p>
    <w:p>
      <w:pPr>
        <w:spacing w:after="0" w:line="83"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for December 31, 2019. The Company will adjust the carrying balance once it is probable that the Series A Preferred Units will become redeemable.</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may, at its option, redeem the Series A Preferred Units in whole, or in part, at a price based on the redemption date as compared to January 31, 2021 (the “First Call Date”).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Applicable Period</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Redemption Price</w:t>
            </w:r>
          </w:p>
        </w:tc>
      </w:tr>
      <w:tr>
        <w:trPr>
          <w:trHeight w:val="222"/>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Prior to the First Call Date</w:t>
            </w:r>
          </w:p>
        </w:tc>
        <w:tc>
          <w:tcPr>
            <w:tcW w:w="49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Present value as of the redemption date of liquidation value as of</w:t>
            </w:r>
          </w:p>
        </w:tc>
      </w:tr>
      <w:tr>
        <w:trPr>
          <w:trHeight w:val="228"/>
        </w:trPr>
        <w:tc>
          <w:tcPr>
            <w:tcW w:w="630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First Call Date multiplied by 104%</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w w:val="99"/>
              </w:rPr>
              <w:t>On or after the First Call Date and prior to the first anniversary of the First Call Date</w:t>
            </w:r>
          </w:p>
        </w:tc>
        <w:tc>
          <w:tcPr>
            <w:tcW w:w="4940" w:type="dxa"/>
            <w:vAlign w:val="bottom"/>
          </w:tcPr>
          <w:p>
            <w:pPr>
              <w:ind w:left="40"/>
              <w:spacing w:after="0"/>
              <w:rPr>
                <w:sz w:val="20"/>
                <w:szCs w:val="20"/>
                <w:color w:val="auto"/>
              </w:rPr>
            </w:pPr>
            <w:r>
              <w:rPr>
                <w:rFonts w:ascii="Arial" w:cs="Arial" w:eastAsia="Arial" w:hAnsi="Arial"/>
                <w:sz w:val="17"/>
                <w:szCs w:val="17"/>
                <w:color w:val="auto"/>
              </w:rPr>
              <w:t>Liquidation value as of the redemption date multiplied by 104%</w:t>
            </w:r>
          </w:p>
        </w:tc>
      </w:tr>
      <w:tr>
        <w:trPr>
          <w:trHeight w:val="27"/>
        </w:trPr>
        <w:tc>
          <w:tcPr>
            <w:tcW w:w="630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3"/>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On or after the first anniversary of the First Call Date and prior to the second anniversary</w:t>
            </w:r>
          </w:p>
        </w:tc>
        <w:tc>
          <w:tcPr>
            <w:tcW w:w="4940" w:type="dxa"/>
            <w:vAlign w:val="bottom"/>
            <w:shd w:val="clear" w:color="auto" w:fill="CCEEFF"/>
          </w:tcPr>
          <w:p>
            <w:pPr>
              <w:spacing w:after="0"/>
              <w:rPr>
                <w:sz w:val="19"/>
                <w:szCs w:val="19"/>
                <w:color w:val="auto"/>
              </w:rPr>
            </w:pPr>
          </w:p>
        </w:tc>
      </w:tr>
      <w:tr>
        <w:trPr>
          <w:trHeight w:val="228"/>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of the First Call Date</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Liquidation value as of the redemption date multiplied by 102%</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On or after the second anniversary of the First Call Date</w:t>
            </w:r>
          </w:p>
        </w:tc>
        <w:tc>
          <w:tcPr>
            <w:tcW w:w="4940" w:type="dxa"/>
            <w:vAlign w:val="bottom"/>
          </w:tcPr>
          <w:p>
            <w:pPr>
              <w:ind w:left="40"/>
              <w:spacing w:after="0"/>
              <w:rPr>
                <w:sz w:val="20"/>
                <w:szCs w:val="20"/>
                <w:color w:val="auto"/>
              </w:rPr>
            </w:pPr>
            <w:r>
              <w:rPr>
                <w:rFonts w:ascii="Arial" w:cs="Arial" w:eastAsia="Arial" w:hAnsi="Arial"/>
                <w:sz w:val="17"/>
                <w:szCs w:val="17"/>
                <w:color w:val="auto"/>
              </w:rPr>
              <w:t>Liquidation value as of the redemption date</w:t>
            </w: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2019, the total minimum committed cumulative liquidation preference due upon an immediate redemption was $282.5 million.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240"/>
          </w:cols>
          <w:pgMar w:left="320" w:top="750" w:right="339" w:bottom="1440" w:gutter="0" w:footer="0" w:header="0"/>
        </w:sectPr>
      </w:pPr>
    </w:p>
    <w:bookmarkStart w:id="276" w:name="page277"/>
    <w:bookmarkEnd w:id="276"/>
    <w:p>
      <w:pPr>
        <w:spacing w:after="0"/>
        <w:rPr>
          <w:sz w:val="20"/>
          <w:szCs w:val="20"/>
          <w:color w:val="auto"/>
        </w:rPr>
      </w:pPr>
      <w:r>
        <w:rPr>
          <w:rFonts w:ascii="Arial" w:cs="Arial" w:eastAsia="Arial" w:hAnsi="Arial"/>
          <w:sz w:val="17"/>
          <w:szCs w:val="17"/>
          <w:b w:val="1"/>
          <w:bCs w:val="1"/>
          <w:color w:val="auto"/>
        </w:rPr>
        <w:t>Note 14 - Employee Retirement Benefits</w:t>
      </w:r>
    </w:p>
    <w:p>
      <w:pPr>
        <w:spacing w:after="0" w:line="177"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has a 401(k) plan that all eligible employees can contribute pre-tax and after-tax (Roth) to up to the maximum annual amount established by the Internal Revenue Code. The Company matches 35% of the employee's contribution to the 401(k) plan up to the first 6% of their contribution. Matching contributions made by the Company were approximately $1.4 million and $0.6 million for the years ended December 31, 2019, and 2018, respectively. Matching contributions will be fully vested after three years of service. Employee contributions are 100% vested immediately. The acquisition of Zoom Information, Inc. contributed to the increase in the Company's matching contribution in 2019.</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Equity-Based Compensation</w:t>
      </w:r>
    </w:p>
    <w:p>
      <w:pPr>
        <w:spacing w:after="0" w:line="171"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b w:val="1"/>
          <w:bCs w:val="1"/>
          <w:color w:val="auto"/>
        </w:rPr>
        <w:t xml:space="preserve">Class P Incentive Units </w:t>
      </w:r>
      <w:r>
        <w:rPr>
          <w:rFonts w:ascii="Arial" w:cs="Arial" w:eastAsia="Arial" w:hAnsi="Arial"/>
          <w:sz w:val="16"/>
          <w:szCs w:val="16"/>
          <w:color w:val="auto"/>
        </w:rPr>
        <w:t>- Class P units under the Company’s current LLC Agreement and the Class C units under the Company’s Prior LLC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converted to Common Units (collectively with Management Holdings Class P Units described below, the “Class P Incentive Units”) operate under employee incentive programs and are granted to employees and service providers as approved by the Board of Managers. In June 2019, the Company expanded its employee incentive program under a newly formed upper tier entity DiscoverOrg Management Holdings, LLC (“Management Holdings”) established to issue Class P units of Management Holdings to employees of the Company. Through this newly formed upper tier entity, Class P units of Management Holdings are issued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11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Class P Incentive Units are subject to a time-based vesting condition. The service vesting condition is generally over four years with 50% vesting on the two year anniversary of the vesting commencement date of the award, followed by 1/24th of the remaining 50% vesting monthly over two years. The fair value of each grant was estimated on the date of the award using a Black-Scholes option pricing model with the following assumption ranges and fair value per unit: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255"/>
        </w:trPr>
        <w:tc>
          <w:tcPr>
            <w:tcW w:w="778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gridSpan w:val="2"/>
          </w:tcPr>
          <w:p>
            <w:pPr>
              <w:jc w:val="right"/>
              <w:ind w:right="613"/>
              <w:spacing w:after="0"/>
              <w:rPr>
                <w:sz w:val="20"/>
                <w:szCs w:val="20"/>
                <w:color w:val="auto"/>
              </w:rPr>
            </w:pPr>
            <w:r>
              <w:rPr>
                <w:rFonts w:ascii="Arial" w:cs="Arial" w:eastAsia="Arial" w:hAnsi="Arial"/>
                <w:sz w:val="14"/>
                <w:szCs w:val="14"/>
                <w:b w:val="1"/>
                <w:bCs w:val="1"/>
                <w:color w:val="auto"/>
              </w:rPr>
              <w:t>2018</w:t>
            </w: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 free rate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3"/>
              </w:rPr>
              <w:t>1.58% - 2.49%</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- 2.82%</w:t>
            </w: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Volatility of the underlying assets</w:t>
            </w: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38.4% - 41.9%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39.1%</w:t>
            </w:r>
          </w:p>
        </w:tc>
        <w:tc>
          <w:tcPr>
            <w:tcW w:w="880" w:type="dxa"/>
            <w:vAlign w:val="bottom"/>
          </w:tcPr>
          <w:p>
            <w:pPr>
              <w:ind w:left="20"/>
              <w:spacing w:after="0"/>
              <w:rPr>
                <w:sz w:val="20"/>
                <w:szCs w:val="20"/>
                <w:color w:val="auto"/>
              </w:rPr>
            </w:pPr>
            <w:r>
              <w:rPr>
                <w:rFonts w:ascii="Arial" w:cs="Arial" w:eastAsia="Arial" w:hAnsi="Arial"/>
                <w:sz w:val="17"/>
                <w:szCs w:val="17"/>
                <w:color w:val="auto"/>
              </w:rPr>
              <w:t>- 41.2%</w:t>
            </w:r>
          </w:p>
        </w:tc>
      </w:tr>
      <w:tr>
        <w:trPr>
          <w:trHeight w:val="27"/>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r>
      <w:tr>
        <w:trPr>
          <w:trHeight w:val="242"/>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Expected life</w:t>
            </w: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4 years</w:t>
            </w:r>
          </w:p>
        </w:tc>
        <w:tc>
          <w:tcPr>
            <w:tcW w:w="1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7"/>
                <w:szCs w:val="17"/>
                <w:color w:val="auto"/>
              </w:rPr>
              <w:t>4 years</w:t>
            </w:r>
          </w:p>
        </w:tc>
      </w:tr>
      <w:tr>
        <w:trPr>
          <w:trHeight w:val="235"/>
        </w:trPr>
        <w:tc>
          <w:tcPr>
            <w:tcW w:w="7780" w:type="dxa"/>
            <w:vAlign w:val="bottom"/>
          </w:tcPr>
          <w:p>
            <w:pPr>
              <w:ind w:left="40"/>
              <w:spacing w:after="0"/>
              <w:rPr>
                <w:sz w:val="20"/>
                <w:szCs w:val="20"/>
                <w:color w:val="auto"/>
              </w:rPr>
            </w:pPr>
            <w:r>
              <w:rPr>
                <w:rFonts w:ascii="Arial" w:cs="Arial" w:eastAsia="Arial" w:hAnsi="Arial"/>
                <w:sz w:val="17"/>
                <w:szCs w:val="17"/>
                <w:color w:val="auto"/>
              </w:rPr>
              <w:t>Marketability discount</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680" w:type="dxa"/>
            <w:vAlign w:val="bottom"/>
            <w:gridSpan w:val="2"/>
          </w:tcPr>
          <w:p>
            <w:pPr>
              <w:jc w:val="right"/>
              <w:ind w:right="593"/>
              <w:spacing w:after="0"/>
              <w:rPr>
                <w:sz w:val="20"/>
                <w:szCs w:val="20"/>
                <w:color w:val="auto"/>
              </w:rPr>
            </w:pPr>
            <w:r>
              <w:rPr>
                <w:rFonts w:ascii="Arial" w:cs="Arial" w:eastAsia="Arial" w:hAnsi="Arial"/>
                <w:sz w:val="17"/>
                <w:szCs w:val="17"/>
                <w:color w:val="auto"/>
              </w:rPr>
              <w:t>29%</w:t>
            </w:r>
          </w:p>
        </w:tc>
      </w:tr>
      <w:tr>
        <w:trPr>
          <w:trHeight w:val="27"/>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2"/>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Fair value per common unit</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$5.20 - $14.36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 $5.20</w:t>
            </w:r>
          </w:p>
        </w:tc>
      </w:tr>
      <w:tr>
        <w:trPr>
          <w:trHeight w:val="151"/>
        </w:trPr>
        <w:tc>
          <w:tcPr>
            <w:tcW w:w="7780" w:type="dxa"/>
            <w:vAlign w:val="bottom"/>
          </w:tcPr>
          <w:p>
            <w:pPr>
              <w:spacing w:after="0" w:line="151" w:lineRule="exact"/>
              <w:rPr>
                <w:sz w:val="20"/>
                <w:szCs w:val="20"/>
                <w:color w:val="auto"/>
              </w:rPr>
            </w:pPr>
            <w:r>
              <w:rPr>
                <w:rFonts w:ascii="Arial" w:cs="Arial" w:eastAsia="Arial" w:hAnsi="Arial"/>
                <w:sz w:val="14"/>
                <w:szCs w:val="14"/>
                <w:color w:val="auto"/>
              </w:rPr>
              <w:t>__________________</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r>
    </w:tbl>
    <w:p>
      <w:pPr>
        <w:jc w:val="both"/>
        <w:ind w:left="320" w:hanging="315"/>
        <w:spacing w:after="0" w:line="238" w:lineRule="auto"/>
        <w:tabs>
          <w:tab w:leader="none" w:pos="32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In June 2019, the Company began to apply a probability weighted expected return method, where equity values were calculated using an option pricing model under an IPO and non-IPO scenarios and each value was weighted based on estimated probability of occurrence. For common units, an estimated time until a liquidation event of 1.5 - 4.0 years and a marketability discount of 13% - 25% was used, depending on an IPO or non-IPO scenarios. As of December 31, 2019, an 80% weight was applied to an IPO scenario.</w:t>
      </w:r>
    </w:p>
    <w:p>
      <w:pPr>
        <w:spacing w:after="0" w:line="144"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estimated the future stock price volatility based on the volatility of a set of publicly traded comparable companies with a look back period consistent with the expected life. The expected life of the Class P units represents the period of time over which the units granted are expected to remain outstanding giving consideration to vesting schedules and forfeiture patterns. The risk-free rate is based on the rate for a U.S. government security with the same expected life at the time of grant. As of December 31, 2019 and December 31, 2018, the Company had recognized $11.1 million and $1.5 million as compensation cost in the Consolidated statement of operations, respectively, with an offset to Members’ Deficit. As of December 31, 2019, the amount of unamortized equity-based compensation related to the Incentive Units is $53.8 million.</w:t>
      </w:r>
    </w:p>
    <w:p>
      <w:pPr>
        <w:spacing w:after="0" w:line="123"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DOH Phantom Units </w:t>
      </w:r>
      <w:r>
        <w:rPr>
          <w:rFonts w:ascii="Arial" w:cs="Arial" w:eastAsia="Arial" w:hAnsi="Arial"/>
          <w:sz w:val="17"/>
          <w:szCs w:val="17"/>
          <w:color w:val="auto"/>
        </w:rPr>
        <w:t>- In June 2019, the Company adopted the ZoomInfo OpCo 2019 Phantom Unit Plan which is authorized to issue an aggregate of 7.5</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Phantom Units (as defined in the plan) (“DOH Phantom Units”). DOH Phantom Units generally are eligible to vest over four years with 50% vesting on the two year anniversary of the service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240"/>
          </w:cols>
          <w:pgMar w:left="320" w:top="331" w:right="339" w:bottom="1440" w:gutter="0" w:footer="0" w:header="0"/>
        </w:sectPr>
      </w:pPr>
    </w:p>
    <w:bookmarkStart w:id="277" w:name="page278"/>
    <w:bookmarkEnd w:id="277"/>
    <w:p>
      <w:pPr>
        <w:spacing w:after="0"/>
        <w:rPr>
          <w:sz w:val="20"/>
          <w:szCs w:val="20"/>
          <w:color w:val="auto"/>
        </w:rPr>
      </w:pPr>
      <w:r>
        <w:rPr>
          <w:rFonts w:ascii="Arial" w:cs="Arial" w:eastAsia="Arial" w:hAnsi="Arial"/>
          <w:sz w:val="17"/>
          <w:szCs w:val="17"/>
          <w:b w:val="1"/>
          <w:bCs w:val="1"/>
          <w:color w:val="auto"/>
        </w:rPr>
        <w:t>Note 15 - Equity-Based Compensation (continued)</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requirement start date of the award, followed by 1/24th of the remaining 50% vesting monthly over two years. As of December 31, 2019 zero DOH Phantom Units had been granted under the plan.</w:t>
      </w:r>
    </w:p>
    <w:p>
      <w:pPr>
        <w:spacing w:after="0" w:line="100"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b w:val="1"/>
          <w:bCs w:val="1"/>
          <w:color w:val="auto"/>
        </w:rPr>
        <w:t xml:space="preserve">HSKB Incentive Units </w:t>
      </w:r>
      <w:r>
        <w:rPr>
          <w:rFonts w:ascii="Arial" w:cs="Arial" w:eastAsia="Arial" w:hAnsi="Arial"/>
          <w:sz w:val="17"/>
          <w:szCs w:val="17"/>
          <w:color w:val="auto"/>
        </w:rPr>
        <w:t>- The founders of the Company previously contributed membership units into an upper tier entity, HSKB Funds, LLC (“HSKB”),</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 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 718. This modification affected 142 grantees and resulted in an increase in unrecognized equity-based compensation cost related to the HSKB Grants of $88.4 million. As of the date of the HSKB Grants modification, the amount of unrecognized equity-based compensation related to the HSKB Grants is $166.4 million.</w:t>
      </w:r>
    </w:p>
    <w:p>
      <w:pPr>
        <w:spacing w:after="0" w:line="129"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b w:val="1"/>
          <w:bCs w:val="1"/>
          <w:color w:val="auto"/>
        </w:rPr>
        <w:t xml:space="preserve">HSKB Phantom Units </w:t>
      </w:r>
      <w:r>
        <w:rPr>
          <w:rFonts w:ascii="Arial" w:cs="Arial" w:eastAsia="Arial" w:hAnsi="Arial"/>
          <w:sz w:val="17"/>
          <w:szCs w:val="17"/>
          <w:color w:val="auto"/>
        </w:rPr>
        <w:t>- In December 2019, HSKB adopted the HSKB Funds, LLC 2019 Phantom Unit Plan wherein HSKB may grant Phantom Units</w:t>
      </w:r>
      <w:r>
        <w:rPr>
          <w:rFonts w:ascii="Arial" w:cs="Arial" w:eastAsia="Arial" w:hAnsi="Arial"/>
          <w:sz w:val="17"/>
          <w:szCs w:val="17"/>
          <w:b w:val="1"/>
          <w:bCs w:val="1"/>
          <w:color w:val="auto"/>
        </w:rPr>
        <w:t xml:space="preserve"> </w:t>
      </w:r>
      <w:r>
        <w:rPr>
          <w:rFonts w:ascii="Arial" w:cs="Arial" w:eastAsia="Arial" w:hAnsi="Arial"/>
          <w:sz w:val="17"/>
          <w:szCs w:val="17"/>
          <w:color w:val="auto"/>
        </w:rPr>
        <w:t>(“HSKB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December 31, 2019, the amount of unamortized equity-based compensation related to the HSKB Phantom Units is $5.0 million.</w:t>
      </w:r>
    </w:p>
    <w:p>
      <w:pPr>
        <w:spacing w:after="0" w:line="133"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The Company recognizes compensation cost associated with this commitment as it is earned over time, or paid, whichever is sooner. As of December 31, 2019 and December 31, 2018, the Company had recognized $14.0 million and $31.2 million as compensation cost in the Consolidated statement of operations, respectively, with an offset to Members’ Deficit. In March 2019, HSKB distributed $14.8 million towards the outstanding commitment.</w:t>
      </w:r>
    </w:p>
    <w:p>
      <w:pPr>
        <w:spacing w:after="0" w:line="113"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connection with the Carlyle Investment transaction, accelerated vesting was triggered on all non-vested units and they were converted to new Common and Preferred units. The Company recognized $0.3 million compensation expense in connection with this accelerated vesting event. On March 12, 2018, a total of 82,735 non-vested Class C units held by employees were converted into 1,745,723 Common units subject to time-vesting conditions, of which 1,304,043 were fully vested upon conversion and 441,681 were not vested.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240"/>
          </w:cols>
          <w:pgMar w:left="320" w:top="750" w:right="339" w:bottom="1440" w:gutter="0" w:footer="0" w:header="0"/>
        </w:sectPr>
      </w:pPr>
    </w:p>
    <w:bookmarkStart w:id="278" w:name="page279"/>
    <w:bookmarkEnd w:id="278"/>
    <w:p>
      <w:pPr>
        <w:spacing w:after="0"/>
        <w:rPr>
          <w:sz w:val="20"/>
          <w:szCs w:val="20"/>
          <w:color w:val="auto"/>
        </w:rPr>
      </w:pPr>
      <w:r>
        <w:rPr>
          <w:rFonts w:ascii="Arial" w:cs="Arial" w:eastAsia="Arial" w:hAnsi="Arial"/>
          <w:sz w:val="17"/>
          <w:szCs w:val="17"/>
          <w:b w:val="1"/>
          <w:bCs w:val="1"/>
          <w:color w:val="auto"/>
        </w:rPr>
        <w:t>Note 15 - Equity-Based Compensation (continued)</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number and weighted-average grant date fair value for Common Units and Class P Incentive Units for key activities are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Common Units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4"/>
                <w:szCs w:val="14"/>
                <w:b w:val="1"/>
                <w:bCs w:val="1"/>
                <w:color w:val="auto"/>
              </w:rPr>
              <w:t>Class P Units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520" w:type="dxa"/>
            <w:vAlign w:val="bottom"/>
          </w:tcPr>
          <w:p>
            <w:pPr>
              <w:spacing w:after="0"/>
              <w:rPr>
                <w:sz w:val="12"/>
                <w:szCs w:val="12"/>
                <w:color w:val="auto"/>
              </w:rPr>
            </w:pPr>
          </w:p>
        </w:tc>
        <w:tc>
          <w:tcPr>
            <w:tcW w:w="14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1460" w:type="dxa"/>
            <w:vAlign w:val="bottom"/>
            <w:gridSpan w:val="3"/>
          </w:tcPr>
          <w:p>
            <w:pPr>
              <w:ind w:left="60"/>
              <w:spacing w:after="0" w:line="146" w:lineRule="exact"/>
              <w:rPr>
                <w:sz w:val="20"/>
                <w:szCs w:val="20"/>
                <w:color w:val="auto"/>
              </w:rPr>
            </w:pPr>
            <w:r>
              <w:rPr>
                <w:rFonts w:ascii="Arial" w:cs="Arial" w:eastAsia="Arial" w:hAnsi="Arial"/>
                <w:sz w:val="14"/>
                <w:szCs w:val="14"/>
                <w:b w:val="1"/>
                <w:bCs w:val="1"/>
                <w:color w:val="auto"/>
              </w:rPr>
              <w:t>Weighted Avg Grant</w:t>
            </w:r>
          </w:p>
        </w:tc>
        <w:tc>
          <w:tcPr>
            <w:tcW w:w="14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Units</w:t>
            </w:r>
          </w:p>
        </w:tc>
        <w:tc>
          <w:tcPr>
            <w:tcW w:w="1340" w:type="dxa"/>
            <w:vAlign w:val="bottom"/>
            <w:gridSpan w:val="2"/>
          </w:tcPr>
          <w:p>
            <w:pPr>
              <w:jc w:val="right"/>
              <w:spacing w:after="0" w:line="146" w:lineRule="exact"/>
              <w:rPr>
                <w:sz w:val="20"/>
                <w:szCs w:val="20"/>
                <w:color w:val="auto"/>
              </w:rPr>
            </w:pPr>
            <w:r>
              <w:rPr>
                <w:rFonts w:ascii="Arial" w:cs="Arial" w:eastAsia="Arial" w:hAnsi="Arial"/>
                <w:sz w:val="14"/>
                <w:szCs w:val="14"/>
                <w:b w:val="1"/>
                <w:bCs w:val="1"/>
                <w:color w:val="auto"/>
                <w:w w:val="95"/>
              </w:rPr>
              <w:t>Weighted Avg Grant</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Date Fair Value/Unit</w:t>
            </w:r>
          </w:p>
        </w:tc>
        <w:tc>
          <w:tcPr>
            <w:tcW w:w="1440" w:type="dxa"/>
            <w:vAlign w:val="bottom"/>
            <w:gridSpan w:val="2"/>
            <w:vMerge w:val="continue"/>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Date Fair Value/Unit</w:t>
            </w:r>
          </w:p>
        </w:tc>
        <w:tc>
          <w:tcPr>
            <w:tcW w:w="0" w:type="dxa"/>
            <w:vAlign w:val="bottom"/>
          </w:tcPr>
          <w:p>
            <w:pPr>
              <w:spacing w:after="0"/>
              <w:rPr>
                <w:sz w:val="1"/>
                <w:szCs w:val="1"/>
                <w:color w:val="auto"/>
              </w:rPr>
            </w:pPr>
          </w:p>
        </w:tc>
      </w:tr>
      <w:tr>
        <w:trPr>
          <w:trHeight w:val="24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Non-vested units at December 31, 2018</w:t>
            </w:r>
          </w:p>
        </w:tc>
        <w:tc>
          <w:tcPr>
            <w:tcW w:w="13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441,681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5,716,467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ind w:right="441"/>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35"/>
        </w:trPr>
        <w:tc>
          <w:tcPr>
            <w:tcW w:w="5520" w:type="dxa"/>
            <w:vAlign w:val="bottom"/>
          </w:tcPr>
          <w:p>
            <w:pPr>
              <w:ind w:left="160"/>
              <w:spacing w:after="0"/>
              <w:rPr>
                <w:sz w:val="20"/>
                <w:szCs w:val="20"/>
                <w:color w:val="auto"/>
              </w:rPr>
            </w:pPr>
            <w:r>
              <w:rPr>
                <w:rFonts w:ascii="Arial" w:cs="Arial" w:eastAsia="Arial" w:hAnsi="Arial"/>
                <w:sz w:val="17"/>
                <w:szCs w:val="17"/>
                <w:color w:val="auto"/>
              </w:rPr>
              <w:t>Granted</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4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8"/>
              <w:spacing w:after="0"/>
              <w:rPr>
                <w:sz w:val="20"/>
                <w:szCs w:val="20"/>
                <w:color w:val="auto"/>
              </w:rPr>
            </w:pPr>
            <w:r>
              <w:rPr>
                <w:rFonts w:ascii="Arial" w:cs="Arial" w:eastAsia="Arial" w:hAnsi="Arial"/>
                <w:sz w:val="17"/>
                <w:szCs w:val="17"/>
                <w:color w:val="auto"/>
              </w:rPr>
              <w:t>13,310,663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(118,867)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(280,563)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35"/>
        </w:trPr>
        <w:tc>
          <w:tcPr>
            <w:tcW w:w="5520" w:type="dxa"/>
            <w:vAlign w:val="bottom"/>
          </w:tcPr>
          <w:p>
            <w:pPr>
              <w:ind w:left="160"/>
              <w:spacing w:after="0"/>
              <w:rPr>
                <w:sz w:val="20"/>
                <w:szCs w:val="20"/>
                <w:color w:val="auto"/>
              </w:rPr>
            </w:pPr>
            <w:r>
              <w:rPr>
                <w:rFonts w:ascii="Arial" w:cs="Arial" w:eastAsia="Arial" w:hAnsi="Arial"/>
                <w:sz w:val="17"/>
                <w:szCs w:val="17"/>
                <w:color w:val="auto"/>
              </w:rPr>
              <w:t>Forfeited/Canceled</w:t>
            </w:r>
          </w:p>
        </w:tc>
        <w:tc>
          <w:tcPr>
            <w:tcW w:w="1360" w:type="dxa"/>
            <w:vAlign w:val="bottom"/>
          </w:tcPr>
          <w:p>
            <w:pPr>
              <w:jc w:val="right"/>
              <w:spacing w:after="0"/>
              <w:rPr>
                <w:sz w:val="20"/>
                <w:szCs w:val="20"/>
                <w:color w:val="auto"/>
              </w:rPr>
            </w:pPr>
            <w:r>
              <w:rPr>
                <w:rFonts w:ascii="Arial" w:cs="Arial" w:eastAsia="Arial" w:hAnsi="Arial"/>
                <w:sz w:val="17"/>
                <w:szCs w:val="17"/>
                <w:color w:val="auto"/>
              </w:rPr>
              <w:t>(93,995)</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7"/>
                <w:szCs w:val="17"/>
                <w:color w:val="auto"/>
              </w:rPr>
              <w:t>0.17</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(1,852,964)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line="255" w:lineRule="exact"/>
              <w:rPr>
                <w:sz w:val="20"/>
                <w:szCs w:val="20"/>
                <w:color w:val="auto"/>
              </w:rPr>
            </w:pPr>
            <w:r>
              <w:rPr>
                <w:rFonts w:ascii="Arial" w:cs="Arial" w:eastAsia="Arial" w:hAnsi="Arial"/>
                <w:sz w:val="17"/>
                <w:szCs w:val="17"/>
                <w:color w:val="auto"/>
              </w:rPr>
              <w:t xml:space="preserve">Non-vested units at December 31, 2019 </w:t>
            </w:r>
            <w:r>
              <w:rPr>
                <w:rFonts w:ascii="Arial" w:cs="Arial" w:eastAsia="Arial" w:hAnsi="Arial"/>
                <w:sz w:val="24"/>
                <w:szCs w:val="24"/>
                <w:color w:val="auto"/>
                <w:vertAlign w:val="superscript"/>
              </w:rPr>
              <w:t>(1)</w:t>
            </w:r>
          </w:p>
        </w:tc>
        <w:tc>
          <w:tcPr>
            <w:tcW w:w="1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228,819</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16,893,603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52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20" w:hanging="315"/>
        <w:spacing w:after="0" w:line="242" w:lineRule="auto"/>
        <w:tabs>
          <w:tab w:leader="none" w:pos="320" w:val="left"/>
        </w:tabs>
        <w:numPr>
          <w:ilvl w:val="0"/>
          <w:numId w:val="178"/>
        </w:numPr>
        <w:rPr>
          <w:rFonts w:ascii="Arial" w:cs="Arial" w:eastAsia="Arial" w:hAnsi="Arial"/>
          <w:sz w:val="14"/>
          <w:szCs w:val="14"/>
          <w:color w:val="auto"/>
        </w:rPr>
      </w:pPr>
      <w:r>
        <w:rPr>
          <w:rFonts w:ascii="Arial" w:cs="Arial" w:eastAsia="Arial" w:hAnsi="Arial"/>
          <w:sz w:val="14"/>
          <w:szCs w:val="14"/>
          <w:color w:val="auto"/>
        </w:rPr>
        <w:t>During the year 24,872 units were modified when non-vested units were permitted to be retained by a separating employee without vesting or forfeiting as per the terms of the original agreement. The fair value of these Common units at the time of the modification was $10.48 per unit.</w:t>
      </w:r>
    </w:p>
    <w:p>
      <w:pPr>
        <w:spacing w:after="0" w:line="14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following table summarizes equity-based compensation expense related to all employee incentive unit awards including Class P Incentive Units, DOH Phantom Units, HSKB Grants, and HSKB Phantom Units (in millions):</w:t>
      </w:r>
    </w:p>
    <w:p>
      <w:pPr>
        <w:spacing w:after="0" w:line="252"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Year Ended</w:t>
      </w:r>
    </w:p>
    <w:p>
      <w:pPr>
        <w:ind w:left="9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10160</wp:posOffset>
            </wp:positionV>
            <wp:extent cx="20624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6248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service and Operating expenses include equity-based compensation expenses as follows: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Cost of service</w:t>
            </w:r>
          </w:p>
        </w:tc>
        <w:tc>
          <w:tcPr>
            <w:tcW w:w="1040" w:type="dxa"/>
            <w:vAlign w:val="bottom"/>
          </w:tcPr>
          <w:p>
            <w:pPr>
              <w:jc w:val="right"/>
              <w:ind w:right="859"/>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8.3</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Sales and marketing</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15.8</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104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6"/>
              <w:spacing w:after="0"/>
              <w:rPr>
                <w:sz w:val="20"/>
                <w:szCs w:val="20"/>
                <w:color w:val="auto"/>
              </w:rPr>
            </w:pPr>
            <w:r>
              <w:rPr>
                <w:rFonts w:ascii="Arial" w:cs="Arial" w:eastAsia="Arial" w:hAnsi="Arial"/>
                <w:sz w:val="17"/>
                <w:szCs w:val="17"/>
                <w:color w:val="auto"/>
              </w:rPr>
              <w:t>1.1</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7.5</w:t>
            </w:r>
          </w:p>
        </w:tc>
      </w:tr>
      <w:tr>
        <w:trPr>
          <w:trHeight w:val="248"/>
        </w:trPr>
        <w:tc>
          <w:tcPr>
            <w:tcW w:w="8000" w:type="dxa"/>
            <w:vAlign w:val="bottom"/>
          </w:tcPr>
          <w:p>
            <w:pPr>
              <w:ind w:left="480"/>
              <w:spacing w:after="0"/>
              <w:rPr>
                <w:sz w:val="20"/>
                <w:szCs w:val="20"/>
                <w:color w:val="auto"/>
              </w:rPr>
            </w:pPr>
            <w:r>
              <w:rPr>
                <w:rFonts w:ascii="Arial" w:cs="Arial" w:eastAsia="Arial" w:hAnsi="Arial"/>
                <w:sz w:val="17"/>
                <w:szCs w:val="17"/>
                <w:color w:val="auto"/>
              </w:rPr>
              <w:t>Total equity-based compensation expense</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32.7</w:t>
            </w: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Segment and Geographic Data</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condensed consolidated financial statements.</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As of December 31, 2019 and 2018, no significant long-lived assets were held by entities outside of the U.S.</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Revenue by geographical region is determined by location of the Company’s customers. Revenue from customers outside of the U.S. was approximately 9% and 7% of total revenue for the years ended December 31, 2019, and 2018, respectively. Revenue by geographic region is as follows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55"/>
        </w:trPr>
        <w:tc>
          <w:tcPr>
            <w:tcW w:w="3220" w:type="dxa"/>
            <w:vAlign w:val="bottom"/>
            <w:tcBorders>
              <w:bottom w:val="single" w:sz="8" w:color="CCEEFF"/>
            </w:tcBorders>
          </w:tcPr>
          <w:p>
            <w:pPr>
              <w:spacing w:after="0"/>
              <w:rPr>
                <w:sz w:val="22"/>
                <w:szCs w:val="22"/>
                <w:color w:val="auto"/>
              </w:rPr>
            </w:pPr>
          </w:p>
        </w:tc>
        <w:tc>
          <w:tcPr>
            <w:tcW w:w="47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r>
      <w:tr>
        <w:trPr>
          <w:trHeight w:val="24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United States</w:t>
            </w:r>
          </w:p>
        </w:tc>
        <w:tc>
          <w:tcPr>
            <w:tcW w:w="578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267.3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134.9</w:t>
            </w:r>
          </w:p>
        </w:tc>
      </w:tr>
      <w:tr>
        <w:trPr>
          <w:trHeight w:val="235"/>
        </w:trPr>
        <w:tc>
          <w:tcPr>
            <w:tcW w:w="3220" w:type="dxa"/>
            <w:vAlign w:val="bottom"/>
          </w:tcPr>
          <w:p>
            <w:pPr>
              <w:ind w:left="40"/>
              <w:spacing w:after="0"/>
              <w:rPr>
                <w:sz w:val="20"/>
                <w:szCs w:val="20"/>
                <w:color w:val="auto"/>
              </w:rPr>
            </w:pPr>
            <w:r>
              <w:rPr>
                <w:rFonts w:ascii="Arial" w:cs="Arial" w:eastAsia="Arial" w:hAnsi="Arial"/>
                <w:sz w:val="17"/>
                <w:szCs w:val="17"/>
                <w:color w:val="auto"/>
              </w:rPr>
              <w:t>Rest of world</w:t>
            </w:r>
          </w:p>
        </w:tc>
        <w:tc>
          <w:tcPr>
            <w:tcW w:w="4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9.4</w:t>
            </w:r>
          </w:p>
        </w:tc>
      </w:tr>
      <w:tr>
        <w:trPr>
          <w:trHeight w:val="27"/>
        </w:trPr>
        <w:tc>
          <w:tcPr>
            <w:tcW w:w="322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0"/>
        </w:trPr>
        <w:tc>
          <w:tcPr>
            <w:tcW w:w="3220" w:type="dxa"/>
            <w:vAlign w:val="bottom"/>
            <w:tcBorders>
              <w:bottom w:val="single" w:sz="8" w:color="CCEEFF"/>
            </w:tcBorders>
            <w:shd w:val="clear" w:color="auto" w:fill="CCEEFF"/>
          </w:tcPr>
          <w:p>
            <w:pPr>
              <w:spacing w:after="0"/>
              <w:rPr>
                <w:sz w:val="22"/>
                <w:szCs w:val="22"/>
                <w:color w:val="auto"/>
              </w:rPr>
            </w:pPr>
          </w:p>
        </w:tc>
        <w:tc>
          <w:tcPr>
            <w:tcW w:w="578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293.3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144.3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765"/>
        </w:trPr>
        <w:tc>
          <w:tcPr>
            <w:tcW w:w="3220" w:type="dxa"/>
            <w:vAlign w:val="bottom"/>
          </w:tcPr>
          <w:p>
            <w:pPr>
              <w:spacing w:after="0"/>
              <w:rPr>
                <w:sz w:val="24"/>
                <w:szCs w:val="24"/>
                <w:color w:val="auto"/>
              </w:rPr>
            </w:pPr>
          </w:p>
        </w:tc>
        <w:tc>
          <w:tcPr>
            <w:tcW w:w="5780" w:type="dxa"/>
            <w:vAlign w:val="bottom"/>
            <w:gridSpan w:val="2"/>
          </w:tcPr>
          <w:p>
            <w:pPr>
              <w:jc w:val="right"/>
              <w:ind w:right="3150"/>
              <w:spacing w:after="0"/>
              <w:rPr>
                <w:sz w:val="20"/>
                <w:szCs w:val="20"/>
                <w:color w:val="auto"/>
              </w:rPr>
            </w:pPr>
            <w:r>
              <w:rPr>
                <w:rFonts w:ascii="Arial" w:cs="Arial" w:eastAsia="Arial" w:hAnsi="Arial"/>
                <w:sz w:val="17"/>
                <w:szCs w:val="17"/>
                <w:color w:val="auto"/>
              </w:rPr>
              <w:t>F-40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40"/>
          </w:cols>
          <w:pgMar w:left="320" w:top="750" w:right="339" w:bottom="1440" w:gutter="0" w:footer="0" w:header="0"/>
        </w:sectPr>
      </w:pPr>
    </w:p>
    <w:bookmarkStart w:id="279" w:name="page280"/>
    <w:bookmarkEnd w:id="279"/>
    <w:p>
      <w:pPr>
        <w:spacing w:after="0"/>
        <w:rPr>
          <w:sz w:val="20"/>
          <w:szCs w:val="20"/>
          <w:color w:val="auto"/>
        </w:rPr>
      </w:pPr>
      <w:r>
        <w:rPr>
          <w:rFonts w:ascii="Arial" w:cs="Arial" w:eastAsia="Arial" w:hAnsi="Arial"/>
          <w:sz w:val="17"/>
          <w:szCs w:val="17"/>
          <w:b w:val="1"/>
          <w:bCs w:val="1"/>
          <w:color w:val="auto"/>
        </w:rPr>
        <w:t>Note 17 - Income Tax Provision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provision for income taxes is based on the effective annual tax rate for each fiscal year. The provision includes anticipated current year income taxes payable and the tax effect of anticipated differences between the financial reporting and tax basis of assets and liabilities.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benefit from income taxes for the years ended December 31, 2019 and 2018 consists of the following (in millions):</w:t>
      </w:r>
    </w:p>
    <w:p>
      <w:pPr>
        <w:spacing w:after="0" w:line="317"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Year Ended</w:t>
      </w:r>
    </w:p>
    <w:p>
      <w:pPr>
        <w:jc w:val="center"/>
        <w:ind w:left="8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10160</wp:posOffset>
            </wp:positionV>
            <wp:extent cx="2062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248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tax provision</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color w:val="auto"/>
              </w:rPr>
              <w:t>Federal</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State</w:t>
            </w: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color w:val="auto"/>
              </w:rPr>
              <w:t>Foreign</w:t>
            </w:r>
          </w:p>
        </w:tc>
        <w:tc>
          <w:tcPr>
            <w:tcW w:w="106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5"/>
        </w:trPr>
        <w:tc>
          <w:tcPr>
            <w:tcW w:w="80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r>
      <w:tr>
        <w:trPr>
          <w:trHeight w:val="314"/>
        </w:trPr>
        <w:tc>
          <w:tcPr>
            <w:tcW w:w="8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provision</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color w:val="auto"/>
              </w:rPr>
              <w:t>Federal</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State</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8"/>
        </w:trPr>
        <w:tc>
          <w:tcPr>
            <w:tcW w:w="8000" w:type="dxa"/>
            <w:vAlign w:val="bottom"/>
          </w:tcPr>
          <w:p>
            <w:pPr>
              <w:spacing w:after="0"/>
              <w:rPr>
                <w:sz w:val="19"/>
                <w:szCs w:val="19"/>
                <w:color w:val="auto"/>
              </w:rPr>
            </w:pPr>
          </w:p>
        </w:tc>
        <w:tc>
          <w:tcPr>
            <w:tcW w:w="1060" w:type="dxa"/>
            <w:vAlign w:val="bottom"/>
            <w:tcBorders>
              <w:top w:val="single" w:sz="8" w:color="auto"/>
            </w:tcBorders>
          </w:tcPr>
          <w:p>
            <w:pPr>
              <w:jc w:val="right"/>
              <w:ind w:right="87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14"/>
        </w:trPr>
        <w:tc>
          <w:tcPr>
            <w:tcW w:w="80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48"/>
        </w:trPr>
        <w:tc>
          <w:tcPr>
            <w:tcW w:w="8000" w:type="dxa"/>
            <w:vAlign w:val="bottom"/>
          </w:tcPr>
          <w:p>
            <w:pPr>
              <w:ind w:left="480"/>
              <w:spacing w:after="0"/>
              <w:rPr>
                <w:sz w:val="20"/>
                <w:szCs w:val="20"/>
                <w:color w:val="auto"/>
              </w:rPr>
            </w:pPr>
            <w:r>
              <w:rPr>
                <w:rFonts w:ascii="Arial" w:cs="Arial" w:eastAsia="Arial" w:hAnsi="Arial"/>
                <w:sz w:val="17"/>
                <w:szCs w:val="17"/>
                <w:color w:val="auto"/>
              </w:rPr>
              <w:t>Expense (benefit) from income taxes</w:t>
            </w: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is comprised of nontaxable partnerships and two C corporation subsidiaries. RKSI Acquisition Corporation, a C corporation, was subject to income tax as of December 31, 2019 and 2018.</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federal statutory rate was 21% for the years ended December 31, 2019 and 2018. Differences between the statutory rate and the effective tax rate arise as a result of the nondeductible expenses.</w:t>
      </w:r>
    </w:p>
    <w:p>
      <w:pPr>
        <w:spacing w:after="0" w:line="10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On October 1, 2018 and March 15, 2019, the Company's C corporation subsidiary executed nontaxable contributions of all operations including its deferred tax items, in exchange for a noncontrolling interest in, DiscoverOrg Data LLC. DiscoverOrg Data LLC, is treated as a partnership for U.S. federal and most applicable state and local income tax purposes. As a partnership, DiscoverOrg Data LLC is not directly subject to U.S. federal and certain state and local taxes. Any taxable income or loss generated by DiscoverOrg Data LLC is passed through to and included in the taxable income or loss of its partners, including the Company's C corporation subsidiary following the Business Combination.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years ended December 31, 2019 and 2018, the effective income tax rate differs from the federal statutory income tax rate as explained below:</w:t>
      </w:r>
    </w:p>
    <w:p>
      <w:pPr>
        <w:spacing w:after="0" w:line="32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w:t>
      </w:r>
    </w:p>
    <w:p>
      <w:pPr>
        <w:jc w:val="center"/>
        <w:ind w:left="7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10160</wp:posOffset>
            </wp:positionV>
            <wp:extent cx="21875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87575"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r>
      <w:tr>
        <w:trPr>
          <w:trHeight w:val="240"/>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U.S. federal statutory income tax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35"/>
        </w:trPr>
        <w:tc>
          <w:tcPr>
            <w:tcW w:w="8820" w:type="dxa"/>
            <w:vAlign w:val="bottom"/>
            <w:gridSpan w:val="2"/>
          </w:tcPr>
          <w:p>
            <w:pPr>
              <w:ind w:left="40"/>
              <w:spacing w:after="0"/>
              <w:rPr>
                <w:sz w:val="20"/>
                <w:szCs w:val="20"/>
                <w:color w:val="auto"/>
              </w:rPr>
            </w:pPr>
            <w:r>
              <w:rPr>
                <w:rFonts w:ascii="Arial" w:cs="Arial" w:eastAsia="Arial" w:hAnsi="Arial"/>
                <w:sz w:val="17"/>
                <w:szCs w:val="17"/>
                <w:color w:val="auto"/>
              </w:rPr>
              <w:t>State and local income taxes, net of federal benefit</w:t>
            </w:r>
          </w:p>
        </w:tc>
        <w:tc>
          <w:tcPr>
            <w:tcW w:w="64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5.8 %</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8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Nontaxable partnerships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35"/>
        </w:trPr>
        <w:tc>
          <w:tcPr>
            <w:tcW w:w="8820" w:type="dxa"/>
            <w:vAlign w:val="bottom"/>
            <w:gridSpan w:val="2"/>
          </w:tcPr>
          <w:p>
            <w:pPr>
              <w:ind w:left="40"/>
              <w:spacing w:after="0"/>
              <w:rPr>
                <w:sz w:val="20"/>
                <w:szCs w:val="20"/>
                <w:color w:val="auto"/>
              </w:rPr>
            </w:pPr>
            <w:r>
              <w:rPr>
                <w:rFonts w:ascii="Arial" w:cs="Arial" w:eastAsia="Arial" w:hAnsi="Arial"/>
                <w:sz w:val="17"/>
                <w:szCs w:val="17"/>
                <w:color w:val="auto"/>
              </w:rPr>
              <w:t>Other</w:t>
            </w:r>
          </w:p>
        </w:tc>
        <w:tc>
          <w:tcPr>
            <w:tcW w:w="640" w:type="dxa"/>
            <w:vAlign w:val="bottom"/>
          </w:tcPr>
          <w:p>
            <w:pPr>
              <w:jc w:val="right"/>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2"/>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Valuation allowance</w:t>
            </w:r>
          </w:p>
        </w:tc>
        <w:tc>
          <w:tcPr>
            <w:tcW w:w="10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48"/>
        </w:trPr>
        <w:tc>
          <w:tcPr>
            <w:tcW w:w="7800" w:type="dxa"/>
            <w:vAlign w:val="bottom"/>
          </w:tcPr>
          <w:p>
            <w:pPr>
              <w:ind w:left="40"/>
              <w:spacing w:after="0"/>
              <w:rPr>
                <w:sz w:val="20"/>
                <w:szCs w:val="20"/>
                <w:color w:val="auto"/>
              </w:rPr>
            </w:pPr>
            <w:r>
              <w:rPr>
                <w:rFonts w:ascii="Arial" w:cs="Arial" w:eastAsia="Arial" w:hAnsi="Arial"/>
                <w:sz w:val="17"/>
                <w:szCs w:val="17"/>
                <w:color w:val="auto"/>
              </w:rPr>
              <w:t>Effective income tax rate</w:t>
            </w:r>
          </w:p>
        </w:tc>
        <w:tc>
          <w:tcPr>
            <w:tcW w:w="10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7.7 %</w:t>
            </w:r>
          </w:p>
        </w:tc>
        <w:tc>
          <w:tcPr>
            <w:tcW w:w="100" w:type="dxa"/>
            <w:vAlign w:val="bottom"/>
          </w:tcPr>
          <w:p>
            <w:pPr>
              <w:spacing w:after="0"/>
              <w:rPr>
                <w:sz w:val="21"/>
                <w:szCs w:val="21"/>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9.1 %</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772"/>
        </w:trPr>
        <w:tc>
          <w:tcPr>
            <w:tcW w:w="8820" w:type="dxa"/>
            <w:vAlign w:val="bottom"/>
            <w:gridSpan w:val="2"/>
          </w:tcPr>
          <w:p>
            <w:pPr>
              <w:ind w:left="5460"/>
              <w:spacing w:after="0"/>
              <w:rPr>
                <w:sz w:val="20"/>
                <w:szCs w:val="20"/>
                <w:color w:val="auto"/>
              </w:rPr>
            </w:pPr>
            <w:r>
              <w:rPr>
                <w:rFonts w:ascii="Arial" w:cs="Arial" w:eastAsia="Arial" w:hAnsi="Arial"/>
                <w:sz w:val="17"/>
                <w:szCs w:val="17"/>
                <w:color w:val="auto"/>
              </w:rPr>
              <w:t>F-41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280" w:name="page281"/>
    <w:bookmarkEnd w:id="280"/>
    <w:p>
      <w:pPr>
        <w:spacing w:after="0"/>
        <w:rPr>
          <w:sz w:val="20"/>
          <w:szCs w:val="20"/>
          <w:color w:val="auto"/>
        </w:rPr>
      </w:pPr>
      <w:r>
        <w:rPr>
          <w:rFonts w:ascii="Arial" w:cs="Arial" w:eastAsia="Arial" w:hAnsi="Arial"/>
          <w:sz w:val="17"/>
          <w:szCs w:val="17"/>
          <w:b w:val="1"/>
          <w:bCs w:val="1"/>
          <w:color w:val="auto"/>
        </w:rPr>
        <w:t>Note 17 - Income Tax Provision (continued)</w:t>
      </w:r>
    </w:p>
    <w:p>
      <w:pPr>
        <w:spacing w:after="0" w:line="230"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The Company uses the assets and liabilities method of accounting for income taxes. Under this method, deferred tax assets and liabilities are recognized for the expected future tax consequences of temporary differences between the financial reporting and tax basis of assets and liabilities. Deferred tax assets are also recognized for the future benefit of operating loss carryforwards. Deferred tax assets and liabilities are measured using enacted tax rates that are expected to apply to taxable income for the years in which those tax assets and liabilities are expected to be recovered or settled. As of December 31, 2019 and 2018, net deferred tax liability in the accompanying balance sheet included the following components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255"/>
        </w:trPr>
        <w:tc>
          <w:tcPr>
            <w:tcW w:w="80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assets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Net operating loss carryforwards</w:t>
            </w:r>
          </w:p>
        </w:tc>
        <w:tc>
          <w:tcPr>
            <w:tcW w:w="1040" w:type="dxa"/>
            <w:vAlign w:val="bottom"/>
          </w:tcPr>
          <w:p>
            <w:pPr>
              <w:jc w:val="right"/>
              <w:ind w:right="86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20"/>
                <w:szCs w:val="20"/>
                <w:color w:val="auto"/>
              </w:rPr>
            </w:pPr>
          </w:p>
        </w:tc>
        <w:tc>
          <w:tcPr>
            <w:tcW w:w="1040" w:type="dxa"/>
            <w:vAlign w:val="bottom"/>
          </w:tcPr>
          <w:p>
            <w:pPr>
              <w:jc w:val="right"/>
              <w:ind w:right="837"/>
              <w:spacing w:after="0"/>
              <w:rPr>
                <w:sz w:val="20"/>
                <w:szCs w:val="20"/>
                <w:color w:val="auto"/>
              </w:rPr>
            </w:pPr>
            <w:r>
              <w:rPr>
                <w:rFonts w:ascii="Arial" w:cs="Arial" w:eastAsia="Arial" w:hAnsi="Arial"/>
                <w:sz w:val="17"/>
                <w:szCs w:val="17"/>
                <w:color w:val="auto"/>
              </w:rPr>
              <w:t>$</w:t>
            </w: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1.3</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 carryforward</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0.9</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Credit carryforwards</w:t>
            </w:r>
          </w:p>
        </w:tc>
        <w:tc>
          <w:tcPr>
            <w:tcW w:w="104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color w:val="auto"/>
              </w:rPr>
              <w:t>Total deferred tax assets</w:t>
            </w:r>
          </w:p>
        </w:tc>
        <w:tc>
          <w:tcPr>
            <w:tcW w:w="1040" w:type="dxa"/>
            <w:vAlign w:val="bottom"/>
            <w:tcBorders>
              <w:top w:val="single" w:sz="8" w:color="auto"/>
            </w:tcBorders>
          </w:tcPr>
          <w:p>
            <w:pPr>
              <w:jc w:val="right"/>
              <w:ind w:right="860"/>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ind w:right="837"/>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2.2</w:t>
            </w: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314"/>
        </w:trPr>
        <w:tc>
          <w:tcPr>
            <w:tcW w:w="80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Deferred tax liabilities</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Investment in DiscoverOrg Data LLC</w:t>
            </w:r>
          </w:p>
        </w:tc>
        <w:tc>
          <w:tcPr>
            <w:tcW w:w="10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94.0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12.4</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color w:val="auto"/>
              </w:rPr>
              <w:t>Total deferred tax liabilities</w:t>
            </w: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94.0</w:t>
            </w: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12.4</w:t>
            </w:r>
          </w:p>
        </w:tc>
      </w:tr>
      <w:tr>
        <w:trPr>
          <w:trHeight w:val="27"/>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07"/>
        </w:trPr>
        <w:tc>
          <w:tcPr>
            <w:tcW w:w="80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Less valuation allowance</w:t>
            </w:r>
          </w:p>
        </w:tc>
        <w:tc>
          <w:tcPr>
            <w:tcW w:w="104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8"/>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Net deferred tax liability</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10.2</w:t>
            </w: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Deferred tax assets are recognized to the extent management believes, based on available evidence, that it is more likely than not that they will be realized.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Certain acquired state net operating losses and credits are unlikely to be realized and require a valuation allowance at December 31, 2019.</w:t>
      </w:r>
    </w:p>
    <w:p>
      <w:pPr>
        <w:spacing w:after="0" w:line="15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At December 31, 2019, the Company's C corporation subsidiary has an available federal net operating loss (NOL) carryforward of approximately $13.5 million. The Company's C corporation subsidiary also had various state net operating loss carryforwards totaling $34.6 million. Unless utilized, the state carryforwards begin to expire in 2026. At December 31, 2019, the Company has federal and state research and development credit carryforwards of approximately $0.4 million and $1.1 million, respectively. Unless utilized, these carryforwards begin expiring in 2027 and 2021.</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There were no interest and penalties accrued for the years ended December 31, 2019 or 2018. The Company has assessed its tax positions taken and concluded there are no significant uncertain tax positions. The Company has no unrecognized tax benefits as of December 31, 2019 or 2018, that, if recognized, would affect the annual effective tax rate.</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files returns with the Internal Revenue Service and multiple state jurisdictions, which are subject to examination by the taxing authorities for years 2015 and later. Should the Company's C corporation subsidiary utilize any of its U.S. or state loss carryforwards, their carryforward losses, which date back to 2014, would be subject to examination.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240"/>
          </w:cols>
          <w:pgMar w:left="320" w:top="750" w:right="339" w:bottom="1440" w:gutter="0" w:footer="0" w:header="0"/>
        </w:sectPr>
      </w:pPr>
    </w:p>
    <w:bookmarkStart w:id="281" w:name="page282"/>
    <w:bookmarkEnd w:id="281"/>
    <w:p>
      <w:pPr>
        <w:spacing w:after="0"/>
        <w:rPr>
          <w:sz w:val="20"/>
          <w:szCs w:val="20"/>
          <w:color w:val="auto"/>
        </w:rPr>
      </w:pPr>
      <w:r>
        <w:rPr>
          <w:rFonts w:ascii="Arial" w:cs="Arial" w:eastAsia="Arial" w:hAnsi="Arial"/>
          <w:sz w:val="17"/>
          <w:szCs w:val="17"/>
          <w:b w:val="1"/>
          <w:bCs w:val="1"/>
          <w:color w:val="auto"/>
        </w:rPr>
        <w:t>Note 18 - Subsequent Events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has evaluated subsequent events through February 26, 2020, which is the date the consolidated financial statements were available to be issued.</w:t>
      </w:r>
    </w:p>
    <w:p>
      <w:pPr>
        <w:spacing w:after="0" w:line="10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remains unchanged.</w:t>
      </w:r>
    </w:p>
    <w:p>
      <w:pPr>
        <w:spacing w:after="0" w:line="10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connection with preparing for an initial public offering, the Company’s Board of Managers approved a four-for-one reverse unit split of the Company’s Series A Preferred Units, Preferred Units, Common Units and Class P Units. The reverse unit split became effective on May 20, 2020. In addition, all unit counts are now presented as exact units instead of in thousands of units. All unit and per unit amounts in the financial statements and notes 7, 12, 13, and 15 have been retroactively adjusted to give effect to the reverse unit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240"/>
          </w:cols>
          <w:pgMar w:left="320" w:top="331" w:right="339" w:bottom="1440" w:gutter="0" w:footer="0" w:header="0"/>
        </w:sectPr>
      </w:pPr>
    </w:p>
    <w:bookmarkStart w:id="282" w:name="page283"/>
    <w:bookmarkEnd w:id="282"/>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85"/>
        </w:trPr>
        <w:tc>
          <w:tcPr>
            <w:tcW w:w="8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24"/>
                <w:szCs w:val="2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242"/>
        </w:trPr>
        <w:tc>
          <w:tcPr>
            <w:tcW w:w="80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5"/>
        </w:trPr>
        <w:tc>
          <w:tcPr>
            <w:tcW w:w="8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(unaudited)</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7"/>
        </w:trPr>
        <w:tc>
          <w:tcPr>
            <w:tcW w:w="800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41.4</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86.9</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8.3</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costs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6.6</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Income tax receivable</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3.9</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148.2</w:t>
            </w:r>
          </w:p>
        </w:tc>
      </w:tr>
      <w:tr>
        <w:trPr>
          <w:trHeight w:val="176"/>
        </w:trPr>
        <w:tc>
          <w:tcPr>
            <w:tcW w:w="80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23.3</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Operating lease right-of-use assets, net</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36.0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36.8</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3"/>
        </w:trPr>
        <w:tc>
          <w:tcPr>
            <w:tcW w:w="8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370.6</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Goodwill</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966.8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966.8</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costs, net of current portion</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16.2</w:t>
            </w:r>
          </w:p>
        </w:tc>
      </w:tr>
      <w:tr>
        <w:trPr>
          <w:trHeight w:val="288"/>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1,577.9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1,561.9</w:t>
            </w:r>
          </w:p>
        </w:tc>
      </w:tr>
      <w:tr>
        <w:trPr>
          <w:trHeight w:val="169"/>
        </w:trPr>
        <w:tc>
          <w:tcPr>
            <w:tcW w:w="8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5"/>
        </w:trPr>
        <w:tc>
          <w:tcPr>
            <w:tcW w:w="8000" w:type="dxa"/>
            <w:vAlign w:val="bottom"/>
          </w:tcPr>
          <w:p>
            <w:pPr>
              <w:ind w:left="1820"/>
              <w:spacing w:after="0"/>
              <w:rPr>
                <w:sz w:val="20"/>
                <w:szCs w:val="20"/>
                <w:color w:val="auto"/>
              </w:rPr>
            </w:pPr>
            <w:r>
              <w:rPr>
                <w:rFonts w:ascii="Arial" w:cs="Arial" w:eastAsia="Arial" w:hAnsi="Arial"/>
                <w:sz w:val="17"/>
                <w:szCs w:val="17"/>
                <w:b w:val="1"/>
                <w:bCs w:val="1"/>
                <w:color w:val="auto"/>
              </w:rPr>
              <w:t>Liabilities, Series A Preferred Units, and Members' Deficit</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7.9</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62.2</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Unearned revenue, current portion</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172.2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157.7</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0.5</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Related party payable</w:t>
            </w: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0.7</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Current portion of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4.0</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Current portion of long-term debt</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8.7</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238.5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241.7</w:t>
            </w:r>
          </w:p>
        </w:tc>
      </w:tr>
      <w:tr>
        <w:trPr>
          <w:trHeight w:val="176"/>
        </w:trPr>
        <w:tc>
          <w:tcPr>
            <w:tcW w:w="80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Unearned revenue,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Operating lease liabilities, net of current portion</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40.7</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1,194.6</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Deferred tax liabilities</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82.7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82.8</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14.3</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color w:val="auto"/>
              </w:rPr>
              <w:t>Total liabilities</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1,597.8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1,575.5</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8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Series A Preferred Units</w:t>
            </w:r>
          </w:p>
        </w:tc>
        <w:tc>
          <w:tcPr>
            <w:tcW w:w="280" w:type="dxa"/>
            <w:vAlign w:val="bottom"/>
          </w:tcPr>
          <w:p>
            <w:pPr>
              <w:spacing w:after="0"/>
              <w:rPr>
                <w:sz w:val="20"/>
                <w:szCs w:val="20"/>
                <w:color w:val="auto"/>
              </w:rPr>
            </w:pPr>
          </w:p>
        </w:tc>
        <w:tc>
          <w:tcPr>
            <w:tcW w:w="1300" w:type="dxa"/>
            <w:vAlign w:val="bottom"/>
          </w:tcPr>
          <w:p>
            <w:pPr>
              <w:jc w:val="right"/>
              <w:ind w:right="14"/>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Arial" w:cs="Arial" w:eastAsia="Arial" w:hAnsi="Arial"/>
                <w:sz w:val="17"/>
                <w:szCs w:val="17"/>
                <w:color w:val="auto"/>
              </w:rPr>
              <w:t>200.2</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183"/>
        </w:trPr>
        <w:tc>
          <w:tcPr>
            <w:tcW w:w="8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Members’ deficit: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Members' equity (deficit)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(207.8)</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Accumulated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color w:val="auto"/>
              </w:rPr>
              <w:t>Total equity (deficit)</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(220.1)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(213.8)</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80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r>
      <w:tr>
        <w:trPr>
          <w:trHeight w:val="248"/>
        </w:trPr>
        <w:tc>
          <w:tcPr>
            <w:tcW w:w="8000" w:type="dxa"/>
            <w:vAlign w:val="bottom"/>
          </w:tcPr>
          <w:p>
            <w:pPr>
              <w:ind w:left="480"/>
              <w:spacing w:after="0"/>
              <w:rPr>
                <w:sz w:val="20"/>
                <w:szCs w:val="20"/>
                <w:color w:val="auto"/>
              </w:rPr>
            </w:pPr>
            <w:r>
              <w:rPr>
                <w:rFonts w:ascii="Arial" w:cs="Arial" w:eastAsia="Arial" w:hAnsi="Arial"/>
                <w:sz w:val="17"/>
                <w:szCs w:val="17"/>
                <w:color w:val="auto"/>
              </w:rPr>
              <w:t>Total liabilities, Series A Preferred Units, and Members' Deficit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1,577.9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1,561.9</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01" w:right="3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1240"/>
          </w:cols>
          <w:pgMar w:left="320" w:top="501" w:right="339" w:bottom="1440" w:gutter="0" w:footer="0" w:header="0"/>
          <w:type w:val="continuous"/>
        </w:sectPr>
      </w:pPr>
    </w:p>
    <w:bookmarkStart w:id="283" w:name="page284"/>
    <w:bookmarkEnd w:id="283"/>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8"/>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20" w:type="dxa"/>
            <w:vAlign w:val="bottom"/>
          </w:tcPr>
          <w:p>
            <w:pPr>
              <w:spacing w:after="0"/>
              <w:rPr>
                <w:sz w:val="21"/>
                <w:szCs w:val="21"/>
                <w:color w:val="auto"/>
              </w:rPr>
            </w:pPr>
          </w:p>
        </w:tc>
        <w:tc>
          <w:tcPr>
            <w:tcW w:w="7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54.6</w:t>
            </w:r>
          </w:p>
        </w:tc>
        <w:tc>
          <w:tcPr>
            <w:tcW w:w="0" w:type="dxa"/>
            <w:vAlign w:val="bottom"/>
          </w:tcPr>
          <w:p>
            <w:pPr>
              <w:spacing w:after="0"/>
              <w:rPr>
                <w:sz w:val="1"/>
                <w:szCs w:val="1"/>
                <w:color w:val="auto"/>
              </w:rPr>
            </w:pPr>
          </w:p>
        </w:tc>
      </w:tr>
      <w:tr>
        <w:trPr>
          <w:trHeight w:val="314"/>
        </w:trPr>
        <w:tc>
          <w:tcPr>
            <w:tcW w:w="3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Cost of service:</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780" w:type="dxa"/>
            <w:vAlign w:val="bottom"/>
            <w:gridSpan w:val="2"/>
          </w:tcPr>
          <w:p>
            <w:pPr>
              <w:ind w:left="260"/>
              <w:spacing w:after="0" w:line="262" w:lineRule="exact"/>
              <w:rPr>
                <w:sz w:val="20"/>
                <w:szCs w:val="20"/>
                <w:color w:val="auto"/>
              </w:rPr>
            </w:pPr>
            <w:r>
              <w:rPr>
                <w:rFonts w:ascii="Arial" w:cs="Arial" w:eastAsia="Arial" w:hAnsi="Arial"/>
                <w:sz w:val="17"/>
                <w:szCs w:val="17"/>
                <w:color w:val="auto"/>
              </w:rPr>
              <w:t>Cost of service</w:t>
            </w:r>
            <w:r>
              <w:rPr>
                <w:rFonts w:ascii="Arial" w:cs="Arial" w:eastAsia="Arial" w:hAnsi="Arial"/>
                <w:sz w:val="24"/>
                <w:szCs w:val="24"/>
                <w:color w:val="auto"/>
                <w:vertAlign w:val="superscript"/>
              </w:rPr>
              <w:t>(1)</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w w:val="90"/>
              </w:rPr>
              <w:t>14.8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3"/>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62"/>
        </w:trPr>
        <w:tc>
          <w:tcPr>
            <w:tcW w:w="7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Amortization of acquired technology</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8"/>
        </w:trPr>
        <w:tc>
          <w:tcPr>
            <w:tcW w:w="7780" w:type="dxa"/>
            <w:vAlign w:val="bottom"/>
            <w:gridSpan w:val="2"/>
          </w:tcPr>
          <w:p>
            <w:pPr>
              <w:ind w:left="40"/>
              <w:spacing w:after="0"/>
              <w:rPr>
                <w:sz w:val="20"/>
                <w:szCs w:val="20"/>
                <w:color w:val="auto"/>
              </w:rPr>
            </w:pPr>
            <w:r>
              <w:rPr>
                <w:rFonts w:ascii="Arial" w:cs="Arial" w:eastAsia="Arial" w:hAnsi="Arial"/>
                <w:sz w:val="17"/>
                <w:szCs w:val="17"/>
                <w:color w:val="auto"/>
              </w:rPr>
              <w:t>Gross profit</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7"/>
                <w:szCs w:val="17"/>
                <w:color w:val="auto"/>
                <w:w w:val="90"/>
              </w:rPr>
              <w:t>81.8</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7"/>
        </w:trPr>
        <w:tc>
          <w:tcPr>
            <w:tcW w:w="320" w:type="dxa"/>
            <w:vAlign w:val="bottom"/>
            <w:shd w:val="clear" w:color="auto" w:fill="CCEEFF"/>
          </w:tcPr>
          <w:p>
            <w:pPr>
              <w:spacing w:after="0"/>
              <w:rPr>
                <w:sz w:val="24"/>
                <w:szCs w:val="24"/>
                <w:color w:val="auto"/>
              </w:rPr>
            </w:pPr>
          </w:p>
        </w:tc>
        <w:tc>
          <w:tcPr>
            <w:tcW w:w="7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780" w:type="dxa"/>
            <w:vAlign w:val="bottom"/>
            <w:gridSpan w:val="2"/>
          </w:tcPr>
          <w:p>
            <w:pPr>
              <w:ind w:left="40"/>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80" w:type="dxa"/>
            <w:vAlign w:val="bottom"/>
            <w:gridSpan w:val="2"/>
            <w:shd w:val="clear" w:color="auto" w:fill="CCEEFF"/>
          </w:tcPr>
          <w:p>
            <w:pPr>
              <w:ind w:left="260"/>
              <w:spacing w:after="0" w:line="262"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4"/>
                <w:szCs w:val="24"/>
                <w:color w:val="auto"/>
                <w:vertAlign w:val="superscript"/>
              </w:rPr>
              <w:t>(1)</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34.1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62"/>
        </w:trPr>
        <w:tc>
          <w:tcPr>
            <w:tcW w:w="7780" w:type="dxa"/>
            <w:vAlign w:val="bottom"/>
            <w:gridSpan w:val="2"/>
          </w:tcPr>
          <w:p>
            <w:pPr>
              <w:ind w:left="260"/>
              <w:spacing w:after="0" w:line="262"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4"/>
                <w:szCs w:val="24"/>
                <w:color w:val="auto"/>
                <w:vertAlign w:val="superscript"/>
              </w:rPr>
              <w:t>(1)</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gridSpan w:val="2"/>
          </w:tcPr>
          <w:p>
            <w:pPr>
              <w:jc w:val="right"/>
              <w:ind w:right="13"/>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62"/>
        </w:trPr>
        <w:tc>
          <w:tcPr>
            <w:tcW w:w="7780" w:type="dxa"/>
            <w:vAlign w:val="bottom"/>
            <w:gridSpan w:val="2"/>
            <w:shd w:val="clear" w:color="auto" w:fill="CCEEFF"/>
          </w:tcPr>
          <w:p>
            <w:pPr>
              <w:ind w:left="260"/>
              <w:spacing w:after="0" w:line="262"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4"/>
                <w:szCs w:val="24"/>
                <w:color w:val="auto"/>
                <w:vertAlign w:val="superscript"/>
              </w:rPr>
              <w:t>(1)</w:t>
            </w:r>
          </w:p>
        </w:tc>
        <w:tc>
          <w:tcPr>
            <w:tcW w:w="2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10.0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5"/>
        </w:trPr>
        <w:tc>
          <w:tcPr>
            <w:tcW w:w="7780" w:type="dxa"/>
            <w:vAlign w:val="bottom"/>
            <w:gridSpan w:val="2"/>
          </w:tcPr>
          <w:p>
            <w:pPr>
              <w:ind w:left="260"/>
              <w:spacing w:after="0"/>
              <w:rPr>
                <w:sz w:val="20"/>
                <w:szCs w:val="20"/>
                <w:color w:val="auto"/>
              </w:rPr>
            </w:pPr>
            <w:r>
              <w:rPr>
                <w:rFonts w:ascii="Arial" w:cs="Arial" w:eastAsia="Arial" w:hAnsi="Arial"/>
                <w:sz w:val="17"/>
                <w:szCs w:val="17"/>
                <w:color w:val="auto"/>
              </w:rPr>
              <w:t>Amortization of other acquired intangibles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3"/>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Restructuring and transaction related expenses</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7460" w:type="dxa"/>
            <w:vAlign w:val="bottom"/>
          </w:tcPr>
          <w:p>
            <w:pPr>
              <w:ind w:left="16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7"/>
                <w:szCs w:val="17"/>
                <w:color w:val="auto"/>
                <w:w w:val="90"/>
              </w:rPr>
              <w:t>61.5</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307"/>
        </w:trPr>
        <w:tc>
          <w:tcPr>
            <w:tcW w:w="32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7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0"/>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35"/>
        </w:trPr>
        <w:tc>
          <w:tcPr>
            <w:tcW w:w="7780" w:type="dxa"/>
            <w:vAlign w:val="bottom"/>
            <w:gridSpan w:val="2"/>
          </w:tcPr>
          <w:p>
            <w:pPr>
              <w:ind w:left="260"/>
              <w:spacing w:after="0"/>
              <w:rPr>
                <w:sz w:val="20"/>
                <w:szCs w:val="20"/>
                <w:color w:val="auto"/>
              </w:rPr>
            </w:pPr>
            <w:r>
              <w:rPr>
                <w:rFonts w:ascii="Arial" w:cs="Arial" w:eastAsia="Arial" w:hAnsi="Arial"/>
                <w:sz w:val="17"/>
                <w:szCs w:val="17"/>
                <w:color w:val="auto"/>
              </w:rPr>
              <w:t>Loss on debt extinguishment</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3"/>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Other (income)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7780" w:type="dxa"/>
            <w:vAlign w:val="bottom"/>
            <w:gridSpan w:val="2"/>
          </w:tcPr>
          <w:p>
            <w:pPr>
              <w:ind w:left="40"/>
              <w:spacing w:after="0"/>
              <w:rPr>
                <w:sz w:val="20"/>
                <w:szCs w:val="20"/>
                <w:color w:val="auto"/>
              </w:rPr>
            </w:pPr>
            <w:r>
              <w:rPr>
                <w:rFonts w:ascii="Arial" w:cs="Arial" w:eastAsia="Arial" w:hAnsi="Arial"/>
                <w:sz w:val="17"/>
                <w:szCs w:val="17"/>
                <w:color w:val="auto"/>
              </w:rPr>
              <w:t>Loss before income taxes</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320" w:type="dxa"/>
            <w:vAlign w:val="bottom"/>
            <w:shd w:val="clear" w:color="auto" w:fill="CCEEFF"/>
          </w:tcPr>
          <w:p>
            <w:pPr>
              <w:spacing w:after="0"/>
              <w:rPr>
                <w:sz w:val="24"/>
                <w:szCs w:val="24"/>
                <w:color w:val="auto"/>
              </w:rPr>
            </w:pPr>
          </w:p>
        </w:tc>
        <w:tc>
          <w:tcPr>
            <w:tcW w:w="7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780" w:type="dxa"/>
            <w:vAlign w:val="bottom"/>
            <w:gridSpan w:val="2"/>
          </w:tcPr>
          <w:p>
            <w:pPr>
              <w:ind w:left="260"/>
              <w:spacing w:after="0"/>
              <w:rPr>
                <w:sz w:val="20"/>
                <w:szCs w:val="20"/>
                <w:color w:val="auto"/>
              </w:rPr>
            </w:pPr>
            <w:r>
              <w:rPr>
                <w:rFonts w:ascii="Arial" w:cs="Arial" w:eastAsia="Arial" w:hAnsi="Arial"/>
                <w:sz w:val="17"/>
                <w:szCs w:val="17"/>
                <w:color w:val="auto"/>
              </w:rPr>
              <w:t>Benefit from income taxes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3"/>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8"/>
        </w:trPr>
        <w:tc>
          <w:tcPr>
            <w:tcW w:w="7780" w:type="dxa"/>
            <w:vAlign w:val="bottom"/>
            <w:gridSpan w:val="2"/>
          </w:tcPr>
          <w:p>
            <w:pPr>
              <w:ind w:left="40"/>
              <w:spacing w:after="0"/>
              <w:rPr>
                <w:sz w:val="20"/>
                <w:szCs w:val="20"/>
                <w:color w:val="auto"/>
              </w:rPr>
            </w:pPr>
            <w:r>
              <w:rPr>
                <w:rFonts w:ascii="Arial" w:cs="Arial" w:eastAsia="Arial" w:hAnsi="Arial"/>
                <w:sz w:val="17"/>
                <w:szCs w:val="17"/>
                <w:color w:val="auto"/>
              </w:rPr>
              <w:t>Pro forma:</w:t>
            </w: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Net loss and per share information (unaudited)</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780" w:type="dxa"/>
            <w:vAlign w:val="bottom"/>
            <w:gridSpan w:val="2"/>
          </w:tcPr>
          <w:p>
            <w:pPr>
              <w:ind w:left="260"/>
              <w:spacing w:after="0"/>
              <w:rPr>
                <w:sz w:val="20"/>
                <w:szCs w:val="20"/>
                <w:color w:val="auto"/>
              </w:rPr>
            </w:pPr>
            <w:r>
              <w:rPr>
                <w:rFonts w:ascii="Arial" w:cs="Arial" w:eastAsia="Arial" w:hAnsi="Arial"/>
                <w:sz w:val="17"/>
                <w:szCs w:val="17"/>
                <w:color w:val="auto"/>
              </w:rPr>
              <w:t>Provision for income taxes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Borders>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77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Net loss</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Arial" w:cs="Arial" w:eastAsia="Arial" w:hAnsi="Arial"/>
                <w:sz w:val="17"/>
                <w:szCs w:val="17"/>
                <w:color w:val="auto"/>
              </w:rPr>
              <w:t>Basic and diluted net loss per share</w:t>
            </w: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Weighted average shares outstanding - basic and diluted</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7780" w:type="dxa"/>
            <w:vAlign w:val="bottom"/>
            <w:gridSpan w:val="2"/>
          </w:tcPr>
          <w:p>
            <w:pPr>
              <w:spacing w:after="0" w:line="139" w:lineRule="exact"/>
              <w:rPr>
                <w:sz w:val="20"/>
                <w:szCs w:val="20"/>
                <w:color w:val="auto"/>
              </w:rPr>
            </w:pPr>
            <w:r>
              <w:rPr>
                <w:rFonts w:ascii="Arial" w:cs="Arial" w:eastAsia="Arial" w:hAnsi="Arial"/>
                <w:sz w:val="14"/>
                <w:szCs w:val="14"/>
                <w:color w:val="auto"/>
              </w:rPr>
              <w:t>________________</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780" w:type="dxa"/>
            <w:vAlign w:val="bottom"/>
            <w:gridSpan w:val="2"/>
          </w:tcPr>
          <w:p>
            <w:pPr>
              <w:spacing w:after="0"/>
              <w:rPr>
                <w:sz w:val="20"/>
                <w:szCs w:val="20"/>
                <w:color w:val="auto"/>
              </w:rPr>
            </w:pPr>
            <w:r>
              <w:rPr>
                <w:rFonts w:ascii="Arial" w:cs="Arial" w:eastAsia="Arial" w:hAnsi="Arial"/>
                <w:sz w:val="14"/>
                <w:szCs w:val="14"/>
                <w:color w:val="auto"/>
              </w:rPr>
              <w:t>(1)  Amounts include equity-based compensation expense, as follows:</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320" w:type="dxa"/>
            <w:vAlign w:val="bottom"/>
          </w:tcPr>
          <w:p>
            <w:pPr>
              <w:spacing w:after="0"/>
              <w:rPr>
                <w:sz w:val="22"/>
                <w:szCs w:val="22"/>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1.2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4"/>
                <w:szCs w:val="14"/>
                <w:color w:val="auto"/>
              </w:rPr>
              <w:t>2.7</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20" w:type="dxa"/>
            <w:vAlign w:val="bottom"/>
          </w:tcPr>
          <w:p>
            <w:pPr>
              <w:spacing w:after="0"/>
              <w:rPr>
                <w:sz w:val="23"/>
                <w:szCs w:val="23"/>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0.3</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1.4</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7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equity-based compensation expense</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4"/>
                <w:szCs w:val="14"/>
                <w:color w:val="auto"/>
              </w:rPr>
              <w:t>5.6</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240"/>
          </w:cols>
          <w:pgMar w:left="320" w:top="488" w:right="339" w:bottom="1440" w:gutter="0" w:footer="0" w:header="0"/>
        </w:sectPr>
      </w:pPr>
    </w:p>
    <w:bookmarkStart w:id="284" w:name="page285"/>
    <w:bookmarkEnd w:id="284"/>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85"/>
        </w:trPr>
        <w:tc>
          <w:tcPr>
            <w:tcW w:w="8000" w:type="dxa"/>
            <w:vAlign w:val="bottom"/>
          </w:tcPr>
          <w:p>
            <w:pPr>
              <w:spacing w:after="0"/>
              <w:rPr>
                <w:sz w:val="24"/>
                <w:szCs w:val="24"/>
                <w:color w:val="auto"/>
              </w:rPr>
            </w:pPr>
          </w:p>
        </w:tc>
        <w:tc>
          <w:tcPr>
            <w:tcW w:w="2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r>
      <w:tr>
        <w:trPr>
          <w:trHeight w:val="255"/>
        </w:trPr>
        <w:tc>
          <w:tcPr>
            <w:tcW w:w="8000" w:type="dxa"/>
            <w:vAlign w:val="bottom"/>
          </w:tcPr>
          <w:p>
            <w:pPr>
              <w:spacing w:after="0"/>
              <w:rPr>
                <w:sz w:val="22"/>
                <w:szCs w:val="22"/>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r>
      <w:tr>
        <w:trPr>
          <w:trHeight w:val="242"/>
        </w:trPr>
        <w:tc>
          <w:tcPr>
            <w:tcW w:w="8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60" w:type="dxa"/>
            <w:vAlign w:val="bottom"/>
            <w:gridSpan w:val="2"/>
          </w:tcPr>
          <w:p>
            <w:pPr>
              <w:jc w:val="right"/>
              <w:ind w:right="619"/>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21"/>
                <w:szCs w:val="2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6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(40.2)</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Other comprehensive loss:</w:t>
            </w: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Change in unrealized loss on interest rate swaps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Total other comprehensive income (loss)</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(6.7)</w:t>
            </w:r>
          </w:p>
        </w:tc>
        <w:tc>
          <w:tcPr>
            <w:tcW w:w="1060" w:type="dxa"/>
            <w:vAlign w:val="bottom"/>
          </w:tcPr>
          <w:p>
            <w:pPr>
              <w:spacing w:after="0"/>
              <w:rPr>
                <w:sz w:val="20"/>
                <w:szCs w:val="20"/>
                <w:color w:val="auto"/>
              </w:rPr>
            </w:pPr>
          </w:p>
        </w:tc>
        <w:tc>
          <w:tcPr>
            <w:tcW w:w="5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5"/>
        </w:trPr>
        <w:tc>
          <w:tcPr>
            <w:tcW w:w="8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Comprehensive income (loss)</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60" w:type="dxa"/>
            <w:vAlign w:val="bottom"/>
            <w:shd w:val="clear" w:color="auto" w:fill="CCEEFF"/>
          </w:tcPr>
          <w:p>
            <w:pPr>
              <w:jc w:val="right"/>
              <w:ind w:right="799"/>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w:t>
            </w:r>
          </w:p>
        </w:tc>
      </w:tr>
      <w:tr>
        <w:trPr>
          <w:trHeight w:val="27"/>
        </w:trPr>
        <w:tc>
          <w:tcPr>
            <w:tcW w:w="8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240"/>
          </w:cols>
          <w:pgMar w:left="320" w:top="488" w:right="339" w:bottom="1440" w:gutter="0" w:footer="0" w:header="0"/>
        </w:sectPr>
      </w:pPr>
    </w:p>
    <w:bookmarkStart w:id="285" w:name="page286"/>
    <w:bookmarkEnd w:id="285"/>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Changes in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Members' Deficit</w:t>
            </w:r>
          </w:p>
        </w:tc>
        <w:tc>
          <w:tcPr>
            <w:tcW w:w="20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Accumulated Other</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Members’ Deficit</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Comprehensive Loss</w:t>
            </w: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December 31, 2019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(213.8)</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Member distributions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Other comprehensive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 (loss)</w:t>
            </w: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48"/>
        </w:trPr>
        <w:tc>
          <w:tcPr>
            <w:tcW w:w="4920" w:type="dxa"/>
            <w:vAlign w:val="bottom"/>
          </w:tcPr>
          <w:p>
            <w:pPr>
              <w:ind w:left="40"/>
              <w:spacing w:after="0"/>
              <w:rPr>
                <w:sz w:val="20"/>
                <w:szCs w:val="20"/>
                <w:color w:val="auto"/>
              </w:rPr>
            </w:pPr>
            <w:r>
              <w:rPr>
                <w:rFonts w:ascii="Arial" w:cs="Arial" w:eastAsia="Arial" w:hAnsi="Arial"/>
                <w:sz w:val="17"/>
                <w:szCs w:val="17"/>
                <w:color w:val="auto"/>
              </w:rPr>
              <w:t>Balance, March 31, 2020</w:t>
            </w:r>
          </w:p>
        </w:tc>
        <w:tc>
          <w:tcPr>
            <w:tcW w:w="11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(207.4)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4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Members' Deficit</w:t>
            </w:r>
          </w:p>
        </w:tc>
        <w:tc>
          <w:tcPr>
            <w:tcW w:w="20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Accumulated Other</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Members’ Deficit</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Comprehensive Loss</w:t>
            </w: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9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(unaudited)</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December 31, 2018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Member distributions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Impact of adoption of new accounting standard (ASC 842)</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Equity-based compensation</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5"/>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Other comprehensive income (loss)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4920" w:type="dxa"/>
            <w:vAlign w:val="bottom"/>
          </w:tcPr>
          <w:p>
            <w:pPr>
              <w:ind w:left="260"/>
              <w:spacing w:after="0"/>
              <w:rPr>
                <w:sz w:val="20"/>
                <w:szCs w:val="20"/>
                <w:color w:val="auto"/>
              </w:rPr>
            </w:pPr>
            <w:r>
              <w:rPr>
                <w:rFonts w:ascii="Arial" w:cs="Arial" w:eastAsia="Arial" w:hAnsi="Arial"/>
                <w:sz w:val="17"/>
                <w:szCs w:val="17"/>
                <w:color w:val="auto"/>
              </w:rPr>
              <w:t>Net income (loss)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March 31, 2019</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4920" w:type="dxa"/>
            <w:vAlign w:val="bottom"/>
          </w:tcPr>
          <w:p>
            <w:pPr>
              <w:spacing w:after="0"/>
              <w:rPr>
                <w:sz w:val="24"/>
                <w:szCs w:val="24"/>
                <w:color w:val="auto"/>
              </w:rPr>
            </w:pPr>
          </w:p>
        </w:tc>
        <w:tc>
          <w:tcPr>
            <w:tcW w:w="1360" w:type="dxa"/>
            <w:vAlign w:val="bottom"/>
            <w:gridSpan w:val="2"/>
          </w:tcPr>
          <w:p>
            <w:pPr>
              <w:jc w:val="right"/>
              <w:ind w:right="413"/>
              <w:spacing w:after="0"/>
              <w:rPr>
                <w:sz w:val="20"/>
                <w:szCs w:val="20"/>
                <w:color w:val="auto"/>
              </w:rPr>
            </w:pPr>
            <w:r>
              <w:rPr>
                <w:rFonts w:ascii="Arial" w:cs="Arial" w:eastAsia="Arial" w:hAnsi="Arial"/>
                <w:sz w:val="17"/>
                <w:szCs w:val="17"/>
                <w:color w:val="auto"/>
              </w:rPr>
              <w:t>F-47</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88" w:right="339" w:bottom="1440" w:gutter="0" w:footer="0" w:header="0"/>
        </w:sectPr>
      </w:pPr>
    </w:p>
    <w:bookmarkStart w:id="286" w:name="page287"/>
    <w:bookmarkEnd w:id="286"/>
    <w:p>
      <w:pPr>
        <w:ind w:left="40"/>
        <w:spacing w:after="0"/>
        <w:rPr>
          <w:sz w:val="20"/>
          <w:szCs w:val="20"/>
          <w:color w:val="auto"/>
        </w:rPr>
      </w:pPr>
      <w:r>
        <w:rPr>
          <w:rFonts w:ascii="Arial" w:cs="Arial" w:eastAsia="Arial" w:hAnsi="Arial"/>
          <w:sz w:val="17"/>
          <w:szCs w:val="17"/>
          <w:b w:val="1"/>
          <w:bCs w:val="1"/>
          <w:color w:val="auto"/>
        </w:rPr>
        <w:t>ZoomInfo Holdings LLC</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85"/>
        </w:trPr>
        <w:tc>
          <w:tcPr>
            <w:tcW w:w="8000" w:type="dxa"/>
            <w:vAlign w:val="bottom"/>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24"/>
                <w:szCs w:val="24"/>
                <w:color w:val="auto"/>
              </w:rPr>
            </w:pPr>
          </w:p>
        </w:tc>
      </w:tr>
      <w:tr>
        <w:trPr>
          <w:trHeight w:val="255"/>
        </w:trPr>
        <w:tc>
          <w:tcPr>
            <w:tcW w:w="8000" w:type="dxa"/>
            <w:vAlign w:val="bottom"/>
          </w:tcPr>
          <w:p>
            <w:pPr>
              <w:spacing w:after="0"/>
              <w:rPr>
                <w:sz w:val="22"/>
                <w:szCs w:val="22"/>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r>
      <w:tr>
        <w:trPr>
          <w:trHeight w:val="242"/>
        </w:trPr>
        <w:tc>
          <w:tcPr>
            <w:tcW w:w="8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21"/>
                <w:szCs w:val="2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10.3</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debt discounts and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Amortization of deferred commissions costs</w:t>
            </w:r>
          </w:p>
        </w:tc>
        <w:tc>
          <w:tcPr>
            <w:tcW w:w="104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0.7</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Loss on early extinguishment of debt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Deferred consideration valuation adjustments</w:t>
            </w:r>
          </w:p>
        </w:tc>
        <w:tc>
          <w:tcPr>
            <w:tcW w:w="104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0.2</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Equity-based compensation expense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Provision for bad debt expense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 net of acquisitions: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Accounts receivable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Deferred costs and other assets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Income tax receivable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0.2</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Related party receivable</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104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1.7</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17.0</w:t>
            </w:r>
          </w:p>
        </w:tc>
      </w:tr>
      <w:tr>
        <w:trPr>
          <w:trHeight w:val="229"/>
        </w:trPr>
        <w:tc>
          <w:tcPr>
            <w:tcW w:w="8000" w:type="dxa"/>
            <w:vAlign w:val="bottom"/>
          </w:tcPr>
          <w:p>
            <w:pPr>
              <w:ind w:left="480"/>
              <w:spacing w:after="0"/>
              <w:rPr>
                <w:sz w:val="20"/>
                <w:szCs w:val="20"/>
                <w:color w:val="auto"/>
              </w:rPr>
            </w:pPr>
            <w:r>
              <w:rPr>
                <w:rFonts w:ascii="Arial" w:cs="Arial" w:eastAsia="Arial" w:hAnsi="Arial"/>
                <w:sz w:val="16"/>
                <w:szCs w:val="16"/>
                <w:color w:val="auto"/>
              </w:rPr>
              <w:t>Unearned revenue</w:t>
            </w:r>
          </w:p>
        </w:tc>
        <w:tc>
          <w:tcPr>
            <w:tcW w:w="104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17.8</w:t>
            </w:r>
          </w:p>
        </w:tc>
      </w:tr>
      <w:tr>
        <w:trPr>
          <w:trHeight w:val="33"/>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8"/>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provided by (used in) operating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r>
      <w:tr>
        <w:trPr>
          <w:trHeight w:val="236"/>
        </w:trPr>
        <w:tc>
          <w:tcPr>
            <w:tcW w:w="8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Purchases of property and equipment and other assets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10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(705.8)</w:t>
            </w:r>
          </w:p>
        </w:tc>
      </w:tr>
      <w:tr>
        <w:trPr>
          <w:trHeight w:val="255"/>
        </w:trPr>
        <w:tc>
          <w:tcPr>
            <w:tcW w:w="80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Net cash provided by (used in) investing activities</w:t>
            </w:r>
          </w:p>
        </w:tc>
        <w:tc>
          <w:tcPr>
            <w:tcW w:w="10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(708.6)</w:t>
            </w:r>
          </w:p>
        </w:tc>
      </w:tr>
      <w:tr>
        <w:trPr>
          <w:trHeight w:val="229"/>
        </w:trPr>
        <w:tc>
          <w:tcPr>
            <w:tcW w:w="80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80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on long-term debt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(643.3)</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Proceeds from long-term debt</w:t>
            </w:r>
          </w:p>
        </w:tc>
        <w:tc>
          <w:tcPr>
            <w:tcW w:w="10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w w:val="89"/>
              </w:rPr>
              <w:t>1,220.8</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Proceeds from revolving credit loans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Payments of debt issuance costs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Repurchase outstanding equity / member units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Proceeds from equity offering, net of transaction costs</w:t>
            </w:r>
          </w:p>
        </w:tc>
        <w:tc>
          <w:tcPr>
            <w:tcW w:w="10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200.2</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of deferred consideration</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9"/>
        </w:trPr>
        <w:tc>
          <w:tcPr>
            <w:tcW w:w="8000" w:type="dxa"/>
            <w:vAlign w:val="bottom"/>
          </w:tcPr>
          <w:p>
            <w:pPr>
              <w:ind w:left="260"/>
              <w:spacing w:after="0"/>
              <w:rPr>
                <w:sz w:val="20"/>
                <w:szCs w:val="20"/>
                <w:color w:val="auto"/>
              </w:rPr>
            </w:pPr>
            <w:r>
              <w:rPr>
                <w:rFonts w:ascii="Arial" w:cs="Arial" w:eastAsia="Arial" w:hAnsi="Arial"/>
                <w:sz w:val="16"/>
                <w:szCs w:val="16"/>
                <w:color w:val="auto"/>
              </w:rPr>
              <w:t>Distributions to members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8"/>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cash provided by (used in) financing activities</w:t>
            </w:r>
          </w:p>
        </w:tc>
        <w:tc>
          <w:tcPr>
            <w:tcW w:w="10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755.0</w:t>
            </w:r>
          </w:p>
        </w:tc>
      </w:tr>
      <w:tr>
        <w:trPr>
          <w:trHeight w:val="236"/>
        </w:trPr>
        <w:tc>
          <w:tcPr>
            <w:tcW w:w="8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60.6</w:t>
            </w:r>
          </w:p>
        </w:tc>
      </w:tr>
      <w:tr>
        <w:trPr>
          <w:trHeight w:val="229"/>
        </w:trPr>
        <w:tc>
          <w:tcPr>
            <w:tcW w:w="80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1040" w:type="dxa"/>
            <w:vAlign w:val="bottom"/>
          </w:tcPr>
          <w:p>
            <w:pPr>
              <w:spacing w:after="0"/>
              <w:rPr>
                <w:sz w:val="19"/>
                <w:szCs w:val="19"/>
                <w:color w:val="auto"/>
              </w:rPr>
            </w:pP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9.0</w:t>
            </w:r>
          </w:p>
        </w:tc>
      </w:tr>
      <w:tr>
        <w:trPr>
          <w:trHeight w:val="33"/>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cast at end of year</w:t>
            </w: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69.6</w:t>
            </w: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22"/>
        </w:trPr>
        <w:tc>
          <w:tcPr>
            <w:tcW w:w="8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29"/>
        </w:trPr>
        <w:tc>
          <w:tcPr>
            <w:tcW w:w="8000" w:type="dxa"/>
            <w:vAlign w:val="bottom"/>
          </w:tcPr>
          <w:p>
            <w:pPr>
              <w:ind w:left="380"/>
              <w:spacing w:after="0"/>
              <w:rPr>
                <w:sz w:val="20"/>
                <w:szCs w:val="20"/>
                <w:color w:val="auto"/>
              </w:rPr>
            </w:pPr>
            <w:r>
              <w:rPr>
                <w:rFonts w:ascii="Arial" w:cs="Arial" w:eastAsia="Arial" w:hAnsi="Arial"/>
                <w:sz w:val="16"/>
                <w:szCs w:val="16"/>
                <w:color w:val="auto"/>
              </w:rPr>
              <w:t>Interest paid in cash:</w:t>
            </w: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9"/>
                <w:szCs w:val="19"/>
                <w:color w:val="auto"/>
              </w:rPr>
            </w:pP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5.6</w:t>
            </w: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6"/>
        </w:trPr>
        <w:tc>
          <w:tcPr>
            <w:tcW w:w="80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9"/>
        </w:trPr>
        <w:tc>
          <w:tcPr>
            <w:tcW w:w="800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3"/>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9"/>
        </w:trPr>
        <w:tc>
          <w:tcPr>
            <w:tcW w:w="8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variable consideration from acquisition of a business</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42.3</w:t>
            </w:r>
          </w:p>
        </w:tc>
      </w:tr>
      <w:tr>
        <w:trPr>
          <w:trHeight w:val="33"/>
        </w:trPr>
        <w:tc>
          <w:tcPr>
            <w:tcW w:w="80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488" w:right="339" w:bottom="5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1240"/>
          </w:cols>
          <w:pgMar w:left="320" w:top="488" w:right="339" w:bottom="557" w:gutter="0" w:footer="0" w:header="0"/>
          <w:type w:val="continuous"/>
        </w:sectPr>
      </w:pPr>
    </w:p>
    <w:bookmarkStart w:id="287" w:name="page288"/>
    <w:bookmarkEnd w:id="287"/>
    <w:p>
      <w:pPr>
        <w:jc w:val="center"/>
        <w:ind w:right="-439"/>
        <w:spacing w:after="0"/>
        <w:rPr>
          <w:sz w:val="20"/>
          <w:szCs w:val="20"/>
          <w:color w:val="auto"/>
        </w:rPr>
      </w:pPr>
      <w:r>
        <w:rPr>
          <w:rFonts w:ascii="Arial" w:cs="Arial" w:eastAsia="Arial" w:hAnsi="Arial"/>
          <w:sz w:val="17"/>
          <w:szCs w:val="17"/>
          <w:b w:val="1"/>
          <w:bCs w:val="1"/>
          <w:color w:val="auto"/>
        </w:rPr>
        <w:t>ZoomInfo Holdings LLC and Subsidiaries</w:t>
      </w:r>
    </w:p>
    <w:p>
      <w:pPr>
        <w:spacing w:after="0" w:line="32"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1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 millions, except unit counts, unless otherwise noted)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rFonts w:ascii="Arial" w:cs="Arial" w:eastAsia="Arial" w:hAnsi="Arial"/>
                <w:sz w:val="17"/>
                <w:szCs w:val="17"/>
                <w:u w:val="single" w:color="auto"/>
                <w:color w:val="0000EE"/>
              </w:rPr>
            </w:pPr>
            <w:hyperlink w:anchor="page289">
              <w:r>
                <w:rPr>
                  <w:rFonts w:ascii="Arial" w:cs="Arial" w:eastAsia="Arial" w:hAnsi="Arial"/>
                  <w:sz w:val="17"/>
                  <w:szCs w:val="17"/>
                  <w:u w:val="single" w:color="auto"/>
                  <w:color w:val="0000EE"/>
                </w:rPr>
                <w:t>Note 1</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9">
              <w:r>
                <w:rPr>
                  <w:rFonts w:ascii="Arial" w:cs="Arial" w:eastAsia="Arial" w:hAnsi="Arial"/>
                  <w:sz w:val="17"/>
                  <w:szCs w:val="17"/>
                  <w:u w:val="single" w:color="auto"/>
                  <w:color w:val="0000EE"/>
                </w:rPr>
                <w:t>Organization</w:t>
              </w:r>
            </w:hyperlink>
          </w:p>
        </w:tc>
        <w:tc>
          <w:tcPr>
            <w:tcW w:w="2600" w:type="dxa"/>
            <w:vAlign w:val="bottom"/>
          </w:tcPr>
          <w:p>
            <w:pPr>
              <w:ind w:left="2260"/>
              <w:spacing w:after="0"/>
              <w:rPr>
                <w:rFonts w:ascii="Arial" w:cs="Arial" w:eastAsia="Arial" w:hAnsi="Arial"/>
                <w:sz w:val="17"/>
                <w:szCs w:val="17"/>
                <w:color w:val="auto"/>
                <w:w w:val="91"/>
              </w:rPr>
            </w:pPr>
            <w:hyperlink w:anchor="page289">
              <w:r>
                <w:rPr>
                  <w:rFonts w:ascii="Arial" w:cs="Arial" w:eastAsia="Arial" w:hAnsi="Arial"/>
                  <w:sz w:val="17"/>
                  <w:szCs w:val="17"/>
                  <w:color w:val="auto"/>
                  <w:w w:val="91"/>
                </w:rPr>
                <w:t>F-50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89">
              <w:r>
                <w:rPr>
                  <w:rFonts w:ascii="Arial" w:cs="Arial" w:eastAsia="Arial" w:hAnsi="Arial"/>
                  <w:sz w:val="17"/>
                  <w:szCs w:val="17"/>
                  <w:u w:val="single" w:color="auto"/>
                  <w:color w:val="0000EE"/>
                </w:rPr>
                <w:t>Note 2</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89">
              <w:r>
                <w:rPr>
                  <w:rFonts w:ascii="Arial" w:cs="Arial" w:eastAsia="Arial" w:hAnsi="Arial"/>
                  <w:sz w:val="17"/>
                  <w:szCs w:val="17"/>
                  <w:u w:val="single" w:color="auto"/>
                  <w:color w:val="0000EE"/>
                </w:rPr>
                <w:t>Basis of Presentation and Summary of Significant Accounting Policies</w:t>
              </w:r>
            </w:hyperlink>
          </w:p>
        </w:tc>
        <w:tc>
          <w:tcPr>
            <w:tcW w:w="2600" w:type="dxa"/>
            <w:vAlign w:val="bottom"/>
          </w:tcPr>
          <w:p>
            <w:pPr>
              <w:ind w:left="2260"/>
              <w:spacing w:after="0"/>
              <w:rPr>
                <w:rFonts w:ascii="Arial" w:cs="Arial" w:eastAsia="Arial" w:hAnsi="Arial"/>
                <w:sz w:val="17"/>
                <w:szCs w:val="17"/>
                <w:color w:val="auto"/>
                <w:w w:val="91"/>
              </w:rPr>
            </w:pPr>
            <w:hyperlink w:anchor="page289">
              <w:r>
                <w:rPr>
                  <w:rFonts w:ascii="Arial" w:cs="Arial" w:eastAsia="Arial" w:hAnsi="Arial"/>
                  <w:sz w:val="17"/>
                  <w:szCs w:val="17"/>
                  <w:color w:val="auto"/>
                  <w:w w:val="91"/>
                </w:rPr>
                <w:t>F-50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95">
              <w:r>
                <w:rPr>
                  <w:rFonts w:ascii="Arial" w:cs="Arial" w:eastAsia="Arial" w:hAnsi="Arial"/>
                  <w:sz w:val="17"/>
                  <w:szCs w:val="17"/>
                  <w:u w:val="single" w:color="auto"/>
                  <w:color w:val="0000EE"/>
                </w:rPr>
                <w:t>Note 3</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95">
              <w:r>
                <w:rPr>
                  <w:rFonts w:ascii="Arial" w:cs="Arial" w:eastAsia="Arial" w:hAnsi="Arial"/>
                  <w:sz w:val="17"/>
                  <w:szCs w:val="17"/>
                  <w:u w:val="single" w:color="auto"/>
                  <w:color w:val="0000EE"/>
                </w:rPr>
                <w:t>Revenue from Contracts with Customers</w:t>
              </w:r>
            </w:hyperlink>
          </w:p>
        </w:tc>
        <w:tc>
          <w:tcPr>
            <w:tcW w:w="2600" w:type="dxa"/>
            <w:vAlign w:val="bottom"/>
          </w:tcPr>
          <w:p>
            <w:pPr>
              <w:ind w:left="2260"/>
              <w:spacing w:after="0"/>
              <w:rPr>
                <w:rFonts w:ascii="Arial" w:cs="Arial" w:eastAsia="Arial" w:hAnsi="Arial"/>
                <w:sz w:val="17"/>
                <w:szCs w:val="17"/>
                <w:color w:val="auto"/>
                <w:w w:val="91"/>
              </w:rPr>
            </w:pPr>
            <w:hyperlink w:anchor="page295">
              <w:r>
                <w:rPr>
                  <w:rFonts w:ascii="Arial" w:cs="Arial" w:eastAsia="Arial" w:hAnsi="Arial"/>
                  <w:sz w:val="17"/>
                  <w:szCs w:val="17"/>
                  <w:color w:val="auto"/>
                  <w:w w:val="91"/>
                </w:rPr>
                <w:t>F-56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97">
              <w:r>
                <w:rPr>
                  <w:rFonts w:ascii="Arial" w:cs="Arial" w:eastAsia="Arial" w:hAnsi="Arial"/>
                  <w:sz w:val="17"/>
                  <w:szCs w:val="17"/>
                  <w:u w:val="single" w:color="auto"/>
                  <w:color w:val="0000EE"/>
                </w:rPr>
                <w:t>Note 4</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97">
              <w:r>
                <w:rPr>
                  <w:rFonts w:ascii="Arial" w:cs="Arial" w:eastAsia="Arial" w:hAnsi="Arial"/>
                  <w:sz w:val="17"/>
                  <w:szCs w:val="17"/>
                  <w:u w:val="single" w:color="auto"/>
                  <w:color w:val="0000EE"/>
                </w:rPr>
                <w:t>Business Combinations</w:t>
              </w:r>
            </w:hyperlink>
          </w:p>
        </w:tc>
        <w:tc>
          <w:tcPr>
            <w:tcW w:w="2600" w:type="dxa"/>
            <w:vAlign w:val="bottom"/>
          </w:tcPr>
          <w:p>
            <w:pPr>
              <w:ind w:left="2260"/>
              <w:spacing w:after="0"/>
              <w:rPr>
                <w:rFonts w:ascii="Arial" w:cs="Arial" w:eastAsia="Arial" w:hAnsi="Arial"/>
                <w:sz w:val="17"/>
                <w:szCs w:val="17"/>
                <w:color w:val="auto"/>
                <w:w w:val="91"/>
              </w:rPr>
            </w:pPr>
            <w:hyperlink w:anchor="page297">
              <w:r>
                <w:rPr>
                  <w:rFonts w:ascii="Arial" w:cs="Arial" w:eastAsia="Arial" w:hAnsi="Arial"/>
                  <w:sz w:val="17"/>
                  <w:szCs w:val="17"/>
                  <w:color w:val="auto"/>
                  <w:w w:val="91"/>
                </w:rPr>
                <w:t>F-58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299">
              <w:r>
                <w:rPr>
                  <w:rFonts w:ascii="Arial" w:cs="Arial" w:eastAsia="Arial" w:hAnsi="Arial"/>
                  <w:sz w:val="17"/>
                  <w:szCs w:val="17"/>
                  <w:u w:val="single" w:color="auto"/>
                  <w:color w:val="0000EE"/>
                </w:rPr>
                <w:t>Note 5</w:t>
              </w:r>
            </w:hyperlink>
          </w:p>
        </w:tc>
        <w:tc>
          <w:tcPr>
            <w:tcW w:w="7540" w:type="dxa"/>
            <w:vAlign w:val="bottom"/>
          </w:tcPr>
          <w:p>
            <w:pPr>
              <w:ind w:left="340"/>
              <w:spacing w:after="0"/>
              <w:rPr>
                <w:rFonts w:ascii="Arial" w:cs="Arial" w:eastAsia="Arial" w:hAnsi="Arial"/>
                <w:sz w:val="17"/>
                <w:szCs w:val="17"/>
                <w:u w:val="single" w:color="auto"/>
                <w:color w:val="0000EE"/>
              </w:rPr>
            </w:pPr>
            <w:hyperlink w:anchor="page299">
              <w:r>
                <w:rPr>
                  <w:rFonts w:ascii="Arial" w:cs="Arial" w:eastAsia="Arial" w:hAnsi="Arial"/>
                  <w:sz w:val="17"/>
                  <w:szCs w:val="17"/>
                  <w:u w:val="single" w:color="auto"/>
                  <w:color w:val="0000EE"/>
                </w:rPr>
                <w:t>Property and Equipment</w:t>
              </w:r>
            </w:hyperlink>
          </w:p>
        </w:tc>
        <w:tc>
          <w:tcPr>
            <w:tcW w:w="2600" w:type="dxa"/>
            <w:vAlign w:val="bottom"/>
          </w:tcPr>
          <w:p>
            <w:pPr>
              <w:ind w:left="2260"/>
              <w:spacing w:after="0"/>
              <w:rPr>
                <w:rFonts w:ascii="Arial" w:cs="Arial" w:eastAsia="Arial" w:hAnsi="Arial"/>
                <w:sz w:val="17"/>
                <w:szCs w:val="17"/>
                <w:color w:val="auto"/>
                <w:w w:val="91"/>
              </w:rPr>
            </w:pPr>
            <w:hyperlink w:anchor="page299">
              <w:r>
                <w:rPr>
                  <w:rFonts w:ascii="Arial" w:cs="Arial" w:eastAsia="Arial" w:hAnsi="Arial"/>
                  <w:sz w:val="17"/>
                  <w:szCs w:val="17"/>
                  <w:color w:val="auto"/>
                  <w:w w:val="91"/>
                </w:rPr>
                <w:t>F-60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0">
              <w:r>
                <w:rPr>
                  <w:rFonts w:ascii="Arial" w:cs="Arial" w:eastAsia="Arial" w:hAnsi="Arial"/>
                  <w:sz w:val="17"/>
                  <w:szCs w:val="17"/>
                  <w:u w:val="single" w:color="auto"/>
                  <w:color w:val="0000EE"/>
                </w:rPr>
                <w:t>Note 6</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0">
              <w:r>
                <w:rPr>
                  <w:rFonts w:ascii="Arial" w:cs="Arial" w:eastAsia="Arial" w:hAnsi="Arial"/>
                  <w:sz w:val="17"/>
                  <w:szCs w:val="17"/>
                  <w:u w:val="single" w:color="auto"/>
                  <w:color w:val="0000EE"/>
                </w:rPr>
                <w:t>Goodwill and Acquired Intangible Assets</w:t>
              </w:r>
            </w:hyperlink>
          </w:p>
        </w:tc>
        <w:tc>
          <w:tcPr>
            <w:tcW w:w="2600" w:type="dxa"/>
            <w:vAlign w:val="bottom"/>
          </w:tcPr>
          <w:p>
            <w:pPr>
              <w:ind w:left="2260"/>
              <w:spacing w:after="0"/>
              <w:rPr>
                <w:rFonts w:ascii="Arial" w:cs="Arial" w:eastAsia="Arial" w:hAnsi="Arial"/>
                <w:sz w:val="17"/>
                <w:szCs w:val="17"/>
                <w:color w:val="auto"/>
                <w:w w:val="91"/>
              </w:rPr>
            </w:pPr>
            <w:hyperlink w:anchor="page300">
              <w:r>
                <w:rPr>
                  <w:rFonts w:ascii="Arial" w:cs="Arial" w:eastAsia="Arial" w:hAnsi="Arial"/>
                  <w:sz w:val="17"/>
                  <w:szCs w:val="17"/>
                  <w:color w:val="auto"/>
                  <w:w w:val="91"/>
                </w:rPr>
                <w:t>F-61</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0">
              <w:r>
                <w:rPr>
                  <w:rFonts w:ascii="Arial" w:cs="Arial" w:eastAsia="Arial" w:hAnsi="Arial"/>
                  <w:sz w:val="17"/>
                  <w:szCs w:val="17"/>
                  <w:u w:val="single" w:color="auto"/>
                  <w:color w:val="0000EE"/>
                </w:rPr>
                <w:t>Note 7</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0">
              <w:r>
                <w:rPr>
                  <w:rFonts w:ascii="Arial" w:cs="Arial" w:eastAsia="Arial" w:hAnsi="Arial"/>
                  <w:sz w:val="17"/>
                  <w:szCs w:val="17"/>
                  <w:u w:val="single" w:color="auto"/>
                  <w:color w:val="0000EE"/>
                </w:rPr>
                <w:t>Financing Arrangements</w:t>
              </w:r>
            </w:hyperlink>
          </w:p>
        </w:tc>
        <w:tc>
          <w:tcPr>
            <w:tcW w:w="2600" w:type="dxa"/>
            <w:vAlign w:val="bottom"/>
          </w:tcPr>
          <w:p>
            <w:pPr>
              <w:ind w:left="2260"/>
              <w:spacing w:after="0"/>
              <w:rPr>
                <w:rFonts w:ascii="Arial" w:cs="Arial" w:eastAsia="Arial" w:hAnsi="Arial"/>
                <w:sz w:val="17"/>
                <w:szCs w:val="17"/>
                <w:color w:val="auto"/>
                <w:w w:val="91"/>
              </w:rPr>
            </w:pPr>
            <w:hyperlink w:anchor="page300">
              <w:r>
                <w:rPr>
                  <w:rFonts w:ascii="Arial" w:cs="Arial" w:eastAsia="Arial" w:hAnsi="Arial"/>
                  <w:sz w:val="17"/>
                  <w:szCs w:val="17"/>
                  <w:color w:val="auto"/>
                  <w:w w:val="91"/>
                </w:rPr>
                <w:t>F-61</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2">
              <w:r>
                <w:rPr>
                  <w:rFonts w:ascii="Arial" w:cs="Arial" w:eastAsia="Arial" w:hAnsi="Arial"/>
                  <w:sz w:val="17"/>
                  <w:szCs w:val="17"/>
                  <w:u w:val="single" w:color="auto"/>
                  <w:color w:val="0000EE"/>
                </w:rPr>
                <w:t>Note 8</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2">
              <w:r>
                <w:rPr>
                  <w:rFonts w:ascii="Arial" w:cs="Arial" w:eastAsia="Arial" w:hAnsi="Arial"/>
                  <w:sz w:val="17"/>
                  <w:szCs w:val="17"/>
                  <w:u w:val="single" w:color="auto"/>
                  <w:color w:val="0000EE"/>
                </w:rPr>
                <w:t>Derivatives and Hedging Activities</w:t>
              </w:r>
            </w:hyperlink>
          </w:p>
        </w:tc>
        <w:tc>
          <w:tcPr>
            <w:tcW w:w="2600" w:type="dxa"/>
            <w:vAlign w:val="bottom"/>
          </w:tcPr>
          <w:p>
            <w:pPr>
              <w:ind w:left="2260"/>
              <w:spacing w:after="0"/>
              <w:rPr>
                <w:rFonts w:ascii="Arial" w:cs="Arial" w:eastAsia="Arial" w:hAnsi="Arial"/>
                <w:sz w:val="17"/>
                <w:szCs w:val="17"/>
                <w:color w:val="auto"/>
                <w:w w:val="91"/>
              </w:rPr>
            </w:pPr>
            <w:hyperlink w:anchor="page302">
              <w:r>
                <w:rPr>
                  <w:rFonts w:ascii="Arial" w:cs="Arial" w:eastAsia="Arial" w:hAnsi="Arial"/>
                  <w:sz w:val="17"/>
                  <w:szCs w:val="17"/>
                  <w:color w:val="auto"/>
                  <w:w w:val="91"/>
                </w:rPr>
                <w:t>F-63</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3">
              <w:r>
                <w:rPr>
                  <w:rFonts w:ascii="Arial" w:cs="Arial" w:eastAsia="Arial" w:hAnsi="Arial"/>
                  <w:sz w:val="17"/>
                  <w:szCs w:val="17"/>
                  <w:u w:val="single" w:color="auto"/>
                  <w:color w:val="0000EE"/>
                </w:rPr>
                <w:t>Note 9</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3">
              <w:r>
                <w:rPr>
                  <w:rFonts w:ascii="Arial" w:cs="Arial" w:eastAsia="Arial" w:hAnsi="Arial"/>
                  <w:sz w:val="17"/>
                  <w:szCs w:val="17"/>
                  <w:u w:val="single" w:color="auto"/>
                  <w:color w:val="0000EE"/>
                </w:rPr>
                <w:t>Commitments and Contingencies</w:t>
              </w:r>
            </w:hyperlink>
          </w:p>
        </w:tc>
        <w:tc>
          <w:tcPr>
            <w:tcW w:w="2600" w:type="dxa"/>
            <w:vAlign w:val="bottom"/>
          </w:tcPr>
          <w:p>
            <w:pPr>
              <w:ind w:left="2260"/>
              <w:spacing w:after="0"/>
              <w:rPr>
                <w:rFonts w:ascii="Arial" w:cs="Arial" w:eastAsia="Arial" w:hAnsi="Arial"/>
                <w:sz w:val="17"/>
                <w:szCs w:val="17"/>
                <w:color w:val="auto"/>
                <w:w w:val="91"/>
              </w:rPr>
            </w:pPr>
            <w:hyperlink w:anchor="page303">
              <w:r>
                <w:rPr>
                  <w:rFonts w:ascii="Arial" w:cs="Arial" w:eastAsia="Arial" w:hAnsi="Arial"/>
                  <w:sz w:val="17"/>
                  <w:szCs w:val="17"/>
                  <w:color w:val="auto"/>
                  <w:w w:val="91"/>
                </w:rPr>
                <w:t>F-64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4">
              <w:r>
                <w:rPr>
                  <w:rFonts w:ascii="Arial" w:cs="Arial" w:eastAsia="Arial" w:hAnsi="Arial"/>
                  <w:sz w:val="17"/>
                  <w:szCs w:val="17"/>
                  <w:u w:val="single" w:color="auto"/>
                  <w:color w:val="0000EE"/>
                </w:rPr>
                <w:t>Note 10</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4">
              <w:r>
                <w:rPr>
                  <w:rFonts w:ascii="Arial" w:cs="Arial" w:eastAsia="Arial" w:hAnsi="Arial"/>
                  <w:sz w:val="17"/>
                  <w:szCs w:val="17"/>
                  <w:u w:val="single" w:color="auto"/>
                  <w:color w:val="0000EE"/>
                </w:rPr>
                <w:t>Leases</w:t>
              </w:r>
            </w:hyperlink>
          </w:p>
        </w:tc>
        <w:tc>
          <w:tcPr>
            <w:tcW w:w="2600" w:type="dxa"/>
            <w:vAlign w:val="bottom"/>
          </w:tcPr>
          <w:p>
            <w:pPr>
              <w:ind w:left="2260"/>
              <w:spacing w:after="0"/>
              <w:rPr>
                <w:rFonts w:ascii="Arial" w:cs="Arial" w:eastAsia="Arial" w:hAnsi="Arial"/>
                <w:sz w:val="17"/>
                <w:szCs w:val="17"/>
                <w:color w:val="auto"/>
                <w:w w:val="91"/>
              </w:rPr>
            </w:pPr>
            <w:hyperlink w:anchor="page304">
              <w:r>
                <w:rPr>
                  <w:rFonts w:ascii="Arial" w:cs="Arial" w:eastAsia="Arial" w:hAnsi="Arial"/>
                  <w:sz w:val="17"/>
                  <w:szCs w:val="17"/>
                  <w:color w:val="auto"/>
                  <w:w w:val="91"/>
                </w:rPr>
                <w:t>F-65</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5">
              <w:r>
                <w:rPr>
                  <w:rFonts w:ascii="Arial" w:cs="Arial" w:eastAsia="Arial" w:hAnsi="Arial"/>
                  <w:sz w:val="17"/>
                  <w:szCs w:val="17"/>
                  <w:u w:val="single" w:color="auto"/>
                  <w:color w:val="0000EE"/>
                </w:rPr>
                <w:t>Note 11</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5">
              <w:r>
                <w:rPr>
                  <w:rFonts w:ascii="Arial" w:cs="Arial" w:eastAsia="Arial" w:hAnsi="Arial"/>
                  <w:sz w:val="17"/>
                  <w:szCs w:val="17"/>
                  <w:u w:val="single" w:color="auto"/>
                  <w:color w:val="0000EE"/>
                </w:rPr>
                <w:t>Members’ Deficit</w:t>
              </w:r>
            </w:hyperlink>
          </w:p>
        </w:tc>
        <w:tc>
          <w:tcPr>
            <w:tcW w:w="2600" w:type="dxa"/>
            <w:vAlign w:val="bottom"/>
          </w:tcPr>
          <w:p>
            <w:pPr>
              <w:ind w:left="2260"/>
              <w:spacing w:after="0"/>
              <w:rPr>
                <w:rFonts w:ascii="Arial" w:cs="Arial" w:eastAsia="Arial" w:hAnsi="Arial"/>
                <w:sz w:val="17"/>
                <w:szCs w:val="17"/>
                <w:color w:val="auto"/>
                <w:w w:val="91"/>
              </w:rPr>
            </w:pPr>
            <w:hyperlink w:anchor="page305">
              <w:r>
                <w:rPr>
                  <w:rFonts w:ascii="Arial" w:cs="Arial" w:eastAsia="Arial" w:hAnsi="Arial"/>
                  <w:sz w:val="17"/>
                  <w:szCs w:val="17"/>
                  <w:color w:val="auto"/>
                  <w:w w:val="91"/>
                </w:rPr>
                <w:t>F-66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5">
              <w:r>
                <w:rPr>
                  <w:rFonts w:ascii="Arial" w:cs="Arial" w:eastAsia="Arial" w:hAnsi="Arial"/>
                  <w:sz w:val="17"/>
                  <w:szCs w:val="17"/>
                  <w:u w:val="single" w:color="auto"/>
                  <w:color w:val="0000EE"/>
                </w:rPr>
                <w:t>Note 12</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5">
              <w:r>
                <w:rPr>
                  <w:rFonts w:ascii="Arial" w:cs="Arial" w:eastAsia="Arial" w:hAnsi="Arial"/>
                  <w:sz w:val="17"/>
                  <w:szCs w:val="17"/>
                  <w:u w:val="single" w:color="auto"/>
                  <w:color w:val="0000EE"/>
                </w:rPr>
                <w:t>Redeemable Series A Preferred Units</w:t>
              </w:r>
            </w:hyperlink>
          </w:p>
        </w:tc>
        <w:tc>
          <w:tcPr>
            <w:tcW w:w="2600" w:type="dxa"/>
            <w:vAlign w:val="bottom"/>
          </w:tcPr>
          <w:p>
            <w:pPr>
              <w:ind w:left="2260"/>
              <w:spacing w:after="0"/>
              <w:rPr>
                <w:rFonts w:ascii="Arial" w:cs="Arial" w:eastAsia="Arial" w:hAnsi="Arial"/>
                <w:sz w:val="17"/>
                <w:szCs w:val="17"/>
                <w:color w:val="auto"/>
                <w:w w:val="91"/>
              </w:rPr>
            </w:pPr>
            <w:hyperlink w:anchor="page305">
              <w:r>
                <w:rPr>
                  <w:rFonts w:ascii="Arial" w:cs="Arial" w:eastAsia="Arial" w:hAnsi="Arial"/>
                  <w:sz w:val="17"/>
                  <w:szCs w:val="17"/>
                  <w:color w:val="auto"/>
                  <w:w w:val="91"/>
                </w:rPr>
                <w:t>F-66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6">
              <w:r>
                <w:rPr>
                  <w:rFonts w:ascii="Arial" w:cs="Arial" w:eastAsia="Arial" w:hAnsi="Arial"/>
                  <w:sz w:val="17"/>
                  <w:szCs w:val="17"/>
                  <w:u w:val="single" w:color="auto"/>
                  <w:color w:val="0000EE"/>
                </w:rPr>
                <w:t>Note 13</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6">
              <w:r>
                <w:rPr>
                  <w:rFonts w:ascii="Arial" w:cs="Arial" w:eastAsia="Arial" w:hAnsi="Arial"/>
                  <w:sz w:val="17"/>
                  <w:szCs w:val="17"/>
                  <w:u w:val="single" w:color="auto"/>
                  <w:color w:val="0000EE"/>
                </w:rPr>
                <w:t>Equity-Based Compensation</w:t>
              </w:r>
            </w:hyperlink>
          </w:p>
        </w:tc>
        <w:tc>
          <w:tcPr>
            <w:tcW w:w="2600" w:type="dxa"/>
            <w:vAlign w:val="bottom"/>
          </w:tcPr>
          <w:p>
            <w:pPr>
              <w:ind w:left="2260"/>
              <w:spacing w:after="0"/>
              <w:rPr>
                <w:rFonts w:ascii="Arial" w:cs="Arial" w:eastAsia="Arial" w:hAnsi="Arial"/>
                <w:sz w:val="17"/>
                <w:szCs w:val="17"/>
                <w:color w:val="auto"/>
                <w:w w:val="91"/>
              </w:rPr>
            </w:pPr>
            <w:hyperlink w:anchor="page306">
              <w:r>
                <w:rPr>
                  <w:rFonts w:ascii="Arial" w:cs="Arial" w:eastAsia="Arial" w:hAnsi="Arial"/>
                  <w:sz w:val="17"/>
                  <w:szCs w:val="17"/>
                  <w:color w:val="auto"/>
                  <w:w w:val="91"/>
                </w:rPr>
                <w:t>F-67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8">
              <w:r>
                <w:rPr>
                  <w:rFonts w:ascii="Arial" w:cs="Arial" w:eastAsia="Arial" w:hAnsi="Arial"/>
                  <w:sz w:val="17"/>
                  <w:szCs w:val="17"/>
                  <w:u w:val="single" w:color="auto"/>
                  <w:color w:val="0000EE"/>
                </w:rPr>
                <w:t>Note 14</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8">
              <w:r>
                <w:rPr>
                  <w:rFonts w:ascii="Arial" w:cs="Arial" w:eastAsia="Arial" w:hAnsi="Arial"/>
                  <w:sz w:val="17"/>
                  <w:szCs w:val="17"/>
                  <w:u w:val="single" w:color="auto"/>
                  <w:color w:val="0000EE"/>
                </w:rPr>
                <w:t>Income Tax Provision</w:t>
              </w:r>
            </w:hyperlink>
          </w:p>
        </w:tc>
        <w:tc>
          <w:tcPr>
            <w:tcW w:w="2600" w:type="dxa"/>
            <w:vAlign w:val="bottom"/>
          </w:tcPr>
          <w:p>
            <w:pPr>
              <w:ind w:left="2260"/>
              <w:spacing w:after="0"/>
              <w:rPr>
                <w:rFonts w:ascii="Arial" w:cs="Arial" w:eastAsia="Arial" w:hAnsi="Arial"/>
                <w:sz w:val="17"/>
                <w:szCs w:val="17"/>
                <w:color w:val="auto"/>
                <w:w w:val="91"/>
              </w:rPr>
            </w:pPr>
            <w:hyperlink w:anchor="page308">
              <w:r>
                <w:rPr>
                  <w:rFonts w:ascii="Arial" w:cs="Arial" w:eastAsia="Arial" w:hAnsi="Arial"/>
                  <w:sz w:val="17"/>
                  <w:szCs w:val="17"/>
                  <w:color w:val="auto"/>
                  <w:w w:val="91"/>
                </w:rPr>
                <w:t>F-69</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09">
              <w:r>
                <w:rPr>
                  <w:rFonts w:ascii="Arial" w:cs="Arial" w:eastAsia="Arial" w:hAnsi="Arial"/>
                  <w:sz w:val="17"/>
                  <w:szCs w:val="17"/>
                  <w:u w:val="single" w:color="auto"/>
                  <w:color w:val="0000EE"/>
                </w:rPr>
                <w:t>Note 15</w:t>
              </w:r>
            </w:hyperlink>
          </w:p>
        </w:tc>
        <w:tc>
          <w:tcPr>
            <w:tcW w:w="7540" w:type="dxa"/>
            <w:vAlign w:val="bottom"/>
          </w:tcPr>
          <w:p>
            <w:pPr>
              <w:ind w:left="340"/>
              <w:spacing w:after="0"/>
              <w:rPr>
                <w:rFonts w:ascii="Arial" w:cs="Arial" w:eastAsia="Arial" w:hAnsi="Arial"/>
                <w:sz w:val="17"/>
                <w:szCs w:val="17"/>
                <w:u w:val="single" w:color="auto"/>
                <w:color w:val="0000EE"/>
              </w:rPr>
            </w:pPr>
            <w:hyperlink w:anchor="page309">
              <w:r>
                <w:rPr>
                  <w:rFonts w:ascii="Arial" w:cs="Arial" w:eastAsia="Arial" w:hAnsi="Arial"/>
                  <w:sz w:val="17"/>
                  <w:szCs w:val="17"/>
                  <w:u w:val="single" w:color="auto"/>
                  <w:color w:val="0000EE"/>
                </w:rPr>
                <w:t>Subsequent Events</w:t>
              </w:r>
            </w:hyperlink>
          </w:p>
        </w:tc>
        <w:tc>
          <w:tcPr>
            <w:tcW w:w="2600" w:type="dxa"/>
            <w:vAlign w:val="bottom"/>
          </w:tcPr>
          <w:p>
            <w:pPr>
              <w:ind w:left="2260"/>
              <w:spacing w:after="0"/>
              <w:rPr>
                <w:rFonts w:ascii="Arial" w:cs="Arial" w:eastAsia="Arial" w:hAnsi="Arial"/>
                <w:sz w:val="17"/>
                <w:szCs w:val="17"/>
                <w:color w:val="auto"/>
                <w:w w:val="91"/>
              </w:rPr>
            </w:pPr>
            <w:hyperlink w:anchor="page309">
              <w:r>
                <w:rPr>
                  <w:rFonts w:ascii="Arial" w:cs="Arial" w:eastAsia="Arial" w:hAnsi="Arial"/>
                  <w:sz w:val="17"/>
                  <w:szCs w:val="17"/>
                  <w:color w:val="auto"/>
                  <w:w w:val="91"/>
                </w:rPr>
                <w:t>F-70</w:t>
              </w:r>
            </w:hyperlink>
          </w:p>
        </w:tc>
      </w:tr>
      <w:tr>
        <w:trPr>
          <w:trHeight w:val="812"/>
        </w:trPr>
        <w:tc>
          <w:tcPr>
            <w:tcW w:w="900" w:type="dxa"/>
            <w:vAlign w:val="bottom"/>
          </w:tcPr>
          <w:p>
            <w:pPr>
              <w:spacing w:after="0"/>
              <w:rPr>
                <w:sz w:val="24"/>
                <w:szCs w:val="24"/>
                <w:color w:val="auto"/>
              </w:rPr>
            </w:pPr>
          </w:p>
        </w:tc>
        <w:tc>
          <w:tcPr>
            <w:tcW w:w="7540" w:type="dxa"/>
            <w:vAlign w:val="bottom"/>
          </w:tcPr>
          <w:p>
            <w:pPr>
              <w:ind w:left="4520"/>
              <w:spacing w:after="0"/>
              <w:rPr>
                <w:sz w:val="20"/>
                <w:szCs w:val="20"/>
                <w:color w:val="auto"/>
              </w:rPr>
            </w:pPr>
            <w:r>
              <w:rPr>
                <w:rFonts w:ascii="Arial" w:cs="Arial" w:eastAsia="Arial" w:hAnsi="Arial"/>
                <w:sz w:val="17"/>
                <w:szCs w:val="17"/>
                <w:color w:val="auto"/>
              </w:rPr>
              <w:t>F-49</w:t>
            </w:r>
          </w:p>
        </w:tc>
        <w:tc>
          <w:tcPr>
            <w:tcW w:w="2600" w:type="dxa"/>
            <w:vAlign w:val="bottom"/>
          </w:tcPr>
          <w:p>
            <w:pPr>
              <w:spacing w:after="0"/>
              <w:rPr>
                <w:sz w:val="24"/>
                <w:szCs w:val="24"/>
                <w:color w:val="auto"/>
              </w:rPr>
            </w:pPr>
          </w:p>
        </w:tc>
      </w:tr>
    </w:tbl>
    <w:p>
      <w:pPr>
        <w:sectPr>
          <w:pgSz w:w="11900" w:h="16838" w:orient="portrait"/>
          <w:cols w:equalWidth="0" w:num="1">
            <w:col w:w="11040"/>
          </w:cols>
          <w:pgMar w:left="360" w:top="330" w:right="499" w:bottom="1440" w:gutter="0" w:footer="0" w:header="0"/>
        </w:sectPr>
      </w:pPr>
    </w:p>
    <w:bookmarkStart w:id="288" w:name="page289"/>
    <w:bookmarkEnd w:id="288"/>
    <w:p>
      <w:pPr>
        <w:spacing w:after="0"/>
        <w:rPr>
          <w:sz w:val="20"/>
          <w:szCs w:val="20"/>
          <w:color w:val="auto"/>
        </w:rPr>
      </w:pPr>
      <w:r>
        <w:rPr>
          <w:rFonts w:ascii="Arial" w:cs="Arial" w:eastAsia="Arial" w:hAnsi="Arial"/>
          <w:sz w:val="17"/>
          <w:szCs w:val="17"/>
          <w:b w:val="1"/>
          <w:bCs w:val="1"/>
          <w:color w:val="auto"/>
        </w:rPr>
        <w:t>Note 1 - Organization</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ZoomInfo Holdings LLC (together with its subsidiaries, “ZoomInfo” or the “Company”) provides a go-to-market intelligence platform for sales and marketing teams. Our cloud-based solutions provide accurate and comprehensive intelligence on organizations and professionals in order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headquarters are located in Vancouver, WA and we operate in seven offices throughout the US, one office in Russia and one office in Israel.</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began operations in 2007 through a predecessor entity then called DiscoverOrg LLC and were incorporated in Delaware in 2014 as a limited liability company. The Company is comprised of two limited liability companies that are treated as partnerships for tax purposes, ten limited liability companies that are single member entities and disregarded for tax purposes, three corporations, and one foreign entity.</w:t>
      </w:r>
    </w:p>
    <w:p>
      <w:pPr>
        <w:spacing w:after="0" w:line="113" w:lineRule="exact"/>
        <w:rPr>
          <w:sz w:val="20"/>
          <w:szCs w:val="20"/>
          <w:color w:val="auto"/>
        </w:rPr>
      </w:pPr>
    </w:p>
    <w:p>
      <w:pPr>
        <w:ind w:right="5400"/>
        <w:spacing w:after="0" w:line="453" w:lineRule="auto"/>
        <w:rPr>
          <w:sz w:val="20"/>
          <w:szCs w:val="20"/>
          <w:color w:val="auto"/>
        </w:rPr>
      </w:pPr>
      <w:r>
        <w:rPr>
          <w:rFonts w:ascii="Arial" w:cs="Arial" w:eastAsia="Arial" w:hAnsi="Arial"/>
          <w:sz w:val="17"/>
          <w:szCs w:val="17"/>
          <w:b w:val="1"/>
          <w:bCs w:val="1"/>
          <w:color w:val="auto"/>
        </w:rPr>
        <w:t xml:space="preserve">Note 2 - Basis of Presentation and Summary of Significant Accounting Policies </w:t>
      </w:r>
      <w:r>
        <w:rPr>
          <w:rFonts w:ascii="Arial" w:cs="Arial" w:eastAsia="Arial" w:hAnsi="Arial"/>
          <w:sz w:val="17"/>
          <w:szCs w:val="17"/>
          <w:b w:val="1"/>
          <w:bCs w:val="1"/>
          <w:i w:val="1"/>
          <w:iCs w:val="1"/>
          <w:color w:val="auto"/>
        </w:rPr>
        <w:t>Basis of Presentation</w:t>
      </w:r>
    </w:p>
    <w:p>
      <w:pPr>
        <w:spacing w:after="0" w:line="2"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consolidated financial statements have been prepared in accordance with generally accepted accounting principles in the United States (“GAAP”). The consolidated financial statements include the results of ZoomInfo and its wholly owned subsidiaries. All intercompany balances and transactions have been eliminated in consolidation. In management's opinion, the unaudited condensed consolidated financial statements contain all adjustments, which include normal and recurring adjustments, necessary for a fair presentation of the financial position and results of operations as of the dates and for the interim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number of datasets or records that can be accessed. Our subscriptions contracts typically have a term of 1 to 3 years and are non-cancellable. We typically bill for services quarterly or annually in advance of delivery.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accounts for revenue contracts with customers through the following steps:</w:t>
      </w:r>
    </w:p>
    <w:p>
      <w:pPr>
        <w:spacing w:after="0" w:line="171" w:lineRule="exact"/>
        <w:rPr>
          <w:sz w:val="20"/>
          <w:szCs w:val="20"/>
          <w:color w:val="auto"/>
        </w:rPr>
      </w:pPr>
    </w:p>
    <w:p>
      <w:pPr>
        <w:ind w:left="640" w:hanging="321"/>
        <w:spacing w:after="0"/>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identify the contract with a customer;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allocate the transaction price;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1240"/>
          </w:cols>
          <w:pgMar w:left="320" w:top="330" w:right="339" w:bottom="1440" w:gutter="0" w:footer="0" w:header="0"/>
        </w:sectPr>
      </w:pPr>
    </w:p>
    <w:bookmarkStart w:id="289" w:name="page290"/>
    <w:bookmarkEnd w:id="289"/>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(5) recognize revenue when or as the Company satisfies a performance obligation.</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We recognize revenue for subscription contracts on a ratable basis over the contract term,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under Topic 606. The Company estimates these amounts based on historical experience and reduces revenue recognized.</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inputs or methodology used for valuing financial assets and liabilities are not necessarily an indication of the risk associated with investing in them.</w:t>
      </w:r>
    </w:p>
    <w:p>
      <w:pPr>
        <w:spacing w:after="0" w:line="183"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Company's financial instruments consist principally of cash and cash equivalents,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The carrying values of the Company's debt instruments approximate their fair value based on Level 2 inputs since the instruments carry variable interest rates based on the London Interbank Offered Rate (“LIBOR”) or other applicable reference rates.</w:t>
      </w:r>
    </w:p>
    <w:p>
      <w:pPr>
        <w:spacing w:after="0" w:line="126"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7"/>
          <w:szCs w:val="17"/>
          <w:color w:val="auto"/>
        </w:rPr>
        <w:t>The company has elected to use the income approach to value the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35"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8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1240"/>
          </w:cols>
          <w:pgMar w:left="320" w:top="750" w:right="339" w:bottom="1440" w:gutter="0" w:footer="0" w:header="0"/>
        </w:sectPr>
      </w:pPr>
    </w:p>
    <w:bookmarkStart w:id="290" w:name="page291"/>
    <w:bookmarkEnd w:id="290"/>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consist of highly liquid investments with maturities of three months or less at the time of purchase.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Significant Customers</w:t>
      </w:r>
    </w:p>
    <w:p>
      <w:pPr>
        <w:spacing w:after="0" w:line="171" w:lineRule="exact"/>
        <w:rPr>
          <w:sz w:val="20"/>
          <w:szCs w:val="20"/>
          <w:color w:val="auto"/>
        </w:rPr>
      </w:pPr>
    </w:p>
    <w:p>
      <w:pPr>
        <w:jc w:val="both"/>
        <w:ind w:firstLine="314"/>
        <w:spacing w:after="0" w:line="278" w:lineRule="auto"/>
        <w:rPr>
          <w:sz w:val="20"/>
          <w:szCs w:val="20"/>
          <w:color w:val="auto"/>
        </w:rPr>
      </w:pPr>
      <w:r>
        <w:rPr>
          <w:rFonts w:ascii="Arial" w:cs="Arial" w:eastAsia="Arial" w:hAnsi="Arial"/>
          <w:sz w:val="16"/>
          <w:szCs w:val="16"/>
          <w:color w:val="auto"/>
        </w:rPr>
        <w:t>Financial instruments that potentially subject us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months ended March 31, 2020 and 2019, or accounted for more than 10% of accounts receivable as of March 31, 2020 and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Contract Assets</w:t>
      </w:r>
    </w:p>
    <w:p>
      <w:pPr>
        <w:spacing w:after="0" w:line="171"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Accounts receivable is comprised of invoices of revenue, net of allowance for doubtful accounts and do not bear interest.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March 31, 2020 and December 31, 2019.</w:t>
      </w:r>
    </w:p>
    <w:p>
      <w:pPr>
        <w:spacing w:after="0" w:line="11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Contract assets represent a contractual right to consideration in the future. Contract assets are generated when contractual billing schedules differ from revenue recognition timing.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years to ten years.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1240"/>
          </w:cols>
          <w:pgMar w:left="320" w:top="750" w:right="339" w:bottom="1440" w:gutter="0" w:footer="0" w:header="0"/>
        </w:sectPr>
      </w:pPr>
    </w:p>
    <w:bookmarkStart w:id="291" w:name="page292"/>
    <w:bookmarkEnd w:id="291"/>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Commissions</w:t>
      </w:r>
    </w:p>
    <w:p>
      <w:pPr>
        <w:spacing w:after="0" w:line="171" w:lineRule="exact"/>
        <w:rPr>
          <w:sz w:val="20"/>
          <w:szCs w:val="20"/>
          <w:color w:val="auto"/>
        </w:rPr>
      </w:pPr>
    </w:p>
    <w:p>
      <w:pPr>
        <w:jc w:val="both"/>
        <w:ind w:firstLine="314"/>
        <w:spacing w:after="0" w:line="308" w:lineRule="auto"/>
        <w:rPr>
          <w:sz w:val="20"/>
          <w:szCs w:val="20"/>
          <w:color w:val="auto"/>
        </w:rPr>
      </w:pPr>
      <w:r>
        <w:rPr>
          <w:rFonts w:ascii="Arial" w:cs="Arial" w:eastAsia="Arial" w:hAnsi="Arial"/>
          <w:sz w:val="15"/>
          <w:szCs w:val="15"/>
          <w:color w:val="auto"/>
        </w:rPr>
        <w:t xml:space="preserve">Certain sales commissions earned by our sales force are considered incremental and recoverable costs of obtaining a contract with a customer. These sales commissions for initial contracts are capitalized and current amounts are included in </w:t>
      </w:r>
      <w:r>
        <w:rPr>
          <w:rFonts w:ascii="Arial" w:cs="Arial" w:eastAsia="Arial" w:hAnsi="Arial"/>
          <w:sz w:val="15"/>
          <w:szCs w:val="15"/>
          <w:i w:val="1"/>
          <w:iCs w:val="1"/>
          <w:color w:val="auto"/>
        </w:rPr>
        <w:t>Deferred costs</w:t>
      </w:r>
      <w:r>
        <w:rPr>
          <w:rFonts w:ascii="Arial" w:cs="Arial" w:eastAsia="Arial" w:hAnsi="Arial"/>
          <w:sz w:val="15"/>
          <w:szCs w:val="15"/>
          <w:color w:val="auto"/>
        </w:rPr>
        <w:t xml:space="preserve"> and noncurrent amounts are included in </w:t>
      </w:r>
      <w:r>
        <w:rPr>
          <w:rFonts w:ascii="Arial" w:cs="Arial" w:eastAsia="Arial" w:hAnsi="Arial"/>
          <w:sz w:val="15"/>
          <w:szCs w:val="15"/>
          <w:i w:val="1"/>
          <w:iCs w:val="1"/>
          <w:color w:val="auto"/>
        </w:rPr>
        <w:t>Deferred costs, net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current portion </w:t>
      </w:r>
      <w:r>
        <w:rPr>
          <w:rFonts w:ascii="Arial" w:cs="Arial" w:eastAsia="Arial" w:hAnsi="Arial"/>
          <w:sz w:val="15"/>
          <w:szCs w:val="15"/>
          <w:color w:val="auto"/>
        </w:rPr>
        <w:t>in our consolidated balance sheets. Deferred sales commissions are amortized on a straight-line basis over the estimated period of benefit</w:t>
      </w:r>
      <w:r>
        <w:rPr>
          <w:rFonts w:ascii="Arial" w:cs="Arial" w:eastAsia="Arial" w:hAnsi="Arial"/>
          <w:sz w:val="15"/>
          <w:szCs w:val="15"/>
          <w:i w:val="1"/>
          <w:iCs w:val="1"/>
          <w:color w:val="auto"/>
        </w:rPr>
        <w:t xml:space="preserve"> </w:t>
      </w:r>
      <w:r>
        <w:rPr>
          <w:rFonts w:ascii="Arial" w:cs="Arial" w:eastAsia="Arial" w:hAnsi="Arial"/>
          <w:sz w:val="15"/>
          <w:szCs w:val="15"/>
          <w:color w:val="auto"/>
        </w:rPr>
        <w:t>from the customer relationship that we have determined to be three years. We determined the period of benefit by taking into consideration our customer contracts, our technology, and other factors. Amortization expense is included in Sales and marketing expense on the Consolidated statement of operations.</w:t>
      </w:r>
    </w:p>
    <w:p>
      <w:pPr>
        <w:spacing w:after="0" w:line="98" w:lineRule="exact"/>
        <w:rPr>
          <w:sz w:val="20"/>
          <w:szCs w:val="20"/>
          <w:color w:val="auto"/>
        </w:rPr>
      </w:pPr>
    </w:p>
    <w:p>
      <w:pPr>
        <w:ind w:right="340" w:firstLine="314"/>
        <w:spacing w:after="0" w:line="450" w:lineRule="auto"/>
        <w:rPr>
          <w:sz w:val="20"/>
          <w:szCs w:val="20"/>
          <w:color w:val="auto"/>
        </w:rPr>
      </w:pPr>
      <w:r>
        <w:rPr>
          <w:rFonts w:ascii="Arial" w:cs="Arial" w:eastAsia="Arial" w:hAnsi="Arial"/>
          <w:sz w:val="17"/>
          <w:szCs w:val="17"/>
          <w:color w:val="auto"/>
        </w:rPr>
        <w:t xml:space="preserve">Certain commissions are not capitalized as they do not represent incremental costs of obtaining a contract. Such commissions are expensed as incurred. </w:t>
      </w:r>
      <w:r>
        <w:rPr>
          <w:rFonts w:ascii="Arial" w:cs="Arial" w:eastAsia="Arial" w:hAnsi="Arial"/>
          <w:sz w:val="17"/>
          <w:szCs w:val="17"/>
          <w:b w:val="1"/>
          <w:bCs w:val="1"/>
          <w:i w:val="1"/>
          <w:iCs w:val="1"/>
          <w:color w:val="auto"/>
        </w:rPr>
        <w:t>Advertising and Promotional Expenses</w:t>
      </w:r>
    </w:p>
    <w:p>
      <w:pPr>
        <w:jc w:val="both"/>
        <w:ind w:firstLine="314"/>
        <w:spacing w:after="0" w:line="273" w:lineRule="auto"/>
        <w:rPr>
          <w:sz w:val="20"/>
          <w:szCs w:val="20"/>
          <w:color w:val="auto"/>
        </w:rPr>
      </w:pPr>
      <w:r>
        <w:rPr>
          <w:rFonts w:ascii="Arial" w:cs="Arial" w:eastAsia="Arial" w:hAnsi="Arial"/>
          <w:sz w:val="17"/>
          <w:szCs w:val="17"/>
          <w:color w:val="auto"/>
        </w:rPr>
        <w:t>The Company expenses advertising costs as incurred in accordance with ASC 720-35, Other Expenses - Advertising Cost. Advertising expenses of $2.9 million and $1.7 million for the three months ended March 31, 2020 and 2019, respectively, are included in Sales and marketing on the consolidated statement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account for research and development costs in accordance with the ASC 730, Research and Development. Under ASC 730, all research and development costs are expensed as incurred. Our research and development costs consist primarily of salaries, employee benefits, related overhead costs associated with product development, testing, quality assurance, documentation, enhancements and upgrades.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Transaction-Related Expenses</w:t>
      </w:r>
    </w:p>
    <w:p>
      <w:pPr>
        <w:spacing w:after="0" w:line="17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exist or disposal costs. In general, the Company records involuntary employee-related exit and disposal costs when there is a substantive plan for employee severance and related costs are probable and estimable. For one-time termination benefits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71"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1240"/>
          </w:cols>
          <w:pgMar w:left="320" w:top="750" w:right="339" w:bottom="1440" w:gutter="0" w:footer="0" w:header="0"/>
        </w:sectPr>
      </w:pPr>
    </w:p>
    <w:bookmarkStart w:id="292" w:name="page293"/>
    <w:bookmarkEnd w:id="292"/>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goodwill, provided that the timing is within the measurement period. Subsequent to the measurement period, changes to uncertain tax positions and tax related valuation allowances will be recorded to earnings.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Acquired Intangible Assets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19"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11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Acquired technology, customer lists, trade names or brand portfolios, and other intangible assets are related to previous acquisitions (see Note 6 - Goodwill and Acquired Intangible Assets). Acquired intangible assets are amortized on a straight-line basis over the estimated period over which we expect to realize economic value related to the intangible asset. The amortization periods range from 2 years to 15 years.</w:t>
      </w:r>
    </w:p>
    <w:p>
      <w:pPr>
        <w:spacing w:after="0" w:line="11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Indefinite 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 lived intangible asset is less than the carrying value as a basis to determine whether further impairment testing under ASC 350 is necessary. No impairment charges were recorded for the three months ended March 31, 2020 and 2019.</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Unearned Revenue</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Unearned revenue, net of current portion in our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 capitalized debt issuance costs are expensed and included in loss on extinguishment of debt, if the Company determines that there has been a substantial modification of the related debt. If the Company determines that there has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1240"/>
          </w:cols>
          <w:pgMar w:left="320" w:top="750" w:right="33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not been a substantial modification of the related debt, any previously capitalized debt issuance costs are amortized as interest expense over the term of the new debt instrument. The company performs assessments of debt modifications at a lender specific level for all syndicated financing arrangements.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is comprised of two limited liability companies that are treated as partnerships for tax purposes, ten limited liability companies that are single member entities and disregarded for tax purposes, three corporations, and one foreign entity.</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For partnership and disregarded entities, taxable income and the resulting liabilities are allocated among the owners of the entities and reported on the tax filings for those owners. We record income tax provision, deferred tax assets, and deferred tax liabilities only for the items for which the Company is responsible for making payments directly to the relevant tax authority.</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Deferred income taxes reflect the net tax effects of temporary differences between the financial reporting and tax basis of assets and liabilities and are measured using the enacted tax rates and laws expected to be in effect when such differences are expected to reverse. Such temporary differences are reflected as other assets and deferred tax liabilities on the consolidated balance sheets. A deferred tax asset is recognized if it is more likely than not that a tax benefit will be respected by a taxing authority.</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w:t>
      </w:r>
    </w:p>
    <w:p>
      <w:pPr>
        <w:spacing w:after="0" w:line="11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are required to identify, evaluate and measure all uncertain tax positions taken or to be taken on tax returns and to record liabilities for the amount of these positions that may not be sustained, or may only partially be sustained, upon examination by the relevant taxing authorities. Although we believe that our estimates and judgments were reasonable, actual results may differ from these estimates. Some or all of these judgments are subject to review by the taxing authorities.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recognize the tax benefit from entity 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 Expense</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Company periodically grants incentive units to employees and non-employees, which generally vest over a four-year period. The incentive units represent profits interests in the Company, which is an interest in the increase in the value of the entity over the participation threshold, as determined by the Board of Managers. The holder, therefore, has the right to participate in distributions of profits only in excess of the Participation Threshold. The Participation Threshold was based on the valuation determined by the Board of Managers of the common unit on or around the grant date.</w:t>
      </w:r>
    </w:p>
    <w:p>
      <w:pPr>
        <w:spacing w:after="0" w:line="10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accounts for incentive units in accordance with ASC 718, Compensation-Stock Compensation (ASC 718). In accordance with ASC 718, compensation expense is measured at estimated fair value of the incentive units and is included as compensation expense over the vesting period during which an employee provides service in exchange for the award.</w:t>
      </w:r>
    </w:p>
    <w:p>
      <w:pPr>
        <w:spacing w:after="0" w:line="11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uses a Black-Scholes option pricing model to determine fair value of its incentive units, as the equity units granted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unit-based compensation cost could be materially impacted.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1240"/>
          </w:cols>
          <w:pgMar w:left="320" w:top="750" w:right="339" w:bottom="1440" w:gutter="0" w:footer="0" w:header="0"/>
        </w:sectPr>
      </w:pPr>
    </w:p>
    <w:bookmarkStart w:id="294" w:name="page295"/>
    <w:bookmarkEnd w:id="294"/>
    <w:p>
      <w:pPr>
        <w:spacing w:after="0"/>
        <w:rPr>
          <w:sz w:val="20"/>
          <w:szCs w:val="20"/>
          <w:color w:val="auto"/>
        </w:rPr>
      </w:pPr>
      <w:r>
        <w:rPr>
          <w:rFonts w:ascii="Arial" w:cs="Arial" w:eastAsia="Arial" w:hAnsi="Arial"/>
          <w:sz w:val="17"/>
          <w:szCs w:val="17"/>
          <w:b w:val="1"/>
          <w:bCs w:val="1"/>
          <w:color w:val="auto"/>
        </w:rPr>
        <w:t>Note 2 - Basis of Presentation and Summary of Significant Accounting Policies (continued)</w:t>
      </w:r>
    </w:p>
    <w:p>
      <w:pPr>
        <w:spacing w:after="0" w:line="230"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accounts for non-employee equity-based compensation in accordance with ASC 505-50-25, “Equity Based Payments to Non-Employees,” which requires the measurement and recognition of compensation expense for all equity-based payment awards made to non-employees based on estimated fair values.</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classifies equity-based compensation expense in its Consolidated statement of operations in the same manner in which the award recipient’s salary and related costs are classified or in which the award recipient’s service payments are classified.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71" w:lineRule="exact"/>
        <w:rPr>
          <w:sz w:val="20"/>
          <w:szCs w:val="20"/>
          <w:color w:val="auto"/>
        </w:rPr>
      </w:pPr>
    </w:p>
    <w:p>
      <w:pPr>
        <w:jc w:val="both"/>
        <w:ind w:firstLine="314"/>
        <w:spacing w:after="0" w:line="305" w:lineRule="auto"/>
        <w:rPr>
          <w:sz w:val="20"/>
          <w:szCs w:val="20"/>
          <w:color w:val="auto"/>
        </w:rPr>
      </w:pPr>
      <w:r>
        <w:rPr>
          <w:rFonts w:ascii="Arial" w:cs="Arial" w:eastAsia="Arial" w:hAnsi="Arial"/>
          <w:sz w:val="15"/>
          <w:szCs w:val="15"/>
          <w:color w:val="auto"/>
        </w:rPr>
        <w:t>In March 2020, the FASB issued ASU 2020-04, “Reference Rate Reform (Topic 848).” ASU 2020-04 contains practical expedients for reference rate reform related activities that impact debt, leases, derivatives and other contracts. The guidance in ASU 2020-04 is optional and may be elected over time as reference rate reform activities occur. During the first quarter of 2020,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99"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In June 2016, the Financial Accounting Standards Board (“FASB”) issued Accounting Standards Update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16"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However, as the Company did not have any Level 3 fair value measurements and/or other circumstances addressed in ASU 2018-13, adoption did not have a material effect on the Company’s financial statements or disclosures.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Detail</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comprised the following service offerings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255"/>
        </w:trPr>
        <w:tc>
          <w:tcPr>
            <w:tcW w:w="368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4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intelligence tools</w:t>
            </w:r>
          </w:p>
        </w:tc>
        <w:tc>
          <w:tcPr>
            <w:tcW w:w="532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53.6</w:t>
            </w:r>
          </w:p>
        </w:tc>
      </w:tr>
      <w:tr>
        <w:trPr>
          <w:trHeight w:val="235"/>
        </w:trPr>
        <w:tc>
          <w:tcPr>
            <w:tcW w:w="3680" w:type="dxa"/>
            <w:vAlign w:val="bottom"/>
          </w:tcPr>
          <w:p>
            <w:pPr>
              <w:ind w:left="40"/>
              <w:spacing w:after="0"/>
              <w:rPr>
                <w:sz w:val="20"/>
                <w:szCs w:val="20"/>
                <w:color w:val="auto"/>
              </w:rPr>
            </w:pPr>
            <w:r>
              <w:rPr>
                <w:rFonts w:ascii="Arial" w:cs="Arial" w:eastAsia="Arial" w:hAnsi="Arial"/>
                <w:sz w:val="17"/>
                <w:szCs w:val="17"/>
                <w:color w:val="auto"/>
              </w:rPr>
              <w:t>Email verification service</w:t>
            </w:r>
          </w:p>
        </w:tc>
        <w:tc>
          <w:tcPr>
            <w:tcW w:w="4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Arial" w:cs="Arial" w:eastAsia="Arial" w:hAnsi="Arial"/>
                <w:sz w:val="17"/>
                <w:szCs w:val="17"/>
                <w:color w:val="auto"/>
              </w:rPr>
              <w:t>1.0</w:t>
            </w:r>
          </w:p>
        </w:tc>
      </w:tr>
      <w:tr>
        <w:trPr>
          <w:trHeight w:val="27"/>
        </w:trPr>
        <w:tc>
          <w:tcPr>
            <w:tcW w:w="36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8"/>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Revenue</w:t>
            </w:r>
          </w:p>
        </w:tc>
        <w:tc>
          <w:tcPr>
            <w:tcW w:w="5320" w:type="dxa"/>
            <w:vAlign w:val="bottom"/>
            <w:gridSpan w:val="2"/>
            <w:shd w:val="clear" w:color="auto" w:fill="CCEEFF"/>
          </w:tcPr>
          <w:p>
            <w:pPr>
              <w:jc w:val="right"/>
              <w:ind w:right="83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102.2</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54.6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r>
        <w:trPr>
          <w:trHeight w:val="772"/>
        </w:trPr>
        <w:tc>
          <w:tcPr>
            <w:tcW w:w="3680" w:type="dxa"/>
            <w:vAlign w:val="bottom"/>
          </w:tcPr>
          <w:p>
            <w:pPr>
              <w:spacing w:after="0"/>
              <w:rPr>
                <w:sz w:val="24"/>
                <w:szCs w:val="24"/>
                <w:color w:val="auto"/>
              </w:rPr>
            </w:pPr>
          </w:p>
        </w:tc>
        <w:tc>
          <w:tcPr>
            <w:tcW w:w="5320" w:type="dxa"/>
            <w:vAlign w:val="bottom"/>
            <w:gridSpan w:val="2"/>
          </w:tcPr>
          <w:p>
            <w:pPr>
              <w:jc w:val="right"/>
              <w:ind w:right="3150"/>
              <w:spacing w:after="0"/>
              <w:rPr>
                <w:sz w:val="20"/>
                <w:szCs w:val="20"/>
                <w:color w:val="auto"/>
              </w:rPr>
            </w:pPr>
            <w:r>
              <w:rPr>
                <w:rFonts w:ascii="Arial" w:cs="Arial" w:eastAsia="Arial" w:hAnsi="Arial"/>
                <w:sz w:val="17"/>
                <w:szCs w:val="17"/>
                <w:color w:val="auto"/>
              </w:rPr>
              <w:t>F-56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40"/>
          </w:cols>
          <w:pgMar w:left="320" w:top="750" w:right="339" w:bottom="1440" w:gutter="0" w:footer="0" w:header="0"/>
        </w:sectPr>
      </w:pPr>
    </w:p>
    <w:bookmarkStart w:id="295" w:name="page296"/>
    <w:bookmarkEnd w:id="295"/>
    <w:p>
      <w:pPr>
        <w:spacing w:after="0"/>
        <w:rPr>
          <w:sz w:val="20"/>
          <w:szCs w:val="20"/>
          <w:color w:val="auto"/>
        </w:rPr>
      </w:pPr>
      <w:r>
        <w:rPr>
          <w:rFonts w:ascii="Arial" w:cs="Arial" w:eastAsia="Arial" w:hAnsi="Arial"/>
          <w:sz w:val="17"/>
          <w:szCs w:val="17"/>
          <w:b w:val="1"/>
          <w:bCs w:val="1"/>
          <w:color w:val="auto"/>
        </w:rPr>
        <w:t>Note 3 - Revenue from Contracts with Customers (continued)</w:t>
      </w:r>
    </w:p>
    <w:p>
      <w:pPr>
        <w:spacing w:after="0" w:line="2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Email verification service is a service whereby customers can verify that emails are valid prior to sending, which can be helpful to avoid wasting resources or being flagged as sending spam. Email verification services are typically billed on a usage basis with customers paying each period as they utilize email verification services.</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Of the total revenue recognized in the three months ended March 31, 2020 and 2019, $79.9 million and $30.1 million was included in the unearned revenue balance as of December 31, 2019 and 2018, respectively. Revenue recognized from performance obligations satisfied (or partially satisfied) in previous periods was not material for the three months ended March 31, 2020 and 2019.</w:t>
      </w:r>
    </w:p>
    <w:p>
      <w:pPr>
        <w:spacing w:after="0" w:line="11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Revenue by geography is determined based on the domicile of the ZoomInfo contracting entity. All customer contracts are with our U.S. entities, therefore 100% of our revenue is designated as U.S. revenue. Due to the SaaS-based nature of our service, it is possible that some of our customers use the service outside of the U.S. We estimate that less than 10% of the company's customers were located outside of the U.S. as of March 31, 2020 and 2019.</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Unearned Revenue</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Company’s standard billing terms typically require payment at the beginning of each annual or quarterly period. Subscription revenue is generally recognized ratably over the contract term starting with when our service is made available to the customer. Email verification service revenue is recognized in the period services are utilized by our customers. The amount of revenue recognized reflects the consideration the Company expects to be entitled to receive in exchange for these services.</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 xml:space="preserve">As of March 31, 2020 and December 31, 2019, the Company had contract assets of $1.2 million and $0.1 million, respectively, which are recorded as current assets within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in the consolidated balance sheets. As of March 31, 2020 and December 31, 2019, the Company had unearned revenue of $173.2 million and $159.1 million, respectively.</w:t>
      </w:r>
    </w:p>
    <w:p>
      <w:pPr>
        <w:spacing w:after="0" w:line="119"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remaining performance obligations consisted of the following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Total</w:t>
            </w:r>
          </w:p>
        </w:tc>
      </w:tr>
      <w:tr>
        <w:trPr>
          <w:trHeight w:val="24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As of March 31, 2020</w:t>
            </w:r>
          </w:p>
        </w:tc>
        <w:tc>
          <w:tcPr>
            <w:tcW w:w="3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294.8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376.4</w:t>
            </w:r>
          </w:p>
        </w:tc>
      </w:tr>
      <w:tr>
        <w:trPr>
          <w:trHeight w:val="786"/>
        </w:trPr>
        <w:tc>
          <w:tcPr>
            <w:tcW w:w="3520" w:type="dxa"/>
            <w:vAlign w:val="bottom"/>
          </w:tcPr>
          <w:p>
            <w:pPr>
              <w:spacing w:after="0"/>
              <w:rPr>
                <w:sz w:val="24"/>
                <w:szCs w:val="24"/>
                <w:color w:val="auto"/>
              </w:rPr>
            </w:pPr>
          </w:p>
        </w:tc>
        <w:tc>
          <w:tcPr>
            <w:tcW w:w="3120" w:type="dxa"/>
            <w:vAlign w:val="bottom"/>
            <w:gridSpan w:val="2"/>
          </w:tcPr>
          <w:p>
            <w:pPr>
              <w:jc w:val="right"/>
              <w:ind w:right="860"/>
              <w:spacing w:after="0"/>
              <w:rPr>
                <w:sz w:val="20"/>
                <w:szCs w:val="20"/>
                <w:color w:val="auto"/>
              </w:rPr>
            </w:pPr>
            <w:r>
              <w:rPr>
                <w:rFonts w:ascii="Arial" w:cs="Arial" w:eastAsia="Arial" w:hAnsi="Arial"/>
                <w:sz w:val="17"/>
                <w:szCs w:val="17"/>
                <w:color w:val="auto"/>
              </w:rPr>
              <w:t>F-57</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750" w:right="339" w:bottom="1440" w:gutter="0" w:footer="0" w:header="0"/>
        </w:sectPr>
      </w:pPr>
    </w:p>
    <w:bookmarkStart w:id="296" w:name="page297"/>
    <w:bookmarkEnd w:id="296"/>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Komiko</w:t>
      </w:r>
    </w:p>
    <w:p>
      <w:pPr>
        <w:spacing w:after="0" w:line="171"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Contingent earnout payments</w:t>
            </w:r>
          </w:p>
        </w:tc>
        <w:tc>
          <w:tcPr>
            <w:tcW w:w="6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purchase consideration</w:t>
            </w:r>
          </w:p>
        </w:tc>
        <w:tc>
          <w:tcPr>
            <w:tcW w:w="68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0"/>
        </w:trPr>
        <w:tc>
          <w:tcPr>
            <w:tcW w:w="9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three months ended March 31, 2020, the Company recognized an additional liability of $1.0 relating to the Komiko contingent payments.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date of acquisition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Developed technology</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Unearned revenue</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Goodwill</w:t>
            </w:r>
          </w:p>
        </w:tc>
        <w:tc>
          <w:tcPr>
            <w:tcW w:w="64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6.3</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consideration</w:t>
            </w:r>
          </w:p>
        </w:tc>
        <w:tc>
          <w:tcPr>
            <w:tcW w:w="64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8.5</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Contingent Earnout Payments</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paid for acquisitions</w:t>
            </w:r>
          </w:p>
        </w:tc>
        <w:tc>
          <w:tcPr>
            <w:tcW w:w="6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8.3</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10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Developed technology represents the fair value of the Komiko technology portfolio. The goodwill balance is primarily attributed to the expanded market opportunities when integrating Komiko’s technology with ZoomInfo’s technology and the assembled workforce. The goodwill balance is expected to be deductible for U.S. income tax purposes.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Pre-Acquisition ZI</w:t>
      </w:r>
    </w:p>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1240"/>
          </w:cols>
          <w:pgMar w:left="320" w:top="331" w:right="339" w:bottom="1440" w:gutter="0" w:footer="0" w:header="0"/>
        </w:sectPr>
      </w:pPr>
    </w:p>
    <w:bookmarkStart w:id="297" w:name="page298"/>
    <w:bookmarkEnd w:id="297"/>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30"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has included the financial results of Pre-Acquisition ZI in the consolidated financial statements from the date of acquisition. The Company incurred approximately $2.7 million of transactions costs related to this acquisition which are included in Restructuring and transaction related expenses in the Consolidated statements of operations.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acquisition date fair value of the consideration paid by the Company for Pre-Acquisition ZI was $760.1 million, including cash acquired of $12.1 million, and was comprised of the following (in millions):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consideration</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667.3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Liability for equity award settlement</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25.2</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Portion of replacement awards attributable to pre-acquisition service</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27.9</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Other purchase consideration liabilities</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6.5</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consideration</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33.2</w:t>
            </w:r>
          </w:p>
        </w:tc>
      </w:tr>
      <w:tr>
        <w:trPr>
          <w:trHeight w:val="248"/>
        </w:trPr>
        <w:tc>
          <w:tcPr>
            <w:tcW w:w="9680" w:type="dxa"/>
            <w:vAlign w:val="bottom"/>
          </w:tcPr>
          <w:p>
            <w:pPr>
              <w:ind w:left="40"/>
              <w:spacing w:after="0"/>
              <w:rPr>
                <w:sz w:val="20"/>
                <w:szCs w:val="20"/>
                <w:color w:val="auto"/>
              </w:rPr>
            </w:pPr>
            <w:r>
              <w:rPr>
                <w:rFonts w:ascii="Arial" w:cs="Arial" w:eastAsia="Arial" w:hAnsi="Arial"/>
                <w:sz w:val="17"/>
                <w:szCs w:val="17"/>
                <w:color w:val="auto"/>
              </w:rPr>
              <w:t>Total purchase consideration</w:t>
            </w: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760.1</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 xml:space="preserve">In accordance with the purchase agreement, the Company agreed to pay deferred consideration of $25.0 million and $10.0 million on the first and second anniversary of the Pre-Acquisition ZI acquisition, respectively. As of March 31, 2020, $9.7 million is recorded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on the Company’s consolidated balance sheets representing the present value of the $10.0 deferred consideration to be paid in 2021. The fair value of the deferred consideration payments was determined using a present value calculation. The following table summarizes the fair values of the assets acquired and liabilities assumed, as of the date of acquisition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12.1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Accounts receivable</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22.1</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Prepaid expenses and other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4.2</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Property and equipment</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6.3</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28.6</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Intangible assets</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322.0</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payable and other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Lease liabilities</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Unearned revenue</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identifiable net assets acquired</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245.3</w:t>
            </w:r>
          </w:p>
        </w:tc>
      </w:tr>
      <w:tr>
        <w:trPr>
          <w:trHeight w:val="235"/>
        </w:trPr>
        <w:tc>
          <w:tcPr>
            <w:tcW w:w="9680" w:type="dxa"/>
            <w:vAlign w:val="bottom"/>
          </w:tcPr>
          <w:p>
            <w:pPr>
              <w:ind w:left="480"/>
              <w:spacing w:after="0"/>
              <w:rPr>
                <w:sz w:val="20"/>
                <w:szCs w:val="20"/>
                <w:color w:val="auto"/>
              </w:rPr>
            </w:pPr>
            <w:r>
              <w:rPr>
                <w:rFonts w:ascii="Arial" w:cs="Arial" w:eastAsia="Arial" w:hAnsi="Arial"/>
                <w:sz w:val="17"/>
                <w:szCs w:val="17"/>
                <w:color w:val="auto"/>
              </w:rPr>
              <w:t>Goodwill</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514.8</w:t>
            </w:r>
          </w:p>
        </w:tc>
      </w:tr>
      <w:tr>
        <w:trPr>
          <w:trHeight w:val="27"/>
        </w:trPr>
        <w:tc>
          <w:tcPr>
            <w:tcW w:w="96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consideration</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760.1</w:t>
            </w:r>
          </w:p>
        </w:tc>
      </w:tr>
      <w:tr>
        <w:trPr>
          <w:trHeight w:val="228"/>
        </w:trPr>
        <w:tc>
          <w:tcPr>
            <w:tcW w:w="9680" w:type="dxa"/>
            <w:vAlign w:val="bottom"/>
          </w:tcPr>
          <w:p>
            <w:pPr>
              <w:ind w:left="480"/>
              <w:spacing w:after="0"/>
              <w:rPr>
                <w:sz w:val="20"/>
                <w:szCs w:val="20"/>
                <w:color w:val="auto"/>
              </w:rPr>
            </w:pPr>
            <w:r>
              <w:rPr>
                <w:rFonts w:ascii="Arial" w:cs="Arial" w:eastAsia="Arial" w:hAnsi="Arial"/>
                <w:sz w:val="17"/>
                <w:szCs w:val="17"/>
                <w:color w:val="auto"/>
              </w:rPr>
              <w:t>Deferred consideration</w:t>
            </w: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(33.2)</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Cash acquired</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48"/>
        </w:trPr>
        <w:tc>
          <w:tcPr>
            <w:tcW w:w="9680" w:type="dxa"/>
            <w:vAlign w:val="bottom"/>
          </w:tcPr>
          <w:p>
            <w:pPr>
              <w:ind w:left="40"/>
              <w:spacing w:after="0"/>
              <w:rPr>
                <w:sz w:val="20"/>
                <w:szCs w:val="20"/>
                <w:color w:val="auto"/>
              </w:rPr>
            </w:pPr>
            <w:r>
              <w:rPr>
                <w:rFonts w:ascii="Arial" w:cs="Arial" w:eastAsia="Arial" w:hAnsi="Arial"/>
                <w:sz w:val="17"/>
                <w:szCs w:val="17"/>
                <w:color w:val="auto"/>
              </w:rPr>
              <w:t>Cash paid for acquisitions, net of cash acquired</w:t>
            </w:r>
          </w:p>
        </w:tc>
        <w:tc>
          <w:tcPr>
            <w:tcW w:w="5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714.8</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1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will be recognized as revenue over a period of approximately one year, which represents the period the related contracted services will be provided.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1240"/>
          </w:cols>
          <w:pgMar w:left="320" w:top="750" w:right="339" w:bottom="1440" w:gutter="0" w:footer="0" w:header="0"/>
        </w:sectPr>
      </w:pPr>
    </w:p>
    <w:bookmarkStart w:id="298" w:name="page299"/>
    <w:bookmarkEnd w:id="298"/>
    <w:p>
      <w:pPr>
        <w:spacing w:after="0"/>
        <w:rPr>
          <w:sz w:val="20"/>
          <w:szCs w:val="20"/>
          <w:color w:val="auto"/>
        </w:rPr>
      </w:pPr>
      <w:r>
        <w:rPr>
          <w:rFonts w:ascii="Arial" w:cs="Arial" w:eastAsia="Arial" w:hAnsi="Arial"/>
          <w:sz w:val="17"/>
          <w:szCs w:val="17"/>
          <w:b w:val="1"/>
          <w:bCs w:val="1"/>
          <w:color w:val="auto"/>
        </w:rPr>
        <w:t>Note 4 - Business Combinations (continued)</w:t>
      </w:r>
    </w:p>
    <w:p>
      <w:pPr>
        <w:spacing w:after="0" w:line="230" w:lineRule="exact"/>
        <w:rPr>
          <w:sz w:val="20"/>
          <w:szCs w:val="20"/>
          <w:color w:val="auto"/>
        </w:rPr>
      </w:pPr>
    </w:p>
    <w:p>
      <w:pPr>
        <w:jc w:val="both"/>
        <w:ind w:firstLine="314"/>
        <w:spacing w:after="0" w:line="305" w:lineRule="auto"/>
        <w:rPr>
          <w:sz w:val="20"/>
          <w:szCs w:val="20"/>
          <w:color w:val="auto"/>
        </w:rPr>
      </w:pPr>
      <w:r>
        <w:rPr>
          <w:rFonts w:ascii="Arial" w:cs="Arial" w:eastAsia="Arial" w:hAnsi="Arial"/>
          <w:sz w:val="15"/>
          <w:szCs w:val="15"/>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9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At the acquisition date, the potential value of future payments under the Cash Vesting Payment Program was $23.1 million to be paid to employees through 2022, assuming continued employment for each employee. The Company recognized $8.8 million of expense under the Cash Vesting Program for the year ended December 31, 2019. Based on the requirement for continued service, the cost related to payments under the Cash Vesting Payment Program, expense is recognized as compensation and reflected on the Statement of Operations in the same category as salary expense of the recipient.</w:t>
      </w:r>
    </w:p>
    <w:p>
      <w:pPr>
        <w:spacing w:after="0" w:line="10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following table sets forth the components of identifiable intangible assets acquired and the estimated useful lives as of the date of acquisition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 Useful</w:t>
            </w:r>
          </w:p>
        </w:tc>
        <w:tc>
          <w:tcPr>
            <w:tcW w:w="0" w:type="dxa"/>
            <w:vAlign w:val="bottom"/>
          </w:tcPr>
          <w:p>
            <w:pPr>
              <w:spacing w:after="0"/>
              <w:rPr>
                <w:sz w:val="1"/>
                <w:szCs w:val="1"/>
                <w:color w:val="auto"/>
              </w:rPr>
            </w:pPr>
          </w:p>
        </w:tc>
      </w:tr>
      <w:tr>
        <w:trPr>
          <w:trHeight w:val="188"/>
        </w:trPr>
        <w:tc>
          <w:tcPr>
            <w:tcW w:w="8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Brand portfolio</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28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7"/>
                <w:szCs w:val="17"/>
                <w:color w:val="auto"/>
              </w:rPr>
              <w:t>116.0</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1"/>
              </w:rPr>
              <w:t>5.8 years</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173.0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0"/>
              </w:rPr>
              <w:t>15.0 years</w:t>
            </w:r>
          </w:p>
        </w:tc>
        <w:tc>
          <w:tcPr>
            <w:tcW w:w="0" w:type="dxa"/>
            <w:vAlign w:val="bottom"/>
          </w:tcPr>
          <w:p>
            <w:pPr>
              <w:spacing w:after="0"/>
              <w:rPr>
                <w:sz w:val="1"/>
                <w:szCs w:val="1"/>
                <w:color w:val="auto"/>
              </w:rPr>
            </w:pPr>
          </w:p>
        </w:tc>
      </w:tr>
      <w:tr>
        <w:trPr>
          <w:trHeight w:val="248"/>
        </w:trPr>
        <w:tc>
          <w:tcPr>
            <w:tcW w:w="8000" w:type="dxa"/>
            <w:vAlign w:val="bottom"/>
          </w:tcPr>
          <w:p>
            <w:pPr>
              <w:ind w:left="260"/>
              <w:spacing w:after="0"/>
              <w:rPr>
                <w:sz w:val="20"/>
                <w:szCs w:val="20"/>
                <w:color w:val="auto"/>
              </w:rPr>
            </w:pPr>
            <w:r>
              <w:rPr>
                <w:rFonts w:ascii="Arial" w:cs="Arial" w:eastAsia="Arial" w:hAnsi="Arial"/>
                <w:sz w:val="17"/>
                <w:szCs w:val="17"/>
                <w:color w:val="auto"/>
              </w:rPr>
              <w:t>Total intangible assets</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322.0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ZoomInfo’s technology. The goodwill balance is not expected to be deductible for U.S. income tax purposes.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Property and Equipment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fixed assets consist of the following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w w:val="92"/>
              </w:rPr>
              <w:t>December 31,</w:t>
            </w:r>
          </w:p>
        </w:tc>
      </w:tr>
      <w:tr>
        <w:trPr>
          <w:trHeight w:val="242"/>
        </w:trPr>
        <w:tc>
          <w:tcPr>
            <w:tcW w:w="80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42"/>
        </w:trPr>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220" w:type="dxa"/>
            <w:vAlign w:val="bottom"/>
          </w:tcPr>
          <w:p>
            <w:pPr>
              <w:spacing w:after="0"/>
              <w:rPr>
                <w:sz w:val="21"/>
                <w:szCs w:val="2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4.1</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Furniture and fixtures</w:t>
            </w:r>
          </w:p>
        </w:tc>
        <w:tc>
          <w:tcPr>
            <w:tcW w:w="30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4.8</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Internal use developed software</w:t>
            </w:r>
          </w:p>
        </w:tc>
        <w:tc>
          <w:tcPr>
            <w:tcW w:w="30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19.7</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Construction in progress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0.9</w:t>
            </w:r>
          </w:p>
        </w:tc>
      </w:tr>
      <w:tr>
        <w:trPr>
          <w:trHeight w:val="228"/>
        </w:trPr>
        <w:tc>
          <w:tcPr>
            <w:tcW w:w="80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34.5</w:t>
            </w: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48"/>
        </w:trPr>
        <w:tc>
          <w:tcPr>
            <w:tcW w:w="800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23.3</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$1.9 million and $1.1 million for the three months ended March 31, 2020 and March 31, 2019, respectively.</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1240"/>
          </w:cols>
          <w:pgMar w:left="320" w:top="750" w:right="339" w:bottom="1440" w:gutter="0" w:footer="0" w:header="0"/>
        </w:sectPr>
      </w:pPr>
    </w:p>
    <w:bookmarkStart w:id="299" w:name="page300"/>
    <w:bookmarkEnd w:id="299"/>
    <w:p>
      <w:pPr>
        <w:spacing w:after="0"/>
        <w:rPr>
          <w:sz w:val="20"/>
          <w:szCs w:val="20"/>
          <w:color w:val="auto"/>
        </w:rPr>
      </w:pPr>
      <w:r>
        <w:rPr>
          <w:rFonts w:ascii="Arial" w:cs="Arial" w:eastAsia="Arial" w:hAnsi="Arial"/>
          <w:sz w:val="17"/>
          <w:szCs w:val="17"/>
          <w:b w:val="1"/>
          <w:bCs w:val="1"/>
          <w:color w:val="auto"/>
        </w:rPr>
        <w:t>Note 6 - Goodwill and Acquired Intangible Assets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consisted of the following as of March 31, 2020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12"/>
                <w:szCs w:val="12"/>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5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2"/>
              </w:rPr>
              <w:t>Amortization Period in</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4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subject to amortization:</w:t>
            </w: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jc w:val="right"/>
              <w:ind w:right="419"/>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268.6</w:t>
            </w:r>
          </w:p>
        </w:tc>
        <w:tc>
          <w:tcPr>
            <w:tcW w:w="1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20"/>
                <w:szCs w:val="20"/>
                <w:color w:val="auto"/>
              </w:rPr>
            </w:pP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229.6</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Acquired technology</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163.9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95.8</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Brand portfolio</w:t>
            </w:r>
          </w:p>
        </w:tc>
        <w:tc>
          <w:tcPr>
            <w:tcW w:w="60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2.0</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intangible assets subject to amortization</w:t>
            </w: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437.1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4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not subject to amortization</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620" w:type="dxa"/>
            <w:vAlign w:val="bottom"/>
          </w:tcPr>
          <w:p>
            <w:pPr>
              <w:ind w:left="260"/>
              <w:spacing w:after="0"/>
              <w:rPr>
                <w:sz w:val="20"/>
                <w:szCs w:val="20"/>
                <w:color w:val="auto"/>
              </w:rPr>
            </w:pPr>
            <w:r>
              <w:rPr>
                <w:rFonts w:ascii="Arial" w:cs="Arial" w:eastAsia="Arial" w:hAnsi="Arial"/>
                <w:sz w:val="17"/>
                <w:szCs w:val="17"/>
                <w:color w:val="auto"/>
              </w:rPr>
              <w:t>Pre-Acquisition ZI brand portfolio</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966.8</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$10.3 million and $9.2 million for the three months ended March 31, 2020 and March 31, 2019,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changes to the Company’s goodwill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December 31, 2019</w:t>
            </w: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966.8</w:t>
            </w: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Acquisition</w:t>
            </w:r>
          </w:p>
        </w:tc>
        <w:tc>
          <w:tcPr>
            <w:tcW w:w="58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9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5"/>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March 31, 2020</w:t>
            </w: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966.8</w:t>
            </w: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Based on the results of the Company’s impairment assessment, the Company did not recognize any impairment of goodwill during the three months ended March 31, 2020 or March 31, 2019.</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Financing Arrangements</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conjunction with the acquisition of Pre-Acquisition ZI on February 1, 2019, ZoomInfo raised $965 million of first lien debt (including a $100 million revolving credit facility), $370 million of second lien debt, and issued 51.8 million of Series A Preferred Units in exchange for $200.2 million, net of issuance costs. In addition to funding the purchase of Pre-Acquisition ZI, the proceeds were using to repay the Antares First Lien Term Loan, the Goldman Second Lien Term Loan, and the Subordinated Loan described below.</w:t>
      </w:r>
    </w:p>
    <w:p>
      <w:pPr>
        <w:spacing w:after="0" w:line="126"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On February 19, 2020, the Company completed a repricing of its First Lien Term Loan Facility in order to take advantage of currently available lower interest rates. The repricing decreases the interest rate by 50 basis points to LIBOR plus 4.00% per annum. The Company’s interest rate swap agreements are unaffected by this repricing and effectively fix the interest rate on the portion of the First Lien Term Loan Facility hedged by the interest rate swaps at 6.301%. The transaction did not include additional borrowings, and the maturity date of the financing arrangement remained unchanged. The Company recognized a $2.2 million loss on the extinguishment of debt relating to the write-off of unamortized issuance costs.</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first lien debt has a variable interest rate whereby the Company can elect to use a Base Rate or the London Interbank Offer Rate (“LIBOR”) plus an applicable rate. The applicable margin is 2.75% to 3.0% for Base Rate loans or 3.75% or 4.0% for LIBOR Based Loans, depending on the Company’s leverage. The first lien borrowings are to be repaid quarterly in the amount of $2.2 million with the final payment due on February 1, 2026. The effective interest rate on the first lien debt was 5.4% and 7.5% as of March 31, 2020 and December 31, 2019,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1240"/>
          </w:cols>
          <w:pgMar w:left="320" w:top="331" w:right="339" w:bottom="1440" w:gutter="0" w:footer="0" w:header="0"/>
        </w:sectPr>
      </w:pPr>
    </w:p>
    <w:bookmarkStart w:id="300" w:name="page301"/>
    <w:bookmarkEnd w:id="300"/>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30"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 xml:space="preserve">On March 25th, 2020, the Company drew down $35.0 million under the revolving credit facility. Any outstanding borrowings under the revolving credit facility must be repaid by February 1, 2024.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7"/>
          <w:szCs w:val="17"/>
          <w:i w:val="1"/>
          <w:iCs w:val="1"/>
          <w:color w:val="auto"/>
        </w:rPr>
        <w:t>Deferred costs,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 of current portion </w:t>
      </w:r>
      <w:r>
        <w:rPr>
          <w:rFonts w:ascii="Arial" w:cs="Arial" w:eastAsia="Arial" w:hAnsi="Arial"/>
          <w:sz w:val="17"/>
          <w:szCs w:val="17"/>
          <w:color w:val="auto"/>
        </w:rPr>
        <w:t>on the accompanying consolidated balance sheets were immaterial as of March 31, 2020 and December 31, 2019, respectively.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interest rate on the revolving credit facility was 5.0% as of March 31, 2020.</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second lien debt has a variable interest rate whereby the Company can elect to use a Base Rate or LIBOR plus an applicable rate. The applicable rate is 7.5% for Base Rate loans or 8.5% for LIBOR Based Loans. The second lien borrowings must be repaid on February 1, 2027. Under certain conditions, the Company will owe a prepayment penalty of 1%, if the Company repays the loans before February 1, 2021. The effective interest rate on the second lien debt was 10.4% and 11.9% as of March 31, 2020 and December 31, 2019, respectively.</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first and second lien credit agreements are secured by substantially all the productive assets of the Company. The first and second lien credit agreement contains a number of covenants that restrict, subject to certain exceptions, the Company’s ability to, among other things:</w:t>
      </w:r>
    </w:p>
    <w:p>
      <w:pPr>
        <w:spacing w:after="0" w:line="106" w:lineRule="exact"/>
        <w:rPr>
          <w:sz w:val="20"/>
          <w:szCs w:val="20"/>
          <w:color w:val="auto"/>
        </w:rPr>
      </w:pPr>
    </w:p>
    <w:p>
      <w:pPr>
        <w:ind w:left="640" w:hanging="321"/>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71"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If the Company draws more than 35% of the revolving credit loan, the revolving credit loan is subject to a springing financial covenant pursuant to which the consolidated first lien net leverage ratio must not exceed 7.65 to 1.00. The credit agreements also contains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0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Series A Preferred Units have preference with respect to cash flows generated by ZoomInfo and will receive proceeds from future distributions on a preferential basis for the value of the preferred plus accrued but unpaid interest at an annual rate of 15%. Refer to Note 12 for additional discussion regarding Series A Preferred Units.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1240"/>
          </w:cols>
          <w:pgMar w:left="320" w:top="750" w:right="339" w:bottom="1440" w:gutter="0" w:footer="0" w:header="0"/>
        </w:sectPr>
      </w:pPr>
    </w:p>
    <w:bookmarkStart w:id="301" w:name="page302"/>
    <w:bookmarkEnd w:id="301"/>
    <w:p>
      <w:pPr>
        <w:spacing w:after="0"/>
        <w:rPr>
          <w:sz w:val="20"/>
          <w:szCs w:val="20"/>
          <w:color w:val="auto"/>
        </w:rPr>
      </w:pPr>
      <w:r>
        <w:rPr>
          <w:rFonts w:ascii="Arial" w:cs="Arial" w:eastAsia="Arial" w:hAnsi="Arial"/>
          <w:sz w:val="17"/>
          <w:szCs w:val="17"/>
          <w:b w:val="1"/>
          <w:bCs w:val="1"/>
          <w:color w:val="auto"/>
        </w:rPr>
        <w:t>Note 7 - Financing Arrangements (continued)</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March 31, 2020 and December 31, 2019, the carrying values of the Company’s borrowings were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Instrument</w:t>
            </w:r>
          </w:p>
        </w:tc>
        <w:tc>
          <w:tcPr>
            <w:tcW w:w="12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Date of Issuance</w:t>
            </w:r>
          </w:p>
        </w:tc>
        <w:tc>
          <w:tcPr>
            <w:tcW w:w="120" w:type="dxa"/>
            <w:vAlign w:val="bottom"/>
            <w:vMerge w:val="restart"/>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12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Elected Interest Rate</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 as of</w:t>
            </w:r>
          </w:p>
        </w:tc>
        <w:tc>
          <w:tcPr>
            <w:tcW w:w="120" w:type="dxa"/>
            <w:vAlign w:val="bottom"/>
          </w:tcPr>
          <w:p>
            <w:pPr>
              <w:spacing w:after="0"/>
              <w:rPr>
                <w:sz w:val="14"/>
                <w:szCs w:val="14"/>
                <w:color w:val="auto"/>
              </w:rPr>
            </w:pPr>
          </w:p>
        </w:tc>
        <w:tc>
          <w:tcPr>
            <w:tcW w:w="134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Carrying value as of</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4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First Lien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1, 2026</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LIBOR + 4.0%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841.5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841.6</w:t>
            </w:r>
          </w:p>
        </w:tc>
        <w:tc>
          <w:tcPr>
            <w:tcW w:w="0" w:type="dxa"/>
            <w:vAlign w:val="bottom"/>
          </w:tcPr>
          <w:p>
            <w:pPr>
              <w:spacing w:after="0"/>
              <w:rPr>
                <w:sz w:val="1"/>
                <w:szCs w:val="1"/>
                <w:color w:val="auto"/>
              </w:rPr>
            </w:pPr>
          </w:p>
        </w:tc>
      </w:tr>
      <w:tr>
        <w:trPr>
          <w:trHeight w:val="235"/>
        </w:trPr>
        <w:tc>
          <w:tcPr>
            <w:tcW w:w="2160" w:type="dxa"/>
            <w:vAlign w:val="bottom"/>
            <w:gridSpan w:val="2"/>
          </w:tcPr>
          <w:p>
            <w:pPr>
              <w:ind w:left="40"/>
              <w:spacing w:after="0"/>
              <w:rPr>
                <w:sz w:val="20"/>
                <w:szCs w:val="20"/>
                <w:color w:val="auto"/>
              </w:rPr>
            </w:pPr>
            <w:r>
              <w:rPr>
                <w:rFonts w:ascii="Arial" w:cs="Arial" w:eastAsia="Arial" w:hAnsi="Arial"/>
                <w:sz w:val="17"/>
                <w:szCs w:val="17"/>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February 1, 2024</w:t>
            </w:r>
          </w:p>
        </w:tc>
        <w:tc>
          <w:tcPr>
            <w:tcW w:w="202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LIBOR + 4.0%</w:t>
            </w:r>
          </w:p>
        </w:tc>
        <w:tc>
          <w:tcPr>
            <w:tcW w:w="10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35.0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Second Lien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February 1, 2019</w:t>
            </w: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2"/>
              </w:rPr>
              <w:t>February 1, 2027</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LIBOR + 8.5%</w:t>
            </w:r>
          </w:p>
        </w:tc>
        <w:tc>
          <w:tcPr>
            <w:tcW w:w="1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362.3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361.7</w:t>
            </w: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ind w:left="40"/>
              <w:spacing w:after="0"/>
              <w:rPr>
                <w:sz w:val="20"/>
                <w:szCs w:val="20"/>
                <w:color w:val="auto"/>
              </w:rPr>
            </w:pPr>
            <w:r>
              <w:rPr>
                <w:rFonts w:ascii="Arial" w:cs="Arial" w:eastAsia="Arial" w:hAnsi="Arial"/>
                <w:sz w:val="17"/>
                <w:szCs w:val="17"/>
                <w:color w:val="auto"/>
              </w:rPr>
              <w:t>Total Carrying Value of</w:t>
            </w: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gridSpan w:val="2"/>
            <w:vMerge w:val="continue"/>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160" w:type="dxa"/>
            <w:vAlign w:val="bottom"/>
            <w:gridSpan w:val="2"/>
          </w:tcPr>
          <w:p>
            <w:pPr>
              <w:ind w:left="180"/>
              <w:spacing w:after="0"/>
              <w:rPr>
                <w:sz w:val="20"/>
                <w:szCs w:val="20"/>
                <w:color w:val="auto"/>
              </w:rPr>
            </w:pPr>
            <w:r>
              <w:rPr>
                <w:rFonts w:ascii="Arial" w:cs="Arial" w:eastAsia="Arial" w:hAnsi="Arial"/>
                <w:sz w:val="17"/>
                <w:szCs w:val="17"/>
                <w:color w:val="auto"/>
              </w:rPr>
              <w:t>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1,238.8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1,203.3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less current portion</w:t>
            </w:r>
          </w:p>
        </w:tc>
        <w:tc>
          <w:tcPr>
            <w:tcW w:w="1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48"/>
        </w:trPr>
        <w:tc>
          <w:tcPr>
            <w:tcW w:w="2160" w:type="dxa"/>
            <w:vAlign w:val="bottom"/>
            <w:gridSpan w:val="2"/>
          </w:tcPr>
          <w:p>
            <w:pPr>
              <w:ind w:left="40"/>
              <w:spacing w:after="0"/>
              <w:rPr>
                <w:sz w:val="20"/>
                <w:szCs w:val="20"/>
                <w:color w:val="auto"/>
              </w:rPr>
            </w:pPr>
            <w:r>
              <w:rPr>
                <w:rFonts w:ascii="Arial" w:cs="Arial" w:eastAsia="Arial" w:hAnsi="Arial"/>
                <w:sz w:val="17"/>
                <w:szCs w:val="17"/>
                <w:color w:val="auto"/>
              </w:rPr>
              <w:t>Total Long Term Debt</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1,230.1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1,194.6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expected future principal payments for all borrowings as of March 31, 2020 is as follows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Maturity</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Discounts and Issuance</w:t>
            </w:r>
          </w:p>
        </w:tc>
        <w:tc>
          <w:tcPr>
            <w:tcW w:w="260" w:type="dxa"/>
            <w:vAlign w:val="bottom"/>
          </w:tcPr>
          <w:p>
            <w:pPr>
              <w:spacing w:after="0"/>
              <w:rPr>
                <w:sz w:val="14"/>
                <w:szCs w:val="14"/>
                <w:color w:val="auto"/>
              </w:rPr>
            </w:pPr>
          </w:p>
        </w:tc>
        <w:tc>
          <w:tcPr>
            <w:tcW w:w="13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As Presented</w:t>
            </w:r>
          </w:p>
        </w:tc>
        <w:tc>
          <w:tcPr>
            <w:tcW w:w="0" w:type="dxa"/>
            <w:vAlign w:val="bottom"/>
          </w:tcPr>
          <w:p>
            <w:pPr>
              <w:spacing w:after="0"/>
              <w:rPr>
                <w:sz w:val="1"/>
                <w:szCs w:val="1"/>
                <w:color w:val="auto"/>
              </w:rPr>
            </w:pPr>
          </w:p>
        </w:tc>
      </w:tr>
      <w:tr>
        <w:trPr>
          <w:trHeight w:val="188"/>
        </w:trPr>
        <w:tc>
          <w:tcPr>
            <w:tcW w:w="28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Costs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For the year ended December 31,</w:t>
            </w:r>
          </w:p>
        </w:tc>
        <w:tc>
          <w:tcPr>
            <w:tcW w:w="34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2020</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480" w:type="dxa"/>
            <w:vAlign w:val="bottom"/>
          </w:tcPr>
          <w:p>
            <w:pPr>
              <w:ind w:left="480"/>
              <w:spacing w:after="0"/>
              <w:rPr>
                <w:sz w:val="20"/>
                <w:szCs w:val="20"/>
                <w:color w:val="auto"/>
              </w:rPr>
            </w:pPr>
            <w:r>
              <w:rPr>
                <w:rFonts w:ascii="Arial" w:cs="Arial" w:eastAsia="Arial" w:hAnsi="Arial"/>
                <w:sz w:val="17"/>
                <w:szCs w:val="17"/>
                <w:color w:val="auto"/>
              </w:rPr>
              <w:t>2021</w:t>
            </w:r>
          </w:p>
        </w:tc>
        <w:tc>
          <w:tcPr>
            <w:tcW w:w="14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8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480" w:type="dxa"/>
            <w:vAlign w:val="bottom"/>
          </w:tcPr>
          <w:p>
            <w:pPr>
              <w:ind w:left="48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8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5"/>
        </w:trPr>
        <w:tc>
          <w:tcPr>
            <w:tcW w:w="2820" w:type="dxa"/>
            <w:vAlign w:val="bottom"/>
          </w:tcPr>
          <w:p>
            <w:pPr>
              <w:spacing w:after="0"/>
              <w:rPr>
                <w:sz w:val="20"/>
                <w:szCs w:val="20"/>
                <w:color w:val="auto"/>
              </w:rPr>
            </w:pPr>
          </w:p>
        </w:tc>
        <w:tc>
          <w:tcPr>
            <w:tcW w:w="3480" w:type="dxa"/>
            <w:vAlign w:val="bottom"/>
          </w:tcPr>
          <w:p>
            <w:pPr>
              <w:ind w:left="480"/>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Arial" w:cs="Arial" w:eastAsia="Arial" w:hAnsi="Arial"/>
                <w:sz w:val="17"/>
                <w:szCs w:val="17"/>
                <w:color w:val="auto"/>
              </w:rPr>
              <w:t>1,220.1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1,219.8</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82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1,261.4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1,238.8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Derivatives and Hedging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 Accounting and Hedging Programs</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We are exposed to changes in interest rates, primarily relating to changes in interest rates as a result of our term loans, which have variable interest rates. Consequently, from time to time, we may use interest rate swaps or other financial instruments to manage our exposure to interest rate movements. We do not enter into derivative transactions for speculative or trading purposes.</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10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In April 2019, we entered into two separate interest rate swap agreements effectively converting $350 million of floating rate debt under our first lien credit facility to fixed rate obligations. In April 2019, we also entered into a $500 million interest rate cap. These agreements have been designated and qualify as cash flow hedging instruments and, as such, changes in the fair value are recorded in accumulated other comprehensive income (loss) on our consolidated balance sheets to the extent the agreements are effective hedges.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1240"/>
          </w:cols>
          <w:pgMar w:left="320" w:top="750" w:right="339" w:bottom="1440" w:gutter="0" w:footer="0" w:header="0"/>
        </w:sectPr>
      </w:pPr>
    </w:p>
    <w:bookmarkStart w:id="302" w:name="page303"/>
    <w:bookmarkEnd w:id="302"/>
    <w:p>
      <w:pPr>
        <w:spacing w:after="0"/>
        <w:rPr>
          <w:sz w:val="20"/>
          <w:szCs w:val="20"/>
          <w:color w:val="auto"/>
        </w:rPr>
      </w:pPr>
      <w:r>
        <w:rPr>
          <w:rFonts w:ascii="Arial" w:cs="Arial" w:eastAsia="Arial" w:hAnsi="Arial"/>
          <w:sz w:val="17"/>
          <w:szCs w:val="17"/>
          <w:b w:val="1"/>
          <w:bCs w:val="1"/>
          <w:color w:val="auto"/>
        </w:rPr>
        <w:t>Note 8 - Derivatives and Hedging Activities (continued)</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March 31, 2020, the Company had the following outstanding interest rate derivatives that were designated as cash flow hedges of interest rate risk:</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 Derivatives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Instruments</w:t>
            </w:r>
          </w:p>
        </w:tc>
        <w:tc>
          <w:tcPr>
            <w:tcW w:w="100" w:type="dxa"/>
            <w:vAlign w:val="bottom"/>
            <w:vMerge w:val="restart"/>
          </w:tcPr>
          <w:p>
            <w:pPr>
              <w:spacing w:after="0"/>
              <w:rPr>
                <w:sz w:val="14"/>
                <w:szCs w:val="14"/>
                <w:color w:val="auto"/>
              </w:rPr>
            </w:pPr>
          </w:p>
        </w:tc>
        <w:tc>
          <w:tcPr>
            <w:tcW w:w="190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Notional Aggregate Principal</w:t>
            </w:r>
          </w:p>
        </w:tc>
        <w:tc>
          <w:tcPr>
            <w:tcW w:w="18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Interest Cap / Swap Rate</w:t>
            </w:r>
          </w:p>
        </w:tc>
        <w:tc>
          <w:tcPr>
            <w:tcW w:w="100" w:type="dxa"/>
            <w:vAlign w:val="bottom"/>
            <w:vMerge w:val="restart"/>
          </w:tcPr>
          <w:p>
            <w:pPr>
              <w:spacing w:after="0"/>
              <w:rPr>
                <w:sz w:val="14"/>
                <w:szCs w:val="14"/>
                <w:color w:val="auto"/>
              </w:rPr>
            </w:pPr>
          </w:p>
        </w:tc>
        <w:tc>
          <w:tcPr>
            <w:tcW w:w="18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8"/>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Interest rate cap contract</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6"/>
              </w:rPr>
              <w:t>One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w w:val="97"/>
              </w:rPr>
              <w:t>April 30, 2024</w:t>
            </w:r>
          </w:p>
        </w:tc>
        <w:tc>
          <w:tcPr>
            <w:tcW w:w="0" w:type="dxa"/>
            <w:vAlign w:val="bottom"/>
          </w:tcPr>
          <w:p>
            <w:pPr>
              <w:spacing w:after="0"/>
              <w:rPr>
                <w:sz w:val="1"/>
                <w:szCs w:val="1"/>
                <w:color w:val="auto"/>
              </w:rPr>
            </w:pPr>
          </w:p>
        </w:tc>
      </w:tr>
      <w:tr>
        <w:trPr>
          <w:trHeight w:val="235"/>
        </w:trPr>
        <w:tc>
          <w:tcPr>
            <w:tcW w:w="3680" w:type="dxa"/>
            <w:vAlign w:val="bottom"/>
            <w:gridSpan w:val="2"/>
          </w:tcPr>
          <w:p>
            <w:pPr>
              <w:ind w:left="40"/>
              <w:spacing w:after="0"/>
              <w:rPr>
                <w:sz w:val="20"/>
                <w:szCs w:val="20"/>
                <w:color w:val="auto"/>
              </w:rPr>
            </w:pPr>
            <w:r>
              <w:rPr>
                <w:rFonts w:ascii="Arial" w:cs="Arial" w:eastAsia="Arial" w:hAnsi="Arial"/>
                <w:sz w:val="17"/>
                <w:szCs w:val="17"/>
                <w:color w:val="auto"/>
              </w:rPr>
              <w:t>Interest rate swap contracts</w:t>
            </w: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Two</w:t>
            </w:r>
          </w:p>
        </w:tc>
        <w:tc>
          <w:tcPr>
            <w:tcW w:w="380" w:type="dxa"/>
            <w:vAlign w:val="bottom"/>
          </w:tcPr>
          <w:p>
            <w:pPr>
              <w:ind w:left="4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9"/>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2.301%</w:t>
            </w:r>
          </w:p>
        </w:tc>
        <w:tc>
          <w:tcPr>
            <w:tcW w:w="100" w:type="dxa"/>
            <w:vAlign w:val="bottom"/>
          </w:tcPr>
          <w:p>
            <w:pPr>
              <w:spacing w:after="0"/>
              <w:rPr>
                <w:sz w:val="20"/>
                <w:szCs w:val="20"/>
                <w:color w:val="auto"/>
              </w:rPr>
            </w:pPr>
          </w:p>
        </w:tc>
        <w:tc>
          <w:tcPr>
            <w:tcW w:w="1800" w:type="dxa"/>
            <w:vAlign w:val="bottom"/>
          </w:tcPr>
          <w:p>
            <w:pPr>
              <w:ind w:left="760"/>
              <w:spacing w:after="0"/>
              <w:rPr>
                <w:sz w:val="20"/>
                <w:szCs w:val="20"/>
                <w:color w:val="auto"/>
              </w:rPr>
            </w:pPr>
            <w:r>
              <w:rPr>
                <w:rFonts w:ascii="Arial" w:cs="Arial" w:eastAsia="Arial" w:hAnsi="Arial"/>
                <w:sz w:val="17"/>
                <w:szCs w:val="17"/>
                <w:color w:val="auto"/>
                <w:w w:val="97"/>
              </w:rPr>
              <w:t>April 29, 2022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the fair value and presentation in the Consolidated Balance Sheets for derivatives as of March 31, 2020 (in millions):</w:t>
      </w:r>
    </w:p>
    <w:p>
      <w:pPr>
        <w:sectPr>
          <w:pgSz w:w="11900" w:h="16838" w:orient="portrait"/>
          <w:cols w:equalWidth="0" w:num="1">
            <w:col w:w="11240"/>
          </w:cols>
          <w:pgMar w:left="320" w:top="7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600"/>
        <w:spacing w:after="0"/>
        <w:rPr>
          <w:sz w:val="20"/>
          <w:szCs w:val="20"/>
          <w:color w:val="auto"/>
        </w:rPr>
      </w:pPr>
      <w:r>
        <w:rPr>
          <w:rFonts w:ascii="Arial" w:cs="Arial" w:eastAsia="Arial" w:hAnsi="Arial"/>
          <w:sz w:val="12"/>
          <w:szCs w:val="12"/>
          <w:b w:val="1"/>
          <w:bCs w:val="1"/>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44246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424680" cy="825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portion of long-term debt</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long-term liabilities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Accumulated other comprehensive loss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Unrealized Gains (Losses) Recognized in Other Comprehensive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365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36520"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0" w:type="dxa"/>
            <w:vAlign w:val="bottom"/>
          </w:tcPr>
          <w:p>
            <w:pPr>
              <w:spacing w:after="0"/>
              <w:rPr>
                <w:sz w:val="16"/>
                <w:szCs w:val="16"/>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6"/>
                <w:szCs w:val="16"/>
                <w:color w:val="auto"/>
              </w:rPr>
            </w:pPr>
          </w:p>
        </w:tc>
        <w:tc>
          <w:tcPr>
            <w:tcW w:w="174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 2019</w:t>
            </w:r>
          </w:p>
        </w:tc>
      </w:tr>
      <w:tr>
        <w:trPr>
          <w:trHeight w:val="234"/>
        </w:trPr>
        <w:tc>
          <w:tcPr>
            <w:tcW w:w="320" w:type="dxa"/>
            <w:vAlign w:val="bottom"/>
            <w:tcBorders>
              <w:top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7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2.6</w:t>
            </w:r>
          </w:p>
        </w:tc>
      </w:tr>
      <w:tr>
        <w:trPr>
          <w:trHeight w:val="262"/>
        </w:trPr>
        <w:tc>
          <w:tcPr>
            <w:tcW w:w="32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740" w:type="dxa"/>
            <w:vAlign w:val="bottom"/>
          </w:tcPr>
          <w:p>
            <w:pPr>
              <w:jc w:val="right"/>
              <w:ind w:right="17"/>
              <w:spacing w:after="0"/>
              <w:rPr>
                <w:sz w:val="20"/>
                <w:szCs w:val="20"/>
                <w:color w:val="auto"/>
              </w:rPr>
            </w:pPr>
            <w:r>
              <w:rPr>
                <w:rFonts w:ascii="Arial" w:cs="Arial" w:eastAsia="Arial" w:hAnsi="Arial"/>
                <w:sz w:val="17"/>
                <w:szCs w:val="17"/>
                <w:color w:val="auto"/>
              </w:rPr>
              <w:t>3.4</w:t>
            </w:r>
          </w:p>
        </w:tc>
      </w:tr>
      <w:tr>
        <w:trPr>
          <w:trHeight w:val="27"/>
        </w:trPr>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8"/>
        </w:trPr>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ind w:right="17"/>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17"/>
              <w:spacing w:after="0"/>
              <w:rPr>
                <w:sz w:val="20"/>
                <w:szCs w:val="20"/>
                <w:color w:val="auto"/>
              </w:rPr>
            </w:pPr>
            <w:r>
              <w:rPr>
                <w:rFonts w:ascii="Arial" w:cs="Arial" w:eastAsia="Arial" w:hAnsi="Arial"/>
                <w:sz w:val="17"/>
                <w:szCs w:val="17"/>
                <w:color w:val="auto"/>
              </w:rPr>
              <w:t>6.0</w:t>
            </w:r>
          </w:p>
        </w:tc>
      </w:tr>
      <w:tr>
        <w:trPr>
          <w:trHeight w:val="27"/>
        </w:trPr>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-198755</wp:posOffset>
            </wp:positionV>
            <wp:extent cx="7136130" cy="182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182880"/>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-539750</wp:posOffset>
            </wp:positionV>
            <wp:extent cx="7136130" cy="1746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174625"/>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6380" w:space="720"/>
            <w:col w:w="4140"/>
          </w:cols>
          <w:pgMar w:left="320" w:top="750" w:right="339" w:bottom="1440" w:gutter="0" w:footer="0" w:header="0"/>
          <w:type w:val="continuous"/>
        </w:sectPr>
      </w:pPr>
    </w:p>
    <w:p>
      <w:pPr>
        <w:jc w:val="both"/>
        <w:ind w:firstLine="314"/>
        <w:spacing w:after="0" w:line="273" w:lineRule="auto"/>
        <w:rPr>
          <w:sz w:val="20"/>
          <w:szCs w:val="20"/>
          <w:color w:val="auto"/>
        </w:rPr>
      </w:pPr>
      <w:r>
        <w:rPr>
          <w:rFonts w:ascii="Arial" w:cs="Arial" w:eastAsia="Arial" w:hAnsi="Arial"/>
          <w:sz w:val="17"/>
          <w:szCs w:val="17"/>
          <w:color w:val="auto"/>
        </w:rPr>
        <w:t>In the period that the hedged item affects earnings, such as when interest payments are made on the Company’s variable-rate debt, we reclassify the related gain or loss on the interest rate swap cash flow hedges to interest expense and as operating cash flows in our Consolidated Statements of Cash Flows. Any ineffectiveness in our hedging relationships would be recognized immediately in as interest expense.</w:t>
      </w:r>
    </w:p>
    <w:p>
      <w:pPr>
        <w:spacing w:after="0" w:line="11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Amounts reclassified from accumulated other comprehensive loss into earnings related to the Company’s derivative instruments designated as cash flow hedging instruments for each of the reporting periods was not material.</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Following are the disclosures related to our assets and (liabilities) that are measured at fair value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at March 31, 2020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3</w:t>
            </w:r>
          </w:p>
        </w:tc>
      </w:tr>
      <w:tr>
        <w:trPr>
          <w:trHeight w:val="24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Measured on a recurring basis: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6300" w:type="dxa"/>
            <w:vAlign w:val="bottom"/>
            <w:gridSpan w:val="2"/>
          </w:tcPr>
          <w:p>
            <w:pPr>
              <w:ind w:left="40"/>
              <w:spacing w:after="0"/>
              <w:rPr>
                <w:sz w:val="20"/>
                <w:szCs w:val="20"/>
                <w:color w:val="auto"/>
              </w:rPr>
            </w:pPr>
            <w:r>
              <w:rPr>
                <w:rFonts w:ascii="Arial" w:cs="Arial" w:eastAsia="Arial" w:hAnsi="Arial"/>
                <w:sz w:val="17"/>
                <w:szCs w:val="17"/>
                <w:color w:val="auto"/>
              </w:rPr>
              <w:t>Derivative contract, net</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5"/>
        </w:trPr>
        <w:tc>
          <w:tcPr>
            <w:tcW w:w="6300" w:type="dxa"/>
            <w:vAlign w:val="bottom"/>
            <w:gridSpan w:val="2"/>
          </w:tcPr>
          <w:p>
            <w:pPr>
              <w:ind w:left="40"/>
              <w:spacing w:after="0"/>
              <w:rPr>
                <w:sz w:val="20"/>
                <w:szCs w:val="20"/>
                <w:color w:val="auto"/>
              </w:rPr>
            </w:pPr>
            <w:r>
              <w:rPr>
                <w:rFonts w:ascii="Arial" w:cs="Arial" w:eastAsia="Arial" w:hAnsi="Arial"/>
                <w:sz w:val="17"/>
                <w:szCs w:val="17"/>
                <w:b w:val="1"/>
                <w:bCs w:val="1"/>
                <w:color w:val="auto"/>
              </w:rPr>
              <w:t>Measured on a non-recurring basis: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6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545"/>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Fair Value at December 31, 2019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Level 3</w:t>
            </w:r>
          </w:p>
        </w:tc>
      </w:tr>
      <w:tr>
        <w:trPr>
          <w:trHeight w:val="24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Measured on a recurring basis: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5"/>
        </w:trPr>
        <w:tc>
          <w:tcPr>
            <w:tcW w:w="6300" w:type="dxa"/>
            <w:vAlign w:val="bottom"/>
            <w:gridSpan w:val="2"/>
          </w:tcPr>
          <w:p>
            <w:pPr>
              <w:ind w:left="40"/>
              <w:spacing w:after="0"/>
              <w:rPr>
                <w:sz w:val="20"/>
                <w:szCs w:val="20"/>
                <w:color w:val="auto"/>
              </w:rPr>
            </w:pPr>
            <w:r>
              <w:rPr>
                <w:rFonts w:ascii="Arial" w:cs="Arial" w:eastAsia="Arial" w:hAnsi="Arial"/>
                <w:sz w:val="17"/>
                <w:szCs w:val="17"/>
                <w:color w:val="auto"/>
              </w:rPr>
              <w:t>Derivative contract, net</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7"/>
        </w:trPr>
        <w:tc>
          <w:tcPr>
            <w:tcW w:w="6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3"/>
        </w:trPr>
        <w:tc>
          <w:tcPr>
            <w:tcW w:w="6300" w:type="dxa"/>
            <w:vAlign w:val="bottom"/>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35"/>
        </w:trPr>
        <w:tc>
          <w:tcPr>
            <w:tcW w:w="6300" w:type="dxa"/>
            <w:vAlign w:val="bottom"/>
            <w:gridSpan w:val="2"/>
          </w:tcPr>
          <w:p>
            <w:pPr>
              <w:ind w:left="40"/>
              <w:spacing w:after="0"/>
              <w:rPr>
                <w:sz w:val="20"/>
                <w:szCs w:val="20"/>
                <w:color w:val="auto"/>
              </w:rPr>
            </w:pPr>
            <w:r>
              <w:rPr>
                <w:rFonts w:ascii="Arial" w:cs="Arial" w:eastAsia="Arial" w:hAnsi="Arial"/>
                <w:sz w:val="17"/>
                <w:szCs w:val="17"/>
                <w:b w:val="1"/>
                <w:bCs w:val="1"/>
                <w:color w:val="auto"/>
              </w:rPr>
              <w:t>Measured on a non-recurring basis: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3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Impaired right-of-use assets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w:t>
            </w:r>
          </w:p>
        </w:tc>
      </w:tr>
      <w:tr>
        <w:trPr>
          <w:trHeight w:val="366"/>
        </w:trPr>
        <w:tc>
          <w:tcPr>
            <w:tcW w:w="6300" w:type="dxa"/>
            <w:vAlign w:val="bottom"/>
            <w:gridSpan w:val="2"/>
          </w:tcPr>
          <w:p>
            <w:pPr>
              <w:spacing w:after="0"/>
              <w:rPr>
                <w:sz w:val="20"/>
                <w:szCs w:val="20"/>
                <w:color w:val="auto"/>
              </w:rPr>
            </w:pPr>
            <w:r>
              <w:rPr>
                <w:rFonts w:ascii="Arial" w:cs="Arial" w:eastAsia="Arial" w:hAnsi="Arial"/>
                <w:sz w:val="17"/>
                <w:szCs w:val="17"/>
                <w:b w:val="1"/>
                <w:bCs w:val="1"/>
                <w:color w:val="auto"/>
              </w:rPr>
              <w:t>Note 9 - Commitments and Contingencies</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139" w:lineRule="exact"/>
        <w:rPr>
          <w:sz w:val="20"/>
          <w:szCs w:val="20"/>
          <w:color w:val="auto"/>
        </w:rPr>
      </w:pPr>
    </w:p>
    <w:p>
      <w:pPr>
        <w:jc w:val="both"/>
        <w:ind w:firstLine="314"/>
        <w:spacing w:after="0" w:line="329" w:lineRule="auto"/>
        <w:rPr>
          <w:sz w:val="20"/>
          <w:szCs w:val="20"/>
          <w:color w:val="auto"/>
        </w:rPr>
      </w:pPr>
      <w:r>
        <w:rPr>
          <w:rFonts w:ascii="Arial" w:cs="Arial" w:eastAsia="Arial" w:hAnsi="Arial"/>
          <w:sz w:val="15"/>
          <w:szCs w:val="15"/>
          <w:b w:val="1"/>
          <w:bCs w:val="1"/>
          <w:color w:val="auto"/>
        </w:rPr>
        <w:t xml:space="preserve">Sales and use tax </w:t>
      </w:r>
      <w:r>
        <w:rPr>
          <w:rFonts w:ascii="Arial" w:cs="Arial" w:eastAsia="Arial" w:hAnsi="Arial"/>
          <w:sz w:val="15"/>
          <w:szCs w:val="15"/>
          <w:color w:val="auto"/>
        </w:rPr>
        <w:t>- The Company has conducted an assessment of sales and use tax exposure in states where the Company has established nexus.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assessment, the Company has recorded a liability for taxes owed and related penalties and interest in the amount of $1.7 million and $2.1 million at March 31, 2020 and December 31, 2019, respectively. This liability is included 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xml:space="preserve"> in the consolidated balance sheets.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1240"/>
          </w:cols>
          <w:pgMar w:left="320" w:top="750" w:right="339" w:bottom="1440" w:gutter="0" w:footer="0" w:header="0"/>
          <w:type w:val="continuous"/>
        </w:sectPr>
      </w:pPr>
    </w:p>
    <w:bookmarkStart w:id="303" w:name="page304"/>
    <w:bookmarkEnd w:id="303"/>
    <w:p>
      <w:pPr>
        <w:spacing w:after="0"/>
        <w:rPr>
          <w:sz w:val="20"/>
          <w:szCs w:val="20"/>
          <w:color w:val="auto"/>
        </w:rPr>
      </w:pPr>
      <w:r>
        <w:rPr>
          <w:rFonts w:ascii="Arial" w:cs="Arial" w:eastAsia="Arial" w:hAnsi="Arial"/>
          <w:sz w:val="17"/>
          <w:szCs w:val="17"/>
          <w:b w:val="1"/>
          <w:bCs w:val="1"/>
          <w:color w:val="auto"/>
        </w:rPr>
        <w:t>Note 9 - Commitments and Contingencies (continued)</w:t>
      </w:r>
    </w:p>
    <w:p>
      <w:pPr>
        <w:spacing w:after="0" w:line="224"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Contingent earnout payments </w:t>
      </w:r>
      <w:r>
        <w:rPr>
          <w:rFonts w:ascii="Arial" w:cs="Arial" w:eastAsia="Arial" w:hAnsi="Arial"/>
          <w:sz w:val="17"/>
          <w:szCs w:val="17"/>
          <w:color w:val="auto"/>
        </w:rPr>
        <w:t>- In addition Komiko potential earnout payment of $4.0 million (refer to Note 4 for additional information),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contingently committed to making additional payments of up to $1.6 million as part of our acquisition of NeverBounce.</w:t>
      </w:r>
    </w:p>
    <w:p>
      <w:pPr>
        <w:spacing w:after="0" w:line="94"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Deferred acquisition related payments - </w:t>
      </w:r>
      <w:r>
        <w:rPr>
          <w:rFonts w:ascii="Arial" w:cs="Arial" w:eastAsia="Arial" w:hAnsi="Arial"/>
          <w:sz w:val="17"/>
          <w:szCs w:val="17"/>
          <w:color w:val="auto"/>
        </w:rPr>
        <w:t>In accordance with the purchase agreement, the Company will pay deferred consideration of $10.0 million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2nd anniversary of the </w:t>
      </w:r>
      <w:r>
        <w:rPr>
          <w:rFonts w:ascii="Arial" w:cs="Arial" w:eastAsia="Arial" w:hAnsi="Arial"/>
          <w:sz w:val="17"/>
          <w:szCs w:val="17"/>
          <w:i w:val="1"/>
          <w:iCs w:val="1"/>
          <w:color w:val="auto"/>
        </w:rPr>
        <w:t>Pre-acquisition ZI</w:t>
      </w:r>
      <w:r>
        <w:rPr>
          <w:rFonts w:ascii="Arial" w:cs="Arial" w:eastAsia="Arial" w:hAnsi="Arial"/>
          <w:sz w:val="17"/>
          <w:szCs w:val="17"/>
          <w:color w:val="auto"/>
        </w:rPr>
        <w:t xml:space="preserve"> acquisition. Refer to Note 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Leases</w:t>
      </w:r>
    </w:p>
    <w:p>
      <w:pPr>
        <w:spacing w:after="0" w:line="177"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i w:val="1"/>
          <w:iCs w:val="1"/>
          <w:color w:val="auto"/>
        </w:rPr>
        <w:t xml:space="preserve">Adoption of Accounting Standards Codification (“ASC”) Topic 842, “Leases.” </w:t>
      </w:r>
      <w:r>
        <w:rPr>
          <w:rFonts w:ascii="Arial" w:cs="Arial" w:eastAsia="Arial" w:hAnsi="Arial"/>
          <w:sz w:val="17"/>
          <w:szCs w:val="17"/>
          <w:color w:val="auto"/>
        </w:rPr>
        <w:t>The Company adopted Topic 842 on January 1, 2019, using the modified</w:t>
      </w:r>
      <w:r>
        <w:rPr>
          <w:rFonts w:ascii="Arial" w:cs="Arial" w:eastAsia="Arial" w:hAnsi="Arial"/>
          <w:sz w:val="17"/>
          <w:szCs w:val="17"/>
          <w:i w:val="1"/>
          <w:iCs w:val="1"/>
          <w:color w:val="auto"/>
        </w:rPr>
        <w:t xml:space="preserve"> </w:t>
      </w:r>
      <w:r>
        <w:rPr>
          <w:rFonts w:ascii="Arial" w:cs="Arial" w:eastAsia="Arial" w:hAnsi="Arial"/>
          <w:sz w:val="17"/>
          <w:szCs w:val="17"/>
          <w:color w:val="auto"/>
        </w:rPr>
        <w:t>retrospective method and the optional transition method to record the adoption impact through a cumulative adjustment to equity. Results for reporting periods beginning after January 1, 2019, are presented under Topic 842, while prior periods are not adjusted and continue to be reported under the accounting standards in effect for those periods.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as we have elected the practical expedient to group lease and non-lease components for all real estate leases.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30"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 xml:space="preserve">The Company also has subleases of former corporate offices. Subleases have remaining lease terms of 1 year to 6 years. Sublease income, which is recorded as a reduction of rent expense and allocated to the appropriate financial statement line item to arrive at </w:t>
      </w:r>
      <w:r>
        <w:rPr>
          <w:rFonts w:ascii="Arial" w:cs="Arial" w:eastAsia="Arial" w:hAnsi="Arial"/>
          <w:sz w:val="17"/>
          <w:szCs w:val="17"/>
          <w:i w:val="1"/>
          <w:iCs w:val="1"/>
          <w:color w:val="auto"/>
        </w:rPr>
        <w:t>Income from operations</w:t>
      </w:r>
      <w:r>
        <w:rPr>
          <w:rFonts w:ascii="Arial" w:cs="Arial" w:eastAsia="Arial" w:hAnsi="Arial"/>
          <w:sz w:val="17"/>
          <w:szCs w:val="17"/>
          <w:color w:val="auto"/>
        </w:rPr>
        <w:t xml:space="preserve"> in the consolidated statements of operations was immaterial for the three months ended March 31, 2020 and 2019.</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are additional details related to leases recorded on our balance sheet as of March 31, 2020 and 2019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Leases</w:t>
            </w:r>
          </w:p>
        </w:tc>
        <w:tc>
          <w:tcPr>
            <w:tcW w:w="120" w:type="dxa"/>
            <w:vAlign w:val="bottom"/>
            <w:vMerge w:val="restart"/>
          </w:tcPr>
          <w:p>
            <w:pPr>
              <w:spacing w:after="0"/>
              <w:rPr>
                <w:sz w:val="14"/>
                <w:szCs w:val="14"/>
                <w:color w:val="auto"/>
              </w:rPr>
            </w:pPr>
          </w:p>
        </w:tc>
        <w:tc>
          <w:tcPr>
            <w:tcW w:w="21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w:t>
            </w:r>
          </w:p>
        </w:tc>
        <w:tc>
          <w:tcPr>
            <w:tcW w:w="14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Balance at March 31,</w:t>
            </w:r>
          </w:p>
        </w:tc>
        <w:tc>
          <w:tcPr>
            <w:tcW w:w="0" w:type="dxa"/>
            <w:vAlign w:val="bottom"/>
          </w:tcPr>
          <w:p>
            <w:pPr>
              <w:spacing w:after="0"/>
              <w:rPr>
                <w:sz w:val="1"/>
                <w:szCs w:val="1"/>
                <w:color w:val="auto"/>
              </w:rPr>
            </w:pPr>
          </w:p>
        </w:tc>
      </w:tr>
      <w:tr>
        <w:trPr>
          <w:trHeight w:val="188"/>
        </w:trPr>
        <w:tc>
          <w:tcPr>
            <w:tcW w:w="5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2020 (Unaudited)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 (Unaudited)</w:t>
            </w:r>
          </w:p>
        </w:tc>
        <w:tc>
          <w:tcPr>
            <w:tcW w:w="0" w:type="dxa"/>
            <w:vAlign w:val="bottom"/>
          </w:tcPr>
          <w:p>
            <w:pPr>
              <w:spacing w:after="0"/>
              <w:rPr>
                <w:sz w:val="1"/>
                <w:szCs w:val="1"/>
                <w:color w:val="auto"/>
              </w:rPr>
            </w:pPr>
          </w:p>
        </w:tc>
      </w:tr>
      <w:tr>
        <w:trPr>
          <w:trHeight w:val="24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2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760" w:type="dxa"/>
            <w:vAlign w:val="bottom"/>
            <w:gridSpan w:val="2"/>
          </w:tcPr>
          <w:p>
            <w:pPr>
              <w:ind w:left="40"/>
              <w:spacing w:after="0"/>
              <w:rPr>
                <w:sz w:val="20"/>
                <w:szCs w:val="20"/>
                <w:color w:val="auto"/>
              </w:rPr>
            </w:pPr>
            <w:r>
              <w:rPr>
                <w:rFonts w:ascii="Arial" w:cs="Arial" w:eastAsia="Arial" w:hAnsi="Arial"/>
                <w:sz w:val="17"/>
                <w:szCs w:val="17"/>
                <w:color w:val="auto"/>
              </w:rPr>
              <w:t>Operating lease right-of-use assets, net</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Operating leases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36.0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5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760" w:type="dxa"/>
            <w:vAlign w:val="bottom"/>
            <w:gridSpan w:val="2"/>
          </w:tcPr>
          <w:p>
            <w:pPr>
              <w:ind w:left="40"/>
              <w:spacing w:after="0"/>
              <w:rPr>
                <w:sz w:val="20"/>
                <w:szCs w:val="20"/>
                <w:color w:val="auto"/>
              </w:rPr>
            </w:pPr>
            <w:r>
              <w:rPr>
                <w:rFonts w:ascii="Arial" w:cs="Arial" w:eastAsia="Arial" w:hAnsi="Arial"/>
                <w:sz w:val="17"/>
                <w:szCs w:val="17"/>
                <w:b w:val="1"/>
                <w:bCs w:val="1"/>
                <w:color w:val="auto"/>
              </w:rPr>
              <w:t>Liabilities</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Current portion of operating lease liabilities</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35"/>
        </w:trPr>
        <w:tc>
          <w:tcPr>
            <w:tcW w:w="5760" w:type="dxa"/>
            <w:vAlign w:val="bottom"/>
            <w:gridSpan w:val="2"/>
          </w:tcPr>
          <w:p>
            <w:pPr>
              <w:ind w:left="40"/>
              <w:spacing w:after="0"/>
              <w:rPr>
                <w:sz w:val="20"/>
                <w:szCs w:val="20"/>
                <w:color w:val="auto"/>
              </w:rPr>
            </w:pPr>
            <w:r>
              <w:rPr>
                <w:rFonts w:ascii="Arial" w:cs="Arial" w:eastAsia="Arial" w:hAnsi="Arial"/>
                <w:sz w:val="17"/>
                <w:szCs w:val="17"/>
                <w:color w:val="auto"/>
              </w:rPr>
              <w:t>Operating lease liabilities, net of current portion</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Operating leases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Rent expense was $1.7 million and $1.3 million for the three months ended March 31, 2020 and 2019, respectively.</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information related to leases was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Supplemental Cash Flow Information (in millions)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88"/>
        </w:trPr>
        <w:tc>
          <w:tcPr>
            <w:tcW w:w="7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March 31,2019</w:t>
            </w: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Cash paid for amounts included in the measurement of operating lease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314"/>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Lease liabilities arising from obtaining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gridSpan w:val="2"/>
          </w:tcPr>
          <w:p>
            <w:pPr>
              <w:ind w:left="40"/>
              <w:spacing w:after="0"/>
              <w:rPr>
                <w:sz w:val="20"/>
                <w:szCs w:val="20"/>
                <w:color w:val="auto"/>
              </w:rPr>
            </w:pPr>
            <w:r>
              <w:rPr>
                <w:rFonts w:ascii="Arial" w:cs="Arial" w:eastAsia="Arial" w:hAnsi="Arial"/>
                <w:sz w:val="17"/>
                <w:szCs w:val="17"/>
                <w:color w:val="auto"/>
              </w:rPr>
              <w:t>From Zoom Information, Inc. acquisition</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7"/>
        </w:trPr>
        <w:tc>
          <w:tcPr>
            <w:tcW w:w="7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1240"/>
          </w:cols>
          <w:pgMar w:left="320" w:top="750" w:right="339" w:bottom="1440" w:gutter="0" w:footer="0" w:header="0"/>
        </w:sectPr>
      </w:pPr>
    </w:p>
    <w:bookmarkStart w:id="304" w:name="page305"/>
    <w:bookmarkEnd w:id="304"/>
    <w:p>
      <w:pPr>
        <w:spacing w:after="0"/>
        <w:rPr>
          <w:sz w:val="20"/>
          <w:szCs w:val="20"/>
          <w:color w:val="auto"/>
        </w:rPr>
      </w:pPr>
      <w:r>
        <w:rPr>
          <w:rFonts w:ascii="Arial" w:cs="Arial" w:eastAsia="Arial" w:hAnsi="Arial"/>
          <w:sz w:val="17"/>
          <w:szCs w:val="17"/>
          <w:b w:val="1"/>
          <w:bCs w:val="1"/>
          <w:color w:val="auto"/>
        </w:rPr>
        <w:t>Note 10 - Leases (continued)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right"/>
              <w:ind w:right="161"/>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Three Months Ended</w:t>
            </w:r>
          </w:p>
        </w:tc>
      </w:tr>
      <w:tr>
        <w:trPr>
          <w:trHeight w:val="188"/>
        </w:trPr>
        <w:tc>
          <w:tcPr>
            <w:tcW w:w="7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March 31, 2020</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 2019</w:t>
            </w:r>
          </w:p>
        </w:tc>
      </w:tr>
      <w:tr>
        <w:trPr>
          <w:trHeight w:val="24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8.4</w:t>
            </w:r>
          </w:p>
        </w:tc>
        <w:tc>
          <w:tcPr>
            <w:tcW w:w="1680" w:type="dxa"/>
            <w:vAlign w:val="bottom"/>
            <w:tcBorders>
              <w:bottom w:val="single" w:sz="8" w:color="CCEEFF"/>
            </w:tcBorders>
            <w:shd w:val="clear" w:color="auto" w:fill="CCEEFF"/>
          </w:tcPr>
          <w:p>
            <w:pPr>
              <w:jc w:val="right"/>
              <w:ind w:right="1301"/>
              <w:spacing w:after="0"/>
              <w:rPr>
                <w:sz w:val="20"/>
                <w:szCs w:val="20"/>
                <w:color w:val="auto"/>
              </w:rPr>
            </w:pPr>
            <w:r>
              <w:rPr>
                <w:rFonts w:ascii="Arial" w:cs="Arial" w:eastAsia="Arial" w:hAnsi="Arial"/>
                <w:sz w:val="17"/>
                <w:szCs w:val="17"/>
                <w:color w:val="auto"/>
              </w:rPr>
              <w:t>9.3</w:t>
            </w:r>
          </w:p>
        </w:tc>
      </w:tr>
      <w:tr>
        <w:trPr>
          <w:trHeight w:val="314"/>
        </w:trPr>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5"/>
        </w:trPr>
        <w:tc>
          <w:tcPr>
            <w:tcW w:w="786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Weighted Average Discount Rate</w:t>
            </w:r>
          </w:p>
        </w:tc>
        <w:tc>
          <w:tcPr>
            <w:tcW w:w="170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6.3%</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7"/>
        </w:trPr>
        <w:tc>
          <w:tcPr>
            <w:tcW w:w="7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table below reconciles the undiscounted future minimum lease payments under non-cancelable leases to the total lease liabilities recognized on the condensed consolidated balance sheets as of March 31, 2020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1"/>
              </w:rPr>
              <w:t>Operating Leases</w:t>
            </w:r>
          </w:p>
        </w:tc>
      </w:tr>
      <w:tr>
        <w:trPr>
          <w:trHeight w:val="24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2020 (excluded three months ended March 31, 2020)</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4.9</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7.5</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7.6</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7.2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6.8</w:t>
            </w: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Thereafter</w:t>
            </w: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22.8</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Total future minimum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56.8</w:t>
            </w: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less effects of discounting</w:t>
            </w: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13.1</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7"/>
                <w:szCs w:val="17"/>
                <w:color w:val="auto"/>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43.7</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0"/>
        </w:trPr>
        <w:tc>
          <w:tcPr>
            <w:tcW w:w="9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2"/>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Reported as of March 31, 2020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5"/>
        </w:trPr>
        <w:tc>
          <w:tcPr>
            <w:tcW w:w="9680" w:type="dxa"/>
            <w:vAlign w:val="bottom"/>
            <w:gridSpan w:val="2"/>
          </w:tcPr>
          <w:p>
            <w:pPr>
              <w:ind w:left="40"/>
              <w:spacing w:after="0"/>
              <w:rPr>
                <w:sz w:val="20"/>
                <w:szCs w:val="20"/>
                <w:color w:val="auto"/>
              </w:rPr>
            </w:pPr>
            <w:r>
              <w:rPr>
                <w:rFonts w:ascii="Arial" w:cs="Arial" w:eastAsia="Arial" w:hAnsi="Arial"/>
                <w:sz w:val="17"/>
                <w:szCs w:val="17"/>
                <w:color w:val="auto"/>
              </w:rPr>
              <w:t>Current portion of operating lease liabilities</w:t>
            </w:r>
          </w:p>
        </w:tc>
        <w:tc>
          <w:tcPr>
            <w:tcW w:w="2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4.2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2"/>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Operating lease liabilities, net of current portion</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39.5</w:t>
            </w:r>
          </w:p>
        </w:tc>
      </w:tr>
      <w:tr>
        <w:trPr>
          <w:trHeight w:val="248"/>
        </w:trPr>
        <w:tc>
          <w:tcPr>
            <w:tcW w:w="9680" w:type="dxa"/>
            <w:vAlign w:val="bottom"/>
            <w:gridSpan w:val="2"/>
          </w:tcPr>
          <w:p>
            <w:pPr>
              <w:ind w:left="260"/>
              <w:spacing w:after="0"/>
              <w:rPr>
                <w:sz w:val="20"/>
                <w:szCs w:val="20"/>
                <w:color w:val="auto"/>
              </w:rPr>
            </w:pPr>
            <w:r>
              <w:rPr>
                <w:rFonts w:ascii="Arial" w:cs="Arial" w:eastAsia="Arial" w:hAnsi="Arial"/>
                <w:sz w:val="17"/>
                <w:szCs w:val="17"/>
                <w:color w:val="auto"/>
              </w:rPr>
              <w:t>Total lease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43.7</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325" w:lineRule="auto"/>
        <w:rPr>
          <w:sz w:val="20"/>
          <w:szCs w:val="20"/>
          <w:color w:val="auto"/>
        </w:rPr>
      </w:pPr>
      <w:r>
        <w:rPr>
          <w:rFonts w:ascii="Arial" w:cs="Arial" w:eastAsia="Arial" w:hAnsi="Arial"/>
          <w:sz w:val="15"/>
          <w:szCs w:val="15"/>
          <w:color w:val="auto"/>
        </w:rPr>
        <w:t>The table above does not include any legally binding minimum lease payments for leases signed but not yet commenced. As of March 31, 2020, all executed leases agreements have commenced and appropriately recorded on the balance sheet. Expense associated with short term leases and variable lease costs were immaterial for the 3 months ended March 31, 2020. The expense related to short-term leases reasonably reflects our short-term lease commitments.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Members’ Deficit</w:t>
      </w:r>
    </w:p>
    <w:p>
      <w:pPr>
        <w:spacing w:after="0" w:line="177"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Distributions to members are generally to be made in priority order, first to Series A Preferred Units up to the accrued yield of such units, then to Series A Preferred Units up to the initial investment level, then to Preferred Units up to the initial investment level, then to Common Units up to the initial investment level, and then ratably to all units, with Class P Units participating in distributions once other units have achieved a specified Return Threshold.</w:t>
      </w:r>
    </w:p>
    <w:p>
      <w:pPr>
        <w:spacing w:after="0" w:line="10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As of March 31, 2020, there were 95,953,155 Preferred Units outstanding, 243,223,182 Common Units outstanding, and 17,066,454 Class P Units outstanding. As of December 31, 2019, there were 95,953,155 Preferred Units outstanding, 244,069,137 Common Units outstanding, and 17,174,166 Class P Units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Redeemable Series A Preferred Units</w:t>
      </w:r>
    </w:p>
    <w:p>
      <w:pPr>
        <w:spacing w:after="0" w:line="177"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On February 1, 2019, and in connection with the ZoomInfo acquisition (see Note 4 – Business Combinations), the Company issued 51.8 million Series A Preferred Units in exchange for $200.2 million, net of $0.6 million in issuance costs. As of March 31, 2020, there were 51.8 million units remained outstanding.</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1240"/>
          </w:cols>
          <w:pgMar w:left="320" w:top="750" w:right="339" w:bottom="1440" w:gutter="0" w:footer="0" w:header="0"/>
        </w:sectPr>
      </w:pPr>
    </w:p>
    <w:bookmarkStart w:id="305" w:name="page306"/>
    <w:bookmarkEnd w:id="305"/>
    <w:p>
      <w:pPr>
        <w:spacing w:after="0"/>
        <w:rPr>
          <w:sz w:val="20"/>
          <w:szCs w:val="20"/>
          <w:color w:val="auto"/>
        </w:rPr>
      </w:pPr>
      <w:r>
        <w:rPr>
          <w:rFonts w:ascii="Arial" w:cs="Arial" w:eastAsia="Arial" w:hAnsi="Arial"/>
          <w:sz w:val="17"/>
          <w:szCs w:val="17"/>
          <w:b w:val="1"/>
          <w:bCs w:val="1"/>
          <w:color w:val="auto"/>
        </w:rPr>
        <w:t>Note 12 - Redeemable Series A Preferred Units (continued)</w:t>
      </w:r>
    </w:p>
    <w:p>
      <w:pPr>
        <w:spacing w:after="0" w:line="230"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color w:val="auto"/>
        </w:rPr>
        <w:t>Distributions on the Series A Preferred Units are payable on the initial liquidation preference amount of $4 per unit and on a cumulative basis at a priority return rate of 15% per annum, compounded semi-annually, until January 31, 2027, after which the priority return rate will increase in stages to a maximum of 17% per annum. Subject to certain exceptions, unless distributions on the Series A Preferred Units are declared and paid in cash for the then current distribution period and all preceding periods after the initial closing, the Company may not declare or pay distributions on or repurchase any of its equity securities with a priority equal with or junior to the Series A Preferred Units.</w:t>
      </w:r>
    </w:p>
    <w:p>
      <w:pPr>
        <w:spacing w:after="0" w:line="126"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Following a change of control or liquidation event, the Company would be required to redeem the then current outstanding Series A Preferred Units at a redemption price equal to the liquidation preference plus all accumulated but unpaid distributions (collectively, the “liquidation value”). Due to these mandatory redemption features that are not entirely within the control of the Company and may not be associated with a final liquidation or termination of the Company, we have classified the Series Preferred A Units as a separate class of equity (i.e., mezzanine equity) in our consolidated balance sheet as of March 31, 2020. The Company will adjust the carrying balance once it is probable that the Series A Preferred Units will become redeemable.</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may, at its option, redeem the Series A Preferred Units in whole, or in part, at a price based on the redemption date as compared to January 31, 2021 (the “First Call Date”).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Applicable Period</w:t>
            </w:r>
          </w:p>
        </w:tc>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Redemption Price</w:t>
            </w:r>
          </w:p>
        </w:tc>
      </w:tr>
      <w:tr>
        <w:trPr>
          <w:trHeight w:val="222"/>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Prior to the First Call Date</w:t>
            </w:r>
          </w:p>
        </w:tc>
        <w:tc>
          <w:tcPr>
            <w:tcW w:w="49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Present value as of the redemption date of liquidation value as of</w:t>
            </w:r>
          </w:p>
        </w:tc>
      </w:tr>
      <w:tr>
        <w:trPr>
          <w:trHeight w:val="228"/>
        </w:trPr>
        <w:tc>
          <w:tcPr>
            <w:tcW w:w="6300" w:type="dxa"/>
            <w:vAlign w:val="bottom"/>
            <w:tcBorders>
              <w:bottom w:val="single" w:sz="8" w:color="CCEEFF"/>
            </w:tcBorders>
            <w:shd w:val="clear" w:color="auto" w:fill="CCEEFF"/>
          </w:tcPr>
          <w:p>
            <w:pPr>
              <w:spacing w:after="0"/>
              <w:rPr>
                <w:sz w:val="19"/>
                <w:szCs w:val="19"/>
                <w:color w:val="auto"/>
              </w:rPr>
            </w:pP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First Call Date multiplied by 104%</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w w:val="99"/>
              </w:rPr>
              <w:t>On or after the First Call Date and prior to the first anniversary of the First Call Date</w:t>
            </w:r>
          </w:p>
        </w:tc>
        <w:tc>
          <w:tcPr>
            <w:tcW w:w="4940" w:type="dxa"/>
            <w:vAlign w:val="bottom"/>
          </w:tcPr>
          <w:p>
            <w:pPr>
              <w:ind w:left="40"/>
              <w:spacing w:after="0"/>
              <w:rPr>
                <w:sz w:val="20"/>
                <w:szCs w:val="20"/>
                <w:color w:val="auto"/>
              </w:rPr>
            </w:pPr>
            <w:r>
              <w:rPr>
                <w:rFonts w:ascii="Arial" w:cs="Arial" w:eastAsia="Arial" w:hAnsi="Arial"/>
                <w:sz w:val="17"/>
                <w:szCs w:val="17"/>
                <w:color w:val="auto"/>
              </w:rPr>
              <w:t>Liquidation value as of the redemption date multiplied by 104%</w:t>
            </w:r>
          </w:p>
        </w:tc>
      </w:tr>
      <w:tr>
        <w:trPr>
          <w:trHeight w:val="27"/>
        </w:trPr>
        <w:tc>
          <w:tcPr>
            <w:tcW w:w="630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3"/>
        </w:trPr>
        <w:tc>
          <w:tcPr>
            <w:tcW w:w="63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On or after the first anniversary of the First Call Date and prior to the second anniversary</w:t>
            </w:r>
          </w:p>
        </w:tc>
        <w:tc>
          <w:tcPr>
            <w:tcW w:w="4940" w:type="dxa"/>
            <w:vAlign w:val="bottom"/>
            <w:shd w:val="clear" w:color="auto" w:fill="CCEEFF"/>
          </w:tcPr>
          <w:p>
            <w:pPr>
              <w:spacing w:after="0"/>
              <w:rPr>
                <w:sz w:val="19"/>
                <w:szCs w:val="19"/>
                <w:color w:val="auto"/>
              </w:rPr>
            </w:pPr>
          </w:p>
        </w:tc>
      </w:tr>
      <w:tr>
        <w:trPr>
          <w:trHeight w:val="228"/>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of the First Call Date</w:t>
            </w:r>
          </w:p>
        </w:tc>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Liquidation value as of the redemption date multiplied by 102%</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On or after the second anniversary of the First Call Date</w:t>
            </w:r>
          </w:p>
        </w:tc>
        <w:tc>
          <w:tcPr>
            <w:tcW w:w="4940" w:type="dxa"/>
            <w:vAlign w:val="bottom"/>
          </w:tcPr>
          <w:p>
            <w:pPr>
              <w:ind w:left="40"/>
              <w:spacing w:after="0"/>
              <w:rPr>
                <w:sz w:val="20"/>
                <w:szCs w:val="20"/>
                <w:color w:val="auto"/>
              </w:rPr>
            </w:pPr>
            <w:r>
              <w:rPr>
                <w:rFonts w:ascii="Arial" w:cs="Arial" w:eastAsia="Arial" w:hAnsi="Arial"/>
                <w:sz w:val="17"/>
                <w:szCs w:val="17"/>
                <w:color w:val="auto"/>
              </w:rPr>
              <w:t>Liquidation value as of the redemption date</w:t>
            </w:r>
          </w:p>
        </w:tc>
      </w:tr>
    </w:tbl>
    <w:p>
      <w:pPr>
        <w:spacing w:after="0" w:line="171" w:lineRule="exact"/>
        <w:rPr>
          <w:sz w:val="20"/>
          <w:szCs w:val="20"/>
          <w:color w:val="auto"/>
        </w:rPr>
      </w:pPr>
    </w:p>
    <w:p>
      <w:pPr>
        <w:ind w:right="880" w:firstLine="314"/>
        <w:spacing w:after="0" w:line="446" w:lineRule="auto"/>
        <w:rPr>
          <w:sz w:val="20"/>
          <w:szCs w:val="20"/>
          <w:color w:val="auto"/>
        </w:rPr>
      </w:pPr>
      <w:r>
        <w:rPr>
          <w:rFonts w:ascii="Arial" w:cs="Arial" w:eastAsia="Arial" w:hAnsi="Arial"/>
          <w:sz w:val="17"/>
          <w:szCs w:val="17"/>
          <w:color w:val="auto"/>
        </w:rPr>
        <w:t xml:space="preserve">As of March 31, 2020, the total minimum committed cumulative liquidation preference due upon an immediate redemption was $283.9 million. </w:t>
      </w:r>
      <w:r>
        <w:rPr>
          <w:rFonts w:ascii="Arial" w:cs="Arial" w:eastAsia="Arial" w:hAnsi="Arial"/>
          <w:sz w:val="17"/>
          <w:szCs w:val="17"/>
          <w:b w:val="1"/>
          <w:bCs w:val="1"/>
          <w:color w:val="auto"/>
        </w:rPr>
        <w:t>Note 13 - Equity-Based Compensation</w:t>
      </w:r>
    </w:p>
    <w:p>
      <w:pPr>
        <w:spacing w:after="0" w:line="1"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b w:val="1"/>
          <w:bCs w:val="1"/>
          <w:color w:val="auto"/>
        </w:rPr>
        <w:t xml:space="preserve">Class P Incentive Units </w:t>
      </w:r>
      <w:r>
        <w:rPr>
          <w:rFonts w:ascii="Arial" w:cs="Arial" w:eastAsia="Arial" w:hAnsi="Arial"/>
          <w:sz w:val="17"/>
          <w:szCs w:val="17"/>
          <w:color w:val="auto"/>
        </w:rPr>
        <w:t>- Class P units under the Company’s current LLC Agreement and the Class C units under the Company’s Prior LLC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that converted to Common Units (collectively with Management Holdings Class P Units described below, the “Incentive Units”) operate under employee incentive programs and are granted to employees and service providers as approved by the Board of Managers. In June 2019, the Company expanded its employee incentive programs under a newly formed upper tier entity DiscoverOrg Management Holdings, LLC (“Management Holdings”), established to issue Incentive Units to employees of the Company. Through this newly formed upper tier entity, Class P Units are issued by Management Holdings to an employee and the Company issues a corresponding Class P Unit to Management Holdings. The cancellation or forfeiture of any Management Holdings’ Class P Units automatically results in a decrease in an equal number of the Company’s Class P Units.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1240"/>
          </w:cols>
          <w:pgMar w:left="320" w:top="750" w:right="339" w:bottom="1440" w:gutter="0" w:footer="0" w:header="0"/>
        </w:sectPr>
      </w:pPr>
    </w:p>
    <w:bookmarkStart w:id="306" w:name="page307"/>
    <w:bookmarkEnd w:id="306"/>
    <w:p>
      <w:pPr>
        <w:spacing w:after="0"/>
        <w:rPr>
          <w:sz w:val="20"/>
          <w:szCs w:val="20"/>
          <w:color w:val="auto"/>
        </w:rPr>
      </w:pPr>
      <w:r>
        <w:rPr>
          <w:rFonts w:ascii="Arial" w:cs="Arial" w:eastAsia="Arial" w:hAnsi="Arial"/>
          <w:sz w:val="17"/>
          <w:szCs w:val="17"/>
          <w:b w:val="1"/>
          <w:bCs w:val="1"/>
          <w:color w:val="auto"/>
        </w:rPr>
        <w:t>Note 13 - Equity-Based Compensation (continued)</w:t>
      </w:r>
    </w:p>
    <w:p>
      <w:pPr>
        <w:spacing w:after="0" w:line="23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These Class P Incentive Units are subject to a time-based vesting condition. The service vesting condition is generally over four years with 50% vesting on the two year anniversary of the grant date of the award and the remainder vesting monthly thereafter. No grants on Class P Incentive Units were made during the three months ended March 31, 2020. The fair value of grants made during the three months ended March 31, 2019 was estimated on the date of grant using the Black-Scholes option pricing model with the following assumption ranges and fair value per unit: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Three Months Ended</w:t>
            </w:r>
          </w:p>
        </w:tc>
      </w:tr>
      <w:tr>
        <w:trPr>
          <w:trHeight w:val="188"/>
        </w:trPr>
        <w:tc>
          <w:tcPr>
            <w:tcW w:w="95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31,</w:t>
            </w:r>
          </w:p>
        </w:tc>
      </w:tr>
      <w:tr>
        <w:trPr>
          <w:trHeight w:val="242"/>
        </w:trPr>
        <w:tc>
          <w:tcPr>
            <w:tcW w:w="956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42"/>
        </w:trPr>
        <w:tc>
          <w:tcPr>
            <w:tcW w:w="956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(Unaudited)</w:t>
            </w:r>
          </w:p>
        </w:tc>
      </w:tr>
      <w:tr>
        <w:trPr>
          <w:trHeight w:val="247"/>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Volatility</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41.2%</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Expected Life</w:t>
            </w:r>
          </w:p>
        </w:tc>
        <w:tc>
          <w:tcPr>
            <w:tcW w:w="1680" w:type="dxa"/>
            <w:vAlign w:val="bottom"/>
          </w:tcPr>
          <w:p>
            <w:pPr>
              <w:jc w:val="center"/>
              <w:spacing w:after="0"/>
              <w:rPr>
                <w:sz w:val="20"/>
                <w:szCs w:val="20"/>
                <w:color w:val="auto"/>
              </w:rPr>
            </w:pPr>
            <w:r>
              <w:rPr>
                <w:rFonts w:ascii="Arial" w:cs="Arial" w:eastAsia="Arial" w:hAnsi="Arial"/>
                <w:sz w:val="17"/>
                <w:szCs w:val="17"/>
                <w:color w:val="auto"/>
                <w:w w:val="89"/>
              </w:rPr>
              <w:t>4 years</w:t>
            </w:r>
          </w:p>
        </w:tc>
      </w:tr>
      <w:tr>
        <w:trPr>
          <w:trHeight w:val="27"/>
        </w:trPr>
        <w:tc>
          <w:tcPr>
            <w:tcW w:w="95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9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Rate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2.5%</w:t>
            </w:r>
          </w:p>
        </w:tc>
      </w:tr>
      <w:tr>
        <w:trPr>
          <w:trHeight w:val="235"/>
        </w:trPr>
        <w:tc>
          <w:tcPr>
            <w:tcW w:w="9560" w:type="dxa"/>
            <w:vAlign w:val="bottom"/>
          </w:tcPr>
          <w:p>
            <w:pPr>
              <w:ind w:left="40"/>
              <w:spacing w:after="0"/>
              <w:rPr>
                <w:sz w:val="20"/>
                <w:szCs w:val="20"/>
                <w:color w:val="auto"/>
              </w:rPr>
            </w:pPr>
            <w:r>
              <w:rPr>
                <w:rFonts w:ascii="Arial" w:cs="Arial" w:eastAsia="Arial" w:hAnsi="Arial"/>
                <w:sz w:val="17"/>
                <w:szCs w:val="17"/>
                <w:color w:val="auto"/>
              </w:rPr>
              <w:t>Fair Value per Unit</w:t>
            </w:r>
          </w:p>
        </w:tc>
        <w:tc>
          <w:tcPr>
            <w:tcW w:w="1680" w:type="dxa"/>
            <w:vAlign w:val="bottom"/>
          </w:tcPr>
          <w:p>
            <w:pPr>
              <w:jc w:val="center"/>
              <w:spacing w:after="0"/>
              <w:rPr>
                <w:sz w:val="20"/>
                <w:szCs w:val="20"/>
                <w:color w:val="auto"/>
              </w:rPr>
            </w:pPr>
            <w:r>
              <w:rPr>
                <w:rFonts w:ascii="Arial" w:cs="Arial" w:eastAsia="Arial" w:hAnsi="Arial"/>
                <w:sz w:val="17"/>
                <w:szCs w:val="17"/>
                <w:color w:val="auto"/>
                <w:w w:val="93"/>
              </w:rPr>
              <w:t>$5.20</w:t>
            </w:r>
          </w:p>
        </w:tc>
      </w:tr>
    </w:tbl>
    <w:p>
      <w:pPr>
        <w:spacing w:after="0" w:line="171"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 As of March 31, 2020, the amount of unamortized equity-based compensation related to the Incentive Units is $44.6 million.</w:t>
      </w:r>
    </w:p>
    <w:p>
      <w:pPr>
        <w:spacing w:after="0" w:line="120"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DOH Phantom Units </w:t>
      </w:r>
      <w:r>
        <w:rPr>
          <w:rFonts w:ascii="Arial" w:cs="Arial" w:eastAsia="Arial" w:hAnsi="Arial"/>
          <w:sz w:val="17"/>
          <w:szCs w:val="17"/>
          <w:color w:val="auto"/>
        </w:rPr>
        <w:t>- In June 2019, the Company adopted the ZoomInfo OpCo 2019 Phantom Unit Plan which is authorized to issue an aggregate of 7.5</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Phantom Units (as defined in the plan) (“DOH Phantom Units”). DOH Phantom Units generally are eligible to vest over four years with 50% vesting on the two year anniversary of the service requirement start date of the award, followed by 1/24th of the remaining 50% vesting monthly over two years. As of December 31, 2019 and March 31, 2020 zero DOH Phantom Units had been granted under this plan.</w:t>
      </w:r>
    </w:p>
    <w:p>
      <w:pPr>
        <w:spacing w:after="0" w:line="11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b w:val="1"/>
          <w:bCs w:val="1"/>
          <w:color w:val="auto"/>
        </w:rPr>
        <w:t xml:space="preserve">HSKB Incentive Units </w:t>
      </w:r>
      <w:r>
        <w:rPr>
          <w:rFonts w:ascii="Arial" w:cs="Arial" w:eastAsia="Arial" w:hAnsi="Arial"/>
          <w:sz w:val="17"/>
          <w:szCs w:val="17"/>
          <w:color w:val="auto"/>
        </w:rPr>
        <w:t>- The founders of the Company previously contributed membership units into an upper tier entity, HSKB Funds, LLC (“HSKB”),</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controlled by the co-founder and CEO of the Company (“HSKB Manager”), and may allocate profits interests to employees of the Company (“HSKB Grants”). These awards are recorded in accordance with the measurement and recognition criteria of ASC 718 for awards made to non-employees. All HSKB Grants were issued with a performance vesting condition wherein the awards vest upon the cumulative change of more than 90% of the membership interests in the Company.</w:t>
      </w:r>
    </w:p>
    <w:p>
      <w:pPr>
        <w:spacing w:after="0" w:line="124"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5"/>
          <w:szCs w:val="15"/>
          <w:color w:val="auto"/>
        </w:rPr>
        <w:t>In December 2019, the vesting and forfeiture terms of all HSKB Grants were modified to add an additional vesting condition, wherein 50% of an HSKB Grant will no longer be subject to forfeiture and will be eligible to vest on the later of September 1, 2020 or two years following the award grant date, and 1/24th of the remaining 50% will no longer be subject to forfeiture and be eligible to vest on the first day of each subsequent month. This additional vesting condition (but not the forfeiture) is conditioned upon the ability to exchange the units for common stock in the Company (or a newly formed holding company that owns an interest in the Company) after the consummation of an IPO. After the performance condition is deemed probable, the Company will recognize compensation cost under these awards on a straight-line basis in the same manner as if the Company had paid cash in lieu of awarding the HSKB Grants, per the requirements of ASC 718. This modification affected 142 grantees and resulted in an increase in unrecognized equity-based compensation cost related to the HSKB Grants of $88.4 million. As of March 31, 2020, the amount of unamortized equity-based compensation related to the HSKB Incentive Units is $148.7 million.</w:t>
      </w:r>
    </w:p>
    <w:p>
      <w:pPr>
        <w:spacing w:after="0" w:line="103"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In March 2020, HSKB paid $10.2 million from allocated funds and has $12.2 million remaining that it has allocated to be paid through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1240"/>
          </w:cols>
          <w:pgMar w:left="320" w:top="750" w:right="339" w:bottom="1440" w:gutter="0" w:footer="0" w:header="0"/>
        </w:sectPr>
      </w:pPr>
    </w:p>
    <w:bookmarkStart w:id="307" w:name="page308"/>
    <w:bookmarkEnd w:id="307"/>
    <w:p>
      <w:pPr>
        <w:spacing w:after="0"/>
        <w:rPr>
          <w:sz w:val="20"/>
          <w:szCs w:val="20"/>
          <w:color w:val="auto"/>
        </w:rPr>
      </w:pPr>
      <w:r>
        <w:rPr>
          <w:rFonts w:ascii="Arial" w:cs="Arial" w:eastAsia="Arial" w:hAnsi="Arial"/>
          <w:sz w:val="17"/>
          <w:szCs w:val="17"/>
          <w:b w:val="1"/>
          <w:bCs w:val="1"/>
          <w:color w:val="auto"/>
        </w:rPr>
        <w:t>Note 13 - Equity-Based Compensation (continued)</w:t>
      </w:r>
    </w:p>
    <w:p>
      <w:pPr>
        <w:spacing w:after="0" w:line="224"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b w:val="1"/>
          <w:bCs w:val="1"/>
          <w:color w:val="auto"/>
        </w:rPr>
        <w:t xml:space="preserve">HSKB Phantom Units </w:t>
      </w:r>
      <w:r>
        <w:rPr>
          <w:rFonts w:ascii="Arial" w:cs="Arial" w:eastAsia="Arial" w:hAnsi="Arial"/>
          <w:sz w:val="17"/>
          <w:szCs w:val="17"/>
          <w:color w:val="auto"/>
        </w:rPr>
        <w:t>- In December 2019, HSKB adopted the HSKB Funds, LLC 2019 Phantom Unit Plan wherein HSKB may grant Phantom Units</w:t>
      </w:r>
      <w:r>
        <w:rPr>
          <w:rFonts w:ascii="Arial" w:cs="Arial" w:eastAsia="Arial" w:hAnsi="Arial"/>
          <w:sz w:val="17"/>
          <w:szCs w:val="17"/>
          <w:b w:val="1"/>
          <w:bCs w:val="1"/>
          <w:color w:val="auto"/>
        </w:rPr>
        <w:t xml:space="preserve"> </w:t>
      </w:r>
      <w:r>
        <w:rPr>
          <w:rFonts w:ascii="Arial" w:cs="Arial" w:eastAsia="Arial" w:hAnsi="Arial"/>
          <w:sz w:val="17"/>
          <w:szCs w:val="17"/>
          <w:color w:val="auto"/>
        </w:rPr>
        <w:t>(“HSKB Phantom Units”) to employees of the Company. HSKB Phantom Units are recorded in accordance with the measurement and recognition criteria of ASC 718 for awards made to non-employees. HSKB Phantom Units represent the economic equivalent of one Common Unit in the Company and generally have the same vesting and forfeiture conditions as the modified HSKB Grants discussed above. Within 30 days of the later of the date upon which a Phantom Unit vests and the date that HSKB is capable of making an exchange of a corresponding Common Unit, HSKB shall settle the HSKB Phantom Unit in exchange for either (1) cash or (2) common stock in an IPO Entity as determined by the HSKB Manager (currently the CEO of the Company), in each case, equal to the fair market value of such Common Unit at the time of such exchange. As of March 31, 2020, the amount of unamortized equity-based compensation related to the HSKB Phantom Units is $7.8 million.</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978"/>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996"/>
              <w:spacing w:after="0"/>
              <w:rPr>
                <w:sz w:val="20"/>
                <w:szCs w:val="20"/>
                <w:color w:val="auto"/>
              </w:rPr>
            </w:pPr>
            <w:r>
              <w:rPr>
                <w:rFonts w:ascii="Arial" w:cs="Arial" w:eastAsia="Arial" w:hAnsi="Arial"/>
                <w:sz w:val="14"/>
                <w:szCs w:val="14"/>
                <w:b w:val="1"/>
                <w:bCs w:val="1"/>
                <w:color w:val="auto"/>
              </w:rPr>
              <w:t>Class P Units</w:t>
            </w:r>
          </w:p>
        </w:tc>
        <w:tc>
          <w:tcPr>
            <w:tcW w:w="0" w:type="dxa"/>
            <w:vAlign w:val="bottom"/>
          </w:tcPr>
          <w:p>
            <w:pPr>
              <w:spacing w:after="0"/>
              <w:rPr>
                <w:sz w:val="1"/>
                <w:szCs w:val="1"/>
                <w:color w:val="auto"/>
              </w:rPr>
            </w:pPr>
          </w:p>
        </w:tc>
      </w:tr>
      <w:tr>
        <w:trPr>
          <w:trHeight w:val="146"/>
        </w:trPr>
        <w:tc>
          <w:tcPr>
            <w:tcW w:w="5080" w:type="dxa"/>
            <w:vAlign w:val="bottom"/>
          </w:tcPr>
          <w:p>
            <w:pPr>
              <w:spacing w:after="0"/>
              <w:rPr>
                <w:sz w:val="12"/>
                <w:szCs w:val="12"/>
                <w:color w:val="auto"/>
              </w:rPr>
            </w:pPr>
          </w:p>
        </w:tc>
        <w:tc>
          <w:tcPr>
            <w:tcW w:w="15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6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Weighted Avg Grant</w:t>
            </w:r>
          </w:p>
        </w:tc>
        <w:tc>
          <w:tcPr>
            <w:tcW w:w="15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340" w:type="dxa"/>
            <w:vAlign w:val="bottom"/>
          </w:tcPr>
          <w:p>
            <w:pPr>
              <w:jc w:val="right"/>
              <w:ind w:right="16"/>
              <w:spacing w:after="0" w:line="146" w:lineRule="exact"/>
              <w:rPr>
                <w:sz w:val="20"/>
                <w:szCs w:val="20"/>
                <w:color w:val="auto"/>
              </w:rPr>
            </w:pPr>
            <w:r>
              <w:rPr>
                <w:rFonts w:ascii="Arial" w:cs="Arial" w:eastAsia="Arial" w:hAnsi="Arial"/>
                <w:sz w:val="14"/>
                <w:szCs w:val="14"/>
                <w:b w:val="1"/>
                <w:bCs w:val="1"/>
                <w:color w:val="auto"/>
                <w:w w:val="90"/>
              </w:rPr>
              <w:t>Weighted Avg Grant</w:t>
            </w:r>
          </w:p>
        </w:tc>
        <w:tc>
          <w:tcPr>
            <w:tcW w:w="0" w:type="dxa"/>
            <w:vAlign w:val="bottom"/>
          </w:tcPr>
          <w:p>
            <w:pPr>
              <w:spacing w:after="0"/>
              <w:rPr>
                <w:sz w:val="1"/>
                <w:szCs w:val="1"/>
                <w:color w:val="auto"/>
              </w:rPr>
            </w:pPr>
          </w:p>
        </w:tc>
      </w:tr>
      <w:tr>
        <w:trPr>
          <w:trHeight w:val="188"/>
        </w:trPr>
        <w:tc>
          <w:tcPr>
            <w:tcW w:w="50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Date Fair Value/Unit</w:t>
            </w:r>
          </w:p>
        </w:tc>
        <w:tc>
          <w:tcPr>
            <w:tcW w:w="1540" w:type="dxa"/>
            <w:vAlign w:val="bottom"/>
            <w:gridSpan w:val="2"/>
            <w:vMerge w:val="continue"/>
          </w:tcPr>
          <w:p>
            <w:pPr>
              <w:spacing w:after="0"/>
              <w:rPr>
                <w:sz w:val="16"/>
                <w:szCs w:val="16"/>
                <w:color w:val="auto"/>
              </w:rPr>
            </w:pPr>
          </w:p>
        </w:tc>
        <w:tc>
          <w:tcPr>
            <w:tcW w:w="14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Date Fair Value/Unit</w:t>
            </w:r>
          </w:p>
        </w:tc>
        <w:tc>
          <w:tcPr>
            <w:tcW w:w="0" w:type="dxa"/>
            <w:vAlign w:val="bottom"/>
          </w:tcPr>
          <w:p>
            <w:pPr>
              <w:spacing w:after="0"/>
              <w:rPr>
                <w:sz w:val="1"/>
                <w:szCs w:val="1"/>
                <w:color w:val="auto"/>
              </w:rPr>
            </w:pPr>
          </w:p>
        </w:tc>
      </w:tr>
      <w:tr>
        <w:trPr>
          <w:trHeight w:val="24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Non-vested units at December 31, 2019</w:t>
            </w:r>
          </w:p>
        </w:tc>
        <w:tc>
          <w:tcPr>
            <w:tcW w:w="14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228,819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16,893,603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3.52</w:t>
            </w:r>
          </w:p>
        </w:tc>
        <w:tc>
          <w:tcPr>
            <w:tcW w:w="0" w:type="dxa"/>
            <w:vAlign w:val="bottom"/>
          </w:tcPr>
          <w:p>
            <w:pPr>
              <w:spacing w:after="0"/>
              <w:rPr>
                <w:sz w:val="1"/>
                <w:szCs w:val="1"/>
                <w:color w:val="auto"/>
              </w:rPr>
            </w:pPr>
          </w:p>
        </w:tc>
      </w:tr>
      <w:tr>
        <w:trPr>
          <w:trHeight w:val="235"/>
        </w:trPr>
        <w:tc>
          <w:tcPr>
            <w:tcW w:w="5080" w:type="dxa"/>
            <w:vAlign w:val="bottom"/>
          </w:tcPr>
          <w:p>
            <w:pPr>
              <w:ind w:left="4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(160,836)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(1,069,646)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35"/>
        </w:trPr>
        <w:tc>
          <w:tcPr>
            <w:tcW w:w="5080" w:type="dxa"/>
            <w:vAlign w:val="bottom"/>
          </w:tcPr>
          <w:p>
            <w:pPr>
              <w:ind w:left="4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(107,711)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Non-vested units at March 31, 2020</w:t>
            </w:r>
          </w:p>
        </w:tc>
        <w:tc>
          <w:tcPr>
            <w:tcW w:w="14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67,983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15,716,246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equity-based compensation expense related to employee incentive unit awards (in millions):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55"/>
        </w:trPr>
        <w:tc>
          <w:tcPr>
            <w:tcW w:w="8000" w:type="dxa"/>
            <w:vAlign w:val="bottom"/>
          </w:tcPr>
          <w:p>
            <w:pPr>
              <w:spacing w:after="0"/>
              <w:rPr>
                <w:sz w:val="22"/>
                <w:szCs w:val="22"/>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r>
      <w:tr>
        <w:trPr>
          <w:trHeight w:val="242"/>
        </w:trPr>
        <w:tc>
          <w:tcPr>
            <w:tcW w:w="8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0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Cost of service and Operating expenses include equity-based compensation expenses as follows: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Cost of service</w:t>
            </w:r>
          </w:p>
        </w:tc>
        <w:tc>
          <w:tcPr>
            <w:tcW w:w="1060" w:type="dxa"/>
            <w:vAlign w:val="bottom"/>
          </w:tcPr>
          <w:p>
            <w:pPr>
              <w:jc w:val="right"/>
              <w:ind w:right="881"/>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0"/>
                <w:szCs w:val="20"/>
                <w:color w:val="auto"/>
              </w:rPr>
            </w:pPr>
          </w:p>
        </w:tc>
        <w:tc>
          <w:tcPr>
            <w:tcW w:w="1080" w:type="dxa"/>
            <w:vAlign w:val="bottom"/>
          </w:tcPr>
          <w:p>
            <w:pPr>
              <w:jc w:val="right"/>
              <w:ind w:right="879"/>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1.2</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Sales and marketing</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1060" w:type="dxa"/>
            <w:vAlign w:val="bottom"/>
          </w:tcPr>
          <w:p>
            <w:pPr>
              <w:spacing w:after="0"/>
              <w:rPr>
                <w:sz w:val="20"/>
                <w:szCs w:val="20"/>
                <w:color w:val="auto"/>
              </w:rPr>
            </w:pPr>
          </w:p>
        </w:tc>
        <w:tc>
          <w:tcPr>
            <w:tcW w:w="520" w:type="dxa"/>
            <w:vAlign w:val="bottom"/>
          </w:tcPr>
          <w:p>
            <w:pPr>
              <w:jc w:val="right"/>
              <w:ind w:right="1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0.3</w:t>
            </w:r>
          </w:p>
        </w:tc>
      </w:tr>
      <w:tr>
        <w:trPr>
          <w:trHeight w:val="27"/>
        </w:trPr>
        <w:tc>
          <w:tcPr>
            <w:tcW w:w="80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w:t>
            </w:r>
          </w:p>
        </w:tc>
      </w:tr>
      <w:tr>
        <w:trPr>
          <w:trHeight w:val="248"/>
        </w:trPr>
        <w:tc>
          <w:tcPr>
            <w:tcW w:w="8000" w:type="dxa"/>
            <w:vAlign w:val="bottom"/>
          </w:tcPr>
          <w:p>
            <w:pPr>
              <w:ind w:left="480"/>
              <w:spacing w:after="0"/>
              <w:rPr>
                <w:sz w:val="20"/>
                <w:szCs w:val="20"/>
                <w:color w:val="auto"/>
              </w:rPr>
            </w:pPr>
            <w:r>
              <w:rPr>
                <w:rFonts w:ascii="Arial" w:cs="Arial" w:eastAsia="Arial" w:hAnsi="Arial"/>
                <w:sz w:val="17"/>
                <w:szCs w:val="17"/>
                <w:color w:val="auto"/>
              </w:rPr>
              <w:t>Total equity-based compensation expense</w:t>
            </w: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5.6</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Income Tax Provision</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recorded $0.4 million of income tax benefit for the three months ended March 31, 2020 and $3.3 million for the three months ended March 31, 2019. The Company’s estimated annual effective tax rate for the three months ended March 31, 2020 was 6.9%. The Company’s estimated annual effective tax rate is less than the statutory rate of 21.0% primarily because the Company is not liable for income taxes on the portion of earnings that are attributable to partnerships.</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The Coronavirus Aid, Relief, and Economic Security (CARES) Act was signed into law on March 27, 2020. The Act contained several retroactive corporate tax provisions, including modifications to net operating loss application and the Section 163(j) limitation on business interest expense. Under U.S. GAAP, the effect of a change in tax law is recorded discretely as a component of the income tax provision related to continuing operations in the period of enactment. The act did not have a material impact on the income tax benefit or the deferred taxes of the Company for the three months ended March 31, 2020.</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1240"/>
          </w:cols>
          <w:pgMar w:left="320" w:top="749" w:right="339" w:bottom="1440" w:gutter="0" w:footer="0" w:header="0"/>
        </w:sectPr>
      </w:pPr>
    </w:p>
    <w:bookmarkStart w:id="308" w:name="page309"/>
    <w:bookmarkEnd w:id="308"/>
    <w:p>
      <w:pPr>
        <w:spacing w:after="0"/>
        <w:rPr>
          <w:sz w:val="20"/>
          <w:szCs w:val="20"/>
          <w:color w:val="auto"/>
        </w:rPr>
      </w:pPr>
      <w:r>
        <w:rPr>
          <w:rFonts w:ascii="Arial" w:cs="Arial" w:eastAsia="Arial" w:hAnsi="Arial"/>
          <w:sz w:val="17"/>
          <w:szCs w:val="17"/>
          <w:b w:val="1"/>
          <w:bCs w:val="1"/>
          <w:color w:val="auto"/>
        </w:rPr>
        <w:t>Note 15 - Subsequent Events</w:t>
      </w:r>
    </w:p>
    <w:p>
      <w:pPr>
        <w:spacing w:after="0" w:line="177" w:lineRule="exact"/>
        <w:rPr>
          <w:sz w:val="20"/>
          <w:szCs w:val="20"/>
          <w:color w:val="auto"/>
        </w:rPr>
      </w:pPr>
    </w:p>
    <w:p>
      <w:pPr>
        <w:ind w:firstLine="314"/>
        <w:spacing w:after="0" w:line="289" w:lineRule="auto"/>
        <w:rPr>
          <w:sz w:val="20"/>
          <w:szCs w:val="20"/>
          <w:color w:val="auto"/>
        </w:rPr>
      </w:pPr>
      <w:r>
        <w:rPr>
          <w:rFonts w:ascii="Arial" w:cs="Arial" w:eastAsia="Arial" w:hAnsi="Arial"/>
          <w:sz w:val="17"/>
          <w:szCs w:val="17"/>
          <w:color w:val="auto"/>
        </w:rPr>
        <w:t>Events and transactions occurring through the date of issuance of the financial statements have been evaluated by management and, when appropriate, recognized or disclosed in the financial statements or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F-70</w:t>
      </w:r>
    </w:p>
    <w:p>
      <w:pPr>
        <w:sectPr>
          <w:pgSz w:w="11900" w:h="16838" w:orient="portrait"/>
          <w:cols w:equalWidth="0" w:num="1">
            <w:col w:w="11240"/>
          </w:cols>
          <w:pgMar w:left="320" w:top="331" w:right="339" w:bottom="1440" w:gutter="0" w:footer="0" w:header="0"/>
        </w:sectPr>
      </w:pPr>
    </w:p>
    <w:bookmarkStart w:id="309" w:name="page310"/>
    <w:bookmarkEnd w:id="309"/>
    <w:p>
      <w:pPr>
        <w:jc w:val="center"/>
        <w:ind w:right="-19"/>
        <w:spacing w:after="0"/>
        <w:rPr>
          <w:sz w:val="20"/>
          <w:szCs w:val="20"/>
          <w:color w:val="auto"/>
        </w:rPr>
      </w:pPr>
      <w:r>
        <w:rPr>
          <w:rFonts w:ascii="Arial" w:cs="Arial" w:eastAsia="Arial" w:hAnsi="Arial"/>
          <w:sz w:val="17"/>
          <w:szCs w:val="17"/>
          <w:b w:val="1"/>
          <w:bCs w:val="1"/>
          <w:color w:val="auto"/>
        </w:rPr>
        <w:t>Independent Auditor's Report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Zoom Information,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on the Financial Statements</w:t>
      </w:r>
    </w:p>
    <w:p>
      <w:pPr>
        <w:spacing w:after="0" w:line="3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have audited the accompanying financial statements of Zoom Information, Inc. and Subsidiaries (the Company), which comprise the balance sheets as of January 31, 2019 and December 31, 2018, the related statements of operations, convertible preferred stock and stockholders’ equity and cash flows for the period from January 1, 2019 through January 31, 2019 and for the year ended December 31, 2018, and the related notes to the financial statements (collectively, the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Responsibility for the Financial Statements</w:t>
      </w:r>
    </w:p>
    <w:p>
      <w:pPr>
        <w:spacing w:after="0" w:line="3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Auditor’s Responsibility</w:t>
      </w:r>
    </w:p>
    <w:p>
      <w:pPr>
        <w:spacing w:after="0" w:line="32"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the audit evidence we have obtained is sufficient and appropriate to provide a basis for our audit opinion.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w:t>
      </w:r>
    </w:p>
    <w:p>
      <w:pPr>
        <w:spacing w:after="0" w:line="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Zoom Information, Inc. and Subsidiaries as of January 31, 2019 and December 31, 2018, and the results of its operations and its cash flows for the period from January 1, 2019 through January 31, 2019 and the year ended December 31, 2018, in accordance with accounting principles generally accepted in the United States of America.</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Emphasis of Matter</w:t>
      </w:r>
    </w:p>
    <w:p>
      <w:pPr>
        <w:spacing w:after="0" w:line="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As discussed in Note 3 to the financial statements, the Company has changed its method of accounting for revenue effective January 1, 2019 due to the adoption of Accounting Standards Codification 606, Revenue from Contracts with Customers. Our opinion is not modified with respect to this matter.</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November 22, 2019</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F-71</w:t>
      </w:r>
    </w:p>
    <w:p>
      <w:pPr>
        <w:sectPr>
          <w:pgSz w:w="11900" w:h="16838" w:orient="portrait"/>
          <w:cols w:equalWidth="0" w:num="1">
            <w:col w:w="11240"/>
          </w:cols>
          <w:pgMar w:left="320" w:top="357" w:right="339" w:bottom="1440" w:gutter="0" w:footer="0" w:header="0"/>
        </w:sectPr>
      </w:pPr>
    </w:p>
    <w:bookmarkStart w:id="310" w:name="page311"/>
    <w:bookmarkEnd w:id="310"/>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January 31, 2019 and December 31, 2018</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Current assets: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10,873,046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9,691,793</w:t>
            </w: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Accounts receivable, net</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21,614,693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28,204,910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Income tax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1,017,936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1,017,936</w:t>
            </w: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5,152,429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6,986,862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Capitalized commissions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3,585,122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8000" w:type="dxa"/>
            <w:vAlign w:val="bottom"/>
          </w:tcPr>
          <w:p>
            <w:pPr>
              <w:ind w:left="680"/>
              <w:spacing w:after="0"/>
              <w:rPr>
                <w:sz w:val="20"/>
                <w:szCs w:val="20"/>
                <w:color w:val="auto"/>
              </w:rPr>
            </w:pPr>
            <w:r>
              <w:rPr>
                <w:rFonts w:ascii="Arial" w:cs="Arial" w:eastAsia="Arial" w:hAnsi="Arial"/>
                <w:sz w:val="17"/>
                <w:szCs w:val="17"/>
                <w:b w:val="1"/>
                <w:bCs w:val="1"/>
                <w:color w:val="auto"/>
              </w:rPr>
              <w:t>Total current assets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42,243,226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45,901,501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5,725,173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944,516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55,187,215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Goodwill</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168,916,468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168,916,468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1,410,408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1,408,765</w:t>
            </w:r>
          </w:p>
        </w:tc>
        <w:tc>
          <w:tcPr>
            <w:tcW w:w="0" w:type="dxa"/>
            <w:vAlign w:val="bottom"/>
          </w:tcPr>
          <w:p>
            <w:pPr>
              <w:spacing w:after="0"/>
              <w:rPr>
                <w:sz w:val="1"/>
                <w:szCs w:val="1"/>
                <w:color w:val="auto"/>
              </w:rPr>
            </w:pPr>
          </w:p>
        </w:tc>
      </w:tr>
      <w:tr>
        <w:trPr>
          <w:trHeight w:val="288"/>
        </w:trPr>
        <w:tc>
          <w:tcPr>
            <w:tcW w:w="8000" w:type="dxa"/>
            <w:vAlign w:val="bottom"/>
            <w:tcBorders>
              <w:bottom w:val="single" w:sz="8" w:color="CCEEFF"/>
            </w:tcBorders>
          </w:tcPr>
          <w:p>
            <w:pPr>
              <w:ind w:left="68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273,482,490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273,175,627</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Liabilities, Convertible Preferred Stock and Stockholders’ Equity</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Accounts payable</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1,118,101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2,250,947</w:t>
            </w: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Accrued expenses</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4,151,226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6,975,959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65,782,029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64,832,159</w:t>
            </w: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Current maturities of long-term debt</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1,431,000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1,431,000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72,482,356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75,490,065</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 less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2,481,803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2,702,845</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Deferred tax liability</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9,469,299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8,921,988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132,389,234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132,323,669</w:t>
            </w:r>
          </w:p>
        </w:tc>
        <w:tc>
          <w:tcPr>
            <w:tcW w:w="0" w:type="dxa"/>
            <w:vAlign w:val="bottom"/>
          </w:tcPr>
          <w:p>
            <w:pPr>
              <w:spacing w:after="0"/>
              <w:rPr>
                <w:sz w:val="1"/>
                <w:szCs w:val="1"/>
                <w:color w:val="auto"/>
              </w:rPr>
            </w:pPr>
          </w:p>
        </w:tc>
      </w:tr>
      <w:tr>
        <w:trPr>
          <w:trHeight w:val="228"/>
        </w:trPr>
        <w:tc>
          <w:tcPr>
            <w:tcW w:w="8000" w:type="dxa"/>
            <w:vAlign w:val="bottom"/>
          </w:tcPr>
          <w:p>
            <w:pPr>
              <w:ind w:left="680"/>
              <w:spacing w:after="0"/>
              <w:rPr>
                <w:sz w:val="20"/>
                <w:szCs w:val="20"/>
                <w:color w:val="auto"/>
              </w:rPr>
            </w:pPr>
            <w:r>
              <w:rPr>
                <w:rFonts w:ascii="Arial" w:cs="Arial" w:eastAsia="Arial" w:hAnsi="Arial"/>
                <w:sz w:val="17"/>
                <w:szCs w:val="17"/>
                <w:b w:val="1"/>
                <w:bCs w:val="1"/>
                <w:color w:val="auto"/>
              </w:rPr>
              <w:t>Total liabilities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216,822,692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219,438,567</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480"/>
              <w:spacing w:after="0"/>
              <w:rPr>
                <w:sz w:val="20"/>
                <w:szCs w:val="20"/>
                <w:color w:val="auto"/>
              </w:rPr>
            </w:pPr>
            <w:r>
              <w:rPr>
                <w:rFonts w:ascii="Arial" w:cs="Arial" w:eastAsia="Arial" w:hAnsi="Arial"/>
                <w:sz w:val="17"/>
                <w:szCs w:val="17"/>
                <w:color w:val="auto"/>
                <w:w w:val="95"/>
              </w:rPr>
              <w:t>Series 1 convertible preferred stock: $0.02 par value; 80,000,000 shares designated; 53,944,487 shares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40"/>
              <w:spacing w:after="0"/>
              <w:rPr>
                <w:sz w:val="20"/>
                <w:szCs w:val="20"/>
                <w:color w:val="auto"/>
              </w:rPr>
            </w:pPr>
            <w:r>
              <w:rPr>
                <w:rFonts w:ascii="Arial" w:cs="Arial" w:eastAsia="Arial" w:hAnsi="Arial"/>
                <w:sz w:val="17"/>
                <w:szCs w:val="17"/>
                <w:color w:val="auto"/>
                <w:w w:val="95"/>
              </w:rPr>
              <w:t>issued and outstanding at January 31, 2019 and December 31, 2018, respectively (liquidation value of</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640"/>
              <w:spacing w:after="0"/>
              <w:rPr>
                <w:sz w:val="20"/>
                <w:szCs w:val="20"/>
                <w:color w:val="auto"/>
              </w:rPr>
            </w:pPr>
            <w:r>
              <w:rPr>
                <w:rFonts w:ascii="Arial" w:cs="Arial" w:eastAsia="Arial" w:hAnsi="Arial"/>
                <w:sz w:val="17"/>
                <w:szCs w:val="17"/>
                <w:color w:val="auto"/>
              </w:rPr>
              <w:t>$90,074,418 as of January 31, 2019)</w:t>
            </w:r>
          </w:p>
        </w:tc>
        <w:tc>
          <w:tcPr>
            <w:tcW w:w="36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1,078,890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1,078,890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Common stock:</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7"/>
              </w:rPr>
              <w:t>Series A: $0.02 par value; 37,763,000 shares designated; 7,319,897 shares issued and outstanding at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January 31, 2019 and December 31, 2018, 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146,398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146,398</w:t>
            </w:r>
          </w:p>
        </w:tc>
        <w:tc>
          <w:tcPr>
            <w:tcW w:w="0" w:type="dxa"/>
            <w:vAlign w:val="bottom"/>
          </w:tcPr>
          <w:p>
            <w:pPr>
              <w:spacing w:after="0"/>
              <w:rPr>
                <w:sz w:val="1"/>
                <w:szCs w:val="1"/>
                <w:color w:val="auto"/>
              </w:rPr>
            </w:pPr>
          </w:p>
        </w:tc>
      </w:tr>
      <w:tr>
        <w:trPr>
          <w:trHeight w:val="223"/>
        </w:trPr>
        <w:tc>
          <w:tcPr>
            <w:tcW w:w="8000" w:type="dxa"/>
            <w:vAlign w:val="bottom"/>
          </w:tcPr>
          <w:p>
            <w:pPr>
              <w:ind w:left="480"/>
              <w:spacing w:after="0"/>
              <w:rPr>
                <w:sz w:val="20"/>
                <w:szCs w:val="20"/>
                <w:color w:val="auto"/>
              </w:rPr>
            </w:pPr>
            <w:r>
              <w:rPr>
                <w:rFonts w:ascii="Arial" w:cs="Arial" w:eastAsia="Arial" w:hAnsi="Arial"/>
                <w:sz w:val="17"/>
                <w:szCs w:val="17"/>
                <w:color w:val="auto"/>
                <w:w w:val="94"/>
              </w:rPr>
              <w:t>Series B: $0.01 par value; 54,959,650 shares designated; 175,840 and 162,240 issued and outstanding at</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00" w:type="dxa"/>
            <w:vAlign w:val="bottom"/>
          </w:tcPr>
          <w:p>
            <w:pPr>
              <w:ind w:left="640"/>
              <w:spacing w:after="0"/>
              <w:rPr>
                <w:sz w:val="20"/>
                <w:szCs w:val="20"/>
                <w:color w:val="auto"/>
              </w:rPr>
            </w:pPr>
            <w:r>
              <w:rPr>
                <w:rFonts w:ascii="Arial" w:cs="Arial" w:eastAsia="Arial" w:hAnsi="Arial"/>
                <w:sz w:val="17"/>
                <w:szCs w:val="17"/>
                <w:color w:val="auto"/>
              </w:rPr>
              <w:t>January 31, 2019 and December 31, 2018, respectively</w:t>
            </w:r>
          </w:p>
        </w:tc>
        <w:tc>
          <w:tcPr>
            <w:tcW w:w="36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1,758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1,622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78,907,423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78,854,320</w:t>
            </w:r>
          </w:p>
        </w:tc>
        <w:tc>
          <w:tcPr>
            <w:tcW w:w="0" w:type="dxa"/>
            <w:vAlign w:val="bottom"/>
          </w:tcPr>
          <w:p>
            <w:pPr>
              <w:spacing w:after="0"/>
              <w:rPr>
                <w:sz w:val="1"/>
                <w:szCs w:val="1"/>
                <w:color w:val="auto"/>
              </w:rPr>
            </w:pP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color w:val="auto"/>
              </w:rPr>
              <w:t>Accumulated deficit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(23,474,671)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(26,344,170)</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0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b w:val="1"/>
                <w:bCs w:val="1"/>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56,659,798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53,737,060</w:t>
            </w:r>
          </w:p>
        </w:tc>
        <w:tc>
          <w:tcPr>
            <w:tcW w:w="0" w:type="dxa"/>
            <w:vAlign w:val="bottom"/>
          </w:tcPr>
          <w:p>
            <w:pPr>
              <w:spacing w:after="0"/>
              <w:rPr>
                <w:sz w:val="1"/>
                <w:szCs w:val="1"/>
                <w:color w:val="auto"/>
              </w:rPr>
            </w:pPr>
          </w:p>
        </w:tc>
      </w:tr>
      <w:tr>
        <w:trPr>
          <w:trHeight w:val="248"/>
        </w:trPr>
        <w:tc>
          <w:tcPr>
            <w:tcW w:w="8000" w:type="dxa"/>
            <w:vAlign w:val="bottom"/>
          </w:tcPr>
          <w:p>
            <w:pPr>
              <w:ind w:left="680"/>
              <w:spacing w:after="0"/>
              <w:rPr>
                <w:sz w:val="20"/>
                <w:szCs w:val="20"/>
                <w:color w:val="auto"/>
              </w:rPr>
            </w:pPr>
            <w:r>
              <w:rPr>
                <w:rFonts w:ascii="Arial" w:cs="Arial" w:eastAsia="Arial" w:hAnsi="Arial"/>
                <w:sz w:val="17"/>
                <w:szCs w:val="17"/>
                <w:b w:val="1"/>
                <w:bCs w:val="1"/>
                <w:color w:val="auto"/>
              </w:rPr>
              <w:t>Total liabilities and stockholders’ equity</w:t>
            </w: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273,482,490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273,175,627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460"/>
              <w:spacing w:after="0"/>
              <w:rPr>
                <w:sz w:val="20"/>
                <w:szCs w:val="20"/>
                <w:color w:val="auto"/>
              </w:rPr>
            </w:pPr>
            <w:r>
              <w:rPr>
                <w:rFonts w:ascii="Arial" w:cs="Arial" w:eastAsia="Arial" w:hAnsi="Arial"/>
                <w:sz w:val="17"/>
                <w:szCs w:val="17"/>
                <w:i w:val="1"/>
                <w:iCs w:val="1"/>
                <w:color w:val="auto"/>
              </w:rPr>
              <w:t>See notes to financial statements.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6"/>
        </w:trPr>
        <w:tc>
          <w:tcPr>
            <w:tcW w:w="8000" w:type="dxa"/>
            <w:vAlign w:val="bottom"/>
          </w:tcPr>
          <w:p>
            <w:pPr>
              <w:ind w:left="5460"/>
              <w:spacing w:after="0"/>
              <w:rPr>
                <w:sz w:val="20"/>
                <w:szCs w:val="20"/>
                <w:color w:val="auto"/>
              </w:rPr>
            </w:pPr>
            <w:r>
              <w:rPr>
                <w:rFonts w:ascii="Arial" w:cs="Arial" w:eastAsia="Arial" w:hAnsi="Arial"/>
                <w:sz w:val="17"/>
                <w:szCs w:val="17"/>
                <w:color w:val="auto"/>
              </w:rPr>
              <w:t>F-72</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0" w:right="3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from January 1, 2019 through January 31, 2019 and the Year Ended December 31, 2018</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9,693,329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72,467,948</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926,744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9,076,689</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3,338,127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40,259,914</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1,663,534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13,093,595</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General and administrative</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1,584,180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16,307,450</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530,367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2,660,523</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Loss on share redemption obligation</w:t>
            </w:r>
          </w:p>
        </w:tc>
        <w:tc>
          <w:tcPr>
            <w:tcW w:w="3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14,087,015</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Gain on sale of property and equipment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72,943</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b w:val="1"/>
                <w:bCs w:val="1"/>
                <w:color w:val="auto"/>
              </w:rPr>
              <w:t>Total operating expenses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8,042,952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95,558,129</w:t>
            </w:r>
          </w:p>
        </w:tc>
      </w:tr>
      <w:tr>
        <w:trPr>
          <w:trHeight w:val="27"/>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1"/>
        </w:trPr>
        <w:tc>
          <w:tcPr>
            <w:tcW w:w="8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b w:val="1"/>
                <w:bCs w:val="1"/>
                <w:color w:val="auto"/>
              </w:rPr>
              <w:t>Income (loss) from operations</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1,650,377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(23,090,181)</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Other income, net</w:t>
            </w:r>
          </w:p>
        </w:tc>
        <w:tc>
          <w:tcPr>
            <w:tcW w:w="38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19,307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7"/>
                <w:szCs w:val="17"/>
                <w:color w:val="auto"/>
              </w:rPr>
              <w:t>54,066</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Interest expense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(1,024,625)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(9,348,733)</w:t>
            </w:r>
          </w:p>
        </w:tc>
      </w:tr>
      <w:tr>
        <w:trPr>
          <w:trHeight w:val="228"/>
        </w:trPr>
        <w:tc>
          <w:tcPr>
            <w:tcW w:w="8000" w:type="dxa"/>
            <w:vAlign w:val="bottom"/>
          </w:tcPr>
          <w:p>
            <w:pPr>
              <w:ind w:left="480"/>
              <w:spacing w:after="0"/>
              <w:rPr>
                <w:sz w:val="20"/>
                <w:szCs w:val="20"/>
                <w:color w:val="auto"/>
              </w:rPr>
            </w:pPr>
            <w:r>
              <w:rPr>
                <w:rFonts w:ascii="Arial" w:cs="Arial" w:eastAsia="Arial" w:hAnsi="Arial"/>
                <w:sz w:val="17"/>
                <w:szCs w:val="17"/>
                <w:b w:val="1"/>
                <w:bCs w:val="1"/>
                <w:color w:val="auto"/>
              </w:rPr>
              <w:t>Income (loss) before income taxes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645,059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(32,384,848)</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benefit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(4,912,625)</w:t>
            </w:r>
          </w:p>
        </w:tc>
      </w:tr>
      <w:tr>
        <w:trPr>
          <w:trHeight w:val="248"/>
        </w:trPr>
        <w:tc>
          <w:tcPr>
            <w:tcW w:w="8000" w:type="dxa"/>
            <w:vAlign w:val="bottom"/>
          </w:tcPr>
          <w:p>
            <w:pPr>
              <w:ind w:left="480"/>
              <w:spacing w:after="0"/>
              <w:rPr>
                <w:sz w:val="20"/>
                <w:szCs w:val="20"/>
                <w:color w:val="auto"/>
              </w:rPr>
            </w:pPr>
            <w:r>
              <w:rPr>
                <w:rFonts w:ascii="Arial" w:cs="Arial" w:eastAsia="Arial" w:hAnsi="Arial"/>
                <w:sz w:val="17"/>
                <w:szCs w:val="17"/>
                <w:b w:val="1"/>
                <w:bCs w:val="1"/>
                <w:color w:val="auto"/>
              </w:rPr>
              <w:t>Net income (loss)</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(27,472,223)</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1240"/>
          </w:cols>
          <w:pgMar w:left="320" w:top="330" w:right="339" w:bottom="1440" w:gutter="0" w:footer="0" w:header="0"/>
        </w:sectPr>
      </w:pPr>
    </w:p>
    <w:bookmarkStart w:id="312" w:name="page313"/>
    <w:bookmarkEnd w:id="312"/>
    <w:p>
      <w:pPr>
        <w:jc w:val="center"/>
        <w:ind w:right="40"/>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Statements of Convertible Preferred Stock and Stockholders’ Equity</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Period from January 1, 2019 through January 31, 2019 and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218440</wp:posOffset>
            </wp:positionV>
            <wp:extent cx="7136130" cy="24784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2478405"/>
                    </a:xfrm>
                    <a:prstGeom prst="rect">
                      <a:avLst/>
                    </a:prstGeom>
                    <a:noFill/>
                  </pic:spPr>
                </pic:pic>
              </a:graphicData>
            </a:graphic>
          </wp:anchor>
        </w:drawing>
      </w:r>
    </w:p>
    <w:p>
      <w:pPr>
        <w:sectPr>
          <w:pgSz w:w="11900" w:h="16838" w:orient="portrait"/>
          <w:cols w:equalWidth="0" w:num="1">
            <w:col w:w="11200"/>
          </w:cols>
          <w:pgMar w:left="360" w:top="330"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900" w:type="dxa"/>
            <w:vAlign w:val="bottom"/>
            <w:gridSpan w:val="3"/>
          </w:tcPr>
          <w:p>
            <w:pPr>
              <w:jc w:val="right"/>
              <w:ind w:right="643"/>
              <w:spacing w:after="0"/>
              <w:rPr>
                <w:sz w:val="20"/>
                <w:szCs w:val="20"/>
                <w:color w:val="auto"/>
              </w:rPr>
            </w:pPr>
            <w:r>
              <w:rPr>
                <w:rFonts w:ascii="Arial" w:cs="Arial" w:eastAsia="Arial" w:hAnsi="Arial"/>
                <w:sz w:val="14"/>
                <w:szCs w:val="14"/>
                <w:b w:val="1"/>
                <w:bCs w:val="1"/>
                <w:color w:val="auto"/>
              </w:rPr>
              <w:t>Series 1</w:t>
            </w:r>
          </w:p>
        </w:tc>
      </w:tr>
      <w:tr>
        <w:trPr>
          <w:trHeight w:val="188"/>
        </w:trPr>
        <w:tc>
          <w:tcPr>
            <w:tcW w:w="2120" w:type="dxa"/>
            <w:vAlign w:val="bottom"/>
          </w:tcPr>
          <w:p>
            <w:pPr>
              <w:spacing w:after="0"/>
              <w:rPr>
                <w:sz w:val="16"/>
                <w:szCs w:val="16"/>
                <w:color w:val="auto"/>
              </w:rPr>
            </w:pPr>
          </w:p>
        </w:tc>
        <w:tc>
          <w:tcPr>
            <w:tcW w:w="19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5"/>
              </w:rPr>
              <w:t>Convertible Preferred Stock</w:t>
            </w:r>
          </w:p>
        </w:tc>
      </w:tr>
      <w:tr>
        <w:trPr>
          <w:trHeight w:val="146"/>
        </w:trPr>
        <w:tc>
          <w:tcPr>
            <w:tcW w:w="2120" w:type="dxa"/>
            <w:vAlign w:val="bottom"/>
          </w:tcPr>
          <w:p>
            <w:pPr>
              <w:spacing w:after="0"/>
              <w:rPr>
                <w:sz w:val="12"/>
                <w:szCs w:val="12"/>
                <w:color w:val="auto"/>
              </w:rPr>
            </w:pPr>
          </w:p>
        </w:tc>
        <w:tc>
          <w:tcPr>
            <w:tcW w:w="102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jc w:val="right"/>
              <w:ind w:right="83"/>
              <w:spacing w:after="0" w:line="146" w:lineRule="exact"/>
              <w:rPr>
                <w:sz w:val="20"/>
                <w:szCs w:val="20"/>
                <w:color w:val="auto"/>
              </w:rPr>
            </w:pPr>
            <w:r>
              <w:rPr>
                <w:rFonts w:ascii="Arial" w:cs="Arial" w:eastAsia="Arial" w:hAnsi="Arial"/>
                <w:sz w:val="14"/>
                <w:szCs w:val="14"/>
                <w:b w:val="1"/>
                <w:bCs w:val="1"/>
                <w:color w:val="auto"/>
              </w:rPr>
              <w:t>$0.02 Par</w:t>
            </w:r>
          </w:p>
        </w:tc>
      </w:tr>
      <w:tr>
        <w:trPr>
          <w:trHeight w:val="188"/>
        </w:trPr>
        <w:tc>
          <w:tcPr>
            <w:tcW w:w="212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ind w:right="203"/>
              <w:spacing w:after="0"/>
              <w:rPr>
                <w:sz w:val="20"/>
                <w:szCs w:val="20"/>
                <w:color w:val="auto"/>
              </w:rPr>
            </w:pPr>
            <w:r>
              <w:rPr>
                <w:rFonts w:ascii="Arial" w:cs="Arial" w:eastAsia="Arial" w:hAnsi="Arial"/>
                <w:sz w:val="14"/>
                <w:szCs w:val="14"/>
                <w:b w:val="1"/>
                <w:bCs w:val="1"/>
                <w:color w:val="auto"/>
              </w:rPr>
              <w:t>Value</w:t>
            </w:r>
          </w:p>
        </w:tc>
      </w:tr>
      <w:tr>
        <w:trPr>
          <w:trHeight w:val="215"/>
        </w:trPr>
        <w:tc>
          <w:tcPr>
            <w:tcW w:w="2120" w:type="dxa"/>
            <w:vAlign w:val="bottom"/>
          </w:tcPr>
          <w:p>
            <w:pPr>
              <w:spacing w:after="0"/>
              <w:rPr>
                <w:sz w:val="20"/>
                <w:szCs w:val="20"/>
                <w:color w:val="auto"/>
              </w:rPr>
            </w:pPr>
            <w:r>
              <w:rPr>
                <w:rFonts w:ascii="Arial" w:cs="Arial" w:eastAsia="Arial" w:hAnsi="Arial"/>
                <w:sz w:val="16"/>
                <w:szCs w:val="16"/>
                <w:color w:val="auto"/>
                <w:w w:val="95"/>
              </w:rPr>
              <w:t>Balance at December 31, 2017</w:t>
            </w:r>
          </w:p>
        </w:tc>
        <w:tc>
          <w:tcPr>
            <w:tcW w:w="900" w:type="dxa"/>
            <w:vAlign w:val="bottom"/>
            <w:tcBorders>
              <w:top w:val="single" w:sz="8" w:color="auto"/>
            </w:tcBorders>
          </w:tcPr>
          <w:p>
            <w:pPr>
              <w:jc w:val="right"/>
              <w:ind w:right="24"/>
              <w:spacing w:after="0"/>
              <w:rPr>
                <w:sz w:val="20"/>
                <w:szCs w:val="20"/>
                <w:color w:val="auto"/>
              </w:rPr>
            </w:pPr>
            <w:r>
              <w:rPr>
                <w:rFonts w:ascii="Arial" w:cs="Arial" w:eastAsia="Arial" w:hAnsi="Arial"/>
                <w:sz w:val="16"/>
                <w:szCs w:val="16"/>
                <w:color w:val="auto"/>
                <w:w w:val="97"/>
              </w:rPr>
              <w:t>53,944,487</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w w:val="87"/>
              </w:rPr>
              <w:t>$ 1,078,890</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w w:val="97"/>
              </w:rPr>
              <w:t>Stock-based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33"/>
        </w:trPr>
        <w:tc>
          <w:tcPr>
            <w:tcW w:w="2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120" w:type="dxa"/>
            <w:vAlign w:val="bottom"/>
          </w:tcPr>
          <w:p>
            <w:pPr>
              <w:spacing w:after="0"/>
              <w:rPr>
                <w:sz w:val="20"/>
                <w:szCs w:val="20"/>
                <w:color w:val="auto"/>
              </w:rPr>
            </w:pPr>
            <w:r>
              <w:rPr>
                <w:rFonts w:ascii="Arial" w:cs="Arial" w:eastAsia="Arial" w:hAnsi="Arial"/>
                <w:sz w:val="16"/>
                <w:szCs w:val="16"/>
                <w:color w:val="auto"/>
                <w:w w:val="95"/>
              </w:rPr>
              <w:t>Balance at December 31, 2018</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w w:val="97"/>
              </w:rPr>
              <w:t>53,944,487</w:t>
            </w:r>
          </w:p>
        </w:tc>
        <w:tc>
          <w:tcPr>
            <w:tcW w:w="120" w:type="dxa"/>
            <w:vAlign w:val="bottom"/>
          </w:tcPr>
          <w:p>
            <w:pPr>
              <w:spacing w:after="0"/>
              <w:rPr>
                <w:sz w:val="18"/>
                <w:szCs w:val="18"/>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1,078,890</w:t>
            </w:r>
          </w:p>
        </w:tc>
      </w:tr>
      <w:tr>
        <w:trPr>
          <w:trHeight w:val="245"/>
        </w:trPr>
        <w:tc>
          <w:tcPr>
            <w:tcW w:w="2120" w:type="dxa"/>
            <w:vAlign w:val="bottom"/>
          </w:tcPr>
          <w:p>
            <w:pPr>
              <w:ind w:left="220"/>
              <w:spacing w:after="0"/>
              <w:rPr>
                <w:sz w:val="20"/>
                <w:szCs w:val="20"/>
                <w:color w:val="auto"/>
              </w:rPr>
            </w:pPr>
            <w:r>
              <w:rPr>
                <w:rFonts w:ascii="Arial" w:cs="Arial" w:eastAsia="Arial" w:hAnsi="Arial"/>
                <w:sz w:val="16"/>
                <w:szCs w:val="16"/>
                <w:color w:val="auto"/>
                <w:w w:val="96"/>
              </w:rPr>
              <w:t>Cumulative impact from the</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96"/>
        </w:trPr>
        <w:tc>
          <w:tcPr>
            <w:tcW w:w="2120" w:type="dxa"/>
            <w:vAlign w:val="bottom"/>
          </w:tcPr>
          <w:p>
            <w:pPr>
              <w:ind w:left="380"/>
              <w:spacing w:after="0"/>
              <w:rPr>
                <w:sz w:val="20"/>
                <w:szCs w:val="20"/>
                <w:color w:val="auto"/>
              </w:rPr>
            </w:pPr>
            <w:r>
              <w:rPr>
                <w:rFonts w:ascii="Arial" w:cs="Arial" w:eastAsia="Arial" w:hAnsi="Arial"/>
                <w:sz w:val="16"/>
                <w:szCs w:val="16"/>
                <w:color w:val="auto"/>
              </w:rPr>
              <w:t>adoption of ASU</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2120" w:type="dxa"/>
            <w:vAlign w:val="bottom"/>
          </w:tcPr>
          <w:p>
            <w:pPr>
              <w:ind w:left="380"/>
              <w:spacing w:after="0"/>
              <w:rPr>
                <w:sz w:val="20"/>
                <w:szCs w:val="20"/>
                <w:color w:val="auto"/>
              </w:rPr>
            </w:pPr>
            <w:r>
              <w:rPr>
                <w:rFonts w:ascii="Arial" w:cs="Arial" w:eastAsia="Arial" w:hAnsi="Arial"/>
                <w:sz w:val="16"/>
                <w:szCs w:val="16"/>
                <w:color w:val="auto"/>
              </w:rPr>
              <w:t>No. 2014-19 (Note 3)</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rPr>
              <w:t>Exercise of stock options</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w w:val="97"/>
              </w:rPr>
              <w:t>Stock-based compensation</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262"/>
        </w:trPr>
        <w:tc>
          <w:tcPr>
            <w:tcW w:w="21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w:t>
            </w:r>
          </w:p>
        </w:tc>
      </w:tr>
      <w:tr>
        <w:trPr>
          <w:trHeight w:val="33"/>
        </w:trPr>
        <w:tc>
          <w:tcPr>
            <w:tcW w:w="2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5"/>
        </w:trPr>
        <w:tc>
          <w:tcPr>
            <w:tcW w:w="2120" w:type="dxa"/>
            <w:vAlign w:val="bottom"/>
          </w:tcPr>
          <w:p>
            <w:pPr>
              <w:spacing w:after="0"/>
              <w:rPr>
                <w:sz w:val="20"/>
                <w:szCs w:val="20"/>
                <w:color w:val="auto"/>
              </w:rPr>
            </w:pPr>
            <w:r>
              <w:rPr>
                <w:rFonts w:ascii="Arial" w:cs="Arial" w:eastAsia="Arial" w:hAnsi="Arial"/>
                <w:sz w:val="16"/>
                <w:szCs w:val="16"/>
                <w:b w:val="1"/>
                <w:bCs w:val="1"/>
                <w:color w:val="auto"/>
                <w:w w:val="98"/>
              </w:rPr>
              <w:t>Balance at January 31, 2019</w:t>
            </w: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w w:val="97"/>
              </w:rPr>
              <w:t>53,944,487</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w w:val="87"/>
              </w:rPr>
              <w:t>$ 1,078,890</w:t>
            </w:r>
          </w:p>
        </w:tc>
      </w:tr>
      <w:tr>
        <w:trPr>
          <w:trHeight w:val="20"/>
        </w:trPr>
        <w:tc>
          <w:tcPr>
            <w:tcW w:w="2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60" w:type="dxa"/>
            <w:vAlign w:val="bottom"/>
            <w:gridSpan w:val="4"/>
            <w:vMerge w:val="restart"/>
          </w:tcPr>
          <w:p>
            <w:pPr>
              <w:jc w:val="right"/>
              <w:ind w:right="583"/>
              <w:spacing w:after="0"/>
              <w:rPr>
                <w:sz w:val="20"/>
                <w:szCs w:val="20"/>
                <w:color w:val="auto"/>
              </w:rPr>
            </w:pPr>
            <w:r>
              <w:rPr>
                <w:rFonts w:ascii="Arial" w:cs="Arial" w:eastAsia="Arial" w:hAnsi="Arial"/>
                <w:sz w:val="14"/>
                <w:szCs w:val="14"/>
                <w:b w:val="1"/>
                <w:bCs w:val="1"/>
                <w:color w:val="auto"/>
              </w:rPr>
              <w:t>Series A</w:t>
            </w:r>
          </w:p>
        </w:tc>
        <w:tc>
          <w:tcPr>
            <w:tcW w:w="120" w:type="dxa"/>
            <w:vAlign w:val="bottom"/>
            <w:vMerge w:val="restart"/>
          </w:tcPr>
          <w:p>
            <w:pPr>
              <w:spacing w:after="0"/>
              <w:rPr>
                <w:sz w:val="11"/>
                <w:szCs w:val="11"/>
                <w:color w:val="auto"/>
              </w:rPr>
            </w:pPr>
          </w:p>
        </w:tc>
        <w:tc>
          <w:tcPr>
            <w:tcW w:w="1860" w:type="dxa"/>
            <w:vAlign w:val="bottom"/>
            <w:gridSpan w:val="4"/>
            <w:vMerge w:val="restart"/>
          </w:tcPr>
          <w:p>
            <w:pPr>
              <w:jc w:val="right"/>
              <w:ind w:right="603"/>
              <w:spacing w:after="0"/>
              <w:rPr>
                <w:sz w:val="20"/>
                <w:szCs w:val="20"/>
                <w:color w:val="auto"/>
              </w:rPr>
            </w:pPr>
            <w:r>
              <w:rPr>
                <w:rFonts w:ascii="Arial" w:cs="Arial" w:eastAsia="Arial" w:hAnsi="Arial"/>
                <w:sz w:val="14"/>
                <w:szCs w:val="14"/>
                <w:b w:val="1"/>
                <w:bCs w:val="1"/>
                <w:color w:val="auto"/>
              </w:rPr>
              <w:t>Series B</w:t>
            </w:r>
          </w:p>
        </w:tc>
        <w:tc>
          <w:tcPr>
            <w:tcW w:w="120" w:type="dxa"/>
            <w:vAlign w:val="bottom"/>
            <w:vMerge w:val="restart"/>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Retained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8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20" w:type="dxa"/>
            <w:vAlign w:val="bottom"/>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97"/>
              </w:rPr>
              <w:t>Additional</w:t>
            </w:r>
          </w:p>
        </w:tc>
        <w:tc>
          <w:tcPr>
            <w:tcW w:w="1060" w:type="dxa"/>
            <w:vAlign w:val="bottom"/>
            <w:gridSpan w:val="2"/>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Earnings</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6"/>
        </w:trPr>
        <w:tc>
          <w:tcPr>
            <w:tcW w:w="100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8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$0.02 Par</w:t>
            </w:r>
          </w:p>
        </w:tc>
        <w:tc>
          <w:tcPr>
            <w:tcW w:w="980" w:type="dxa"/>
            <w:vAlign w:val="bottom"/>
            <w:gridSpan w:val="2"/>
          </w:tcPr>
          <w:p>
            <w:pPr>
              <w:ind w:left="120"/>
              <w:spacing w:after="0" w:line="146"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$0.01 Par</w:t>
            </w:r>
          </w:p>
        </w:tc>
        <w:tc>
          <w:tcPr>
            <w:tcW w:w="10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w w:val="89"/>
              </w:rPr>
              <w:t>Paid-in</w:t>
            </w:r>
          </w:p>
        </w:tc>
        <w:tc>
          <w:tcPr>
            <w:tcW w:w="10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(Accumulated</w:t>
            </w:r>
          </w:p>
        </w:tc>
        <w:tc>
          <w:tcPr>
            <w:tcW w:w="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8"/>
        </w:trPr>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5"/>
        </w:trPr>
        <w:tc>
          <w:tcPr>
            <w:tcW w:w="880" w:type="dxa"/>
            <w:vAlign w:val="bottom"/>
          </w:tcPr>
          <w:p>
            <w:pPr>
              <w:jc w:val="right"/>
              <w:ind w:right="23"/>
              <w:spacing w:after="0"/>
              <w:rPr>
                <w:sz w:val="20"/>
                <w:szCs w:val="20"/>
                <w:color w:val="auto"/>
              </w:rPr>
            </w:pPr>
            <w:r>
              <w:rPr>
                <w:rFonts w:ascii="Arial" w:cs="Arial" w:eastAsia="Arial" w:hAnsi="Arial"/>
                <w:sz w:val="16"/>
                <w:szCs w:val="16"/>
                <w:color w:val="auto"/>
              </w:rPr>
              <w:t>7,319,897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146,398</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w w:val="87"/>
              </w:rPr>
              <w:t>$78,193,658</w:t>
            </w:r>
          </w:p>
        </w:tc>
        <w:tc>
          <w:tcPr>
            <w:tcW w:w="12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w w:val="94"/>
              </w:rPr>
              <w:t>$  1,128,053</w:t>
            </w:r>
          </w:p>
        </w:tc>
        <w:tc>
          <w:tcPr>
            <w:tcW w:w="10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w w:val="89"/>
              </w:rPr>
              <w:t>$80,546,999</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162,240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22"/>
                <w:szCs w:val="22"/>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92,477</w:t>
            </w:r>
          </w:p>
        </w:tc>
        <w:tc>
          <w:tcPr>
            <w:tcW w:w="1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94,099</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568,185</w:t>
            </w:r>
          </w:p>
        </w:tc>
        <w:tc>
          <w:tcPr>
            <w:tcW w:w="1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568,185</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w w:val="96"/>
              </w:rPr>
              <w:t>(27,472,223)</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4"/>
              </w:rPr>
              <w:t>(27,472,223)</w:t>
            </w:r>
          </w:p>
        </w:tc>
        <w:tc>
          <w:tcPr>
            <w:tcW w:w="0" w:type="dxa"/>
            <w:vAlign w:val="bottom"/>
          </w:tcPr>
          <w:p>
            <w:pPr>
              <w:spacing w:after="0"/>
              <w:rPr>
                <w:sz w:val="1"/>
                <w:szCs w:val="1"/>
                <w:color w:val="auto"/>
              </w:rPr>
            </w:pPr>
          </w:p>
        </w:tc>
      </w:tr>
      <w:tr>
        <w:trPr>
          <w:trHeight w:val="33"/>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ind w:right="23"/>
              <w:spacing w:after="0"/>
              <w:rPr>
                <w:sz w:val="20"/>
                <w:szCs w:val="20"/>
                <w:color w:val="auto"/>
              </w:rPr>
            </w:pPr>
            <w:r>
              <w:rPr>
                <w:rFonts w:ascii="Arial" w:cs="Arial" w:eastAsia="Arial" w:hAnsi="Arial"/>
                <w:sz w:val="16"/>
                <w:szCs w:val="16"/>
                <w:color w:val="auto"/>
              </w:rPr>
              <w:t>7,319,897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146,398</w:t>
            </w:r>
          </w:p>
        </w:tc>
        <w:tc>
          <w:tcPr>
            <w:tcW w:w="12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162,240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1,622</w:t>
            </w:r>
          </w:p>
        </w:tc>
        <w:tc>
          <w:tcPr>
            <w:tcW w:w="12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w w:val="97"/>
              </w:rPr>
              <w:t>78,854,320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6"/>
              </w:rPr>
              <w:t>(26,344,170)</w:t>
            </w:r>
          </w:p>
        </w:tc>
        <w:tc>
          <w:tcPr>
            <w:tcW w:w="10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w w:val="99"/>
              </w:rPr>
              <w:t>53,737,060</w:t>
            </w:r>
          </w:p>
        </w:tc>
        <w:tc>
          <w:tcPr>
            <w:tcW w:w="0" w:type="dxa"/>
            <w:vAlign w:val="bottom"/>
          </w:tcPr>
          <w:p>
            <w:pPr>
              <w:spacing w:after="0"/>
              <w:rPr>
                <w:sz w:val="1"/>
                <w:szCs w:val="1"/>
                <w:color w:val="auto"/>
              </w:rPr>
            </w:pPr>
          </w:p>
        </w:tc>
      </w:tr>
      <w:tr>
        <w:trPr>
          <w:trHeight w:val="64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2,088,212</w:t>
            </w:r>
          </w:p>
        </w:tc>
        <w:tc>
          <w:tcPr>
            <w:tcW w:w="10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2,088,212</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13,600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7,752</w:t>
            </w:r>
          </w:p>
        </w:tc>
        <w:tc>
          <w:tcPr>
            <w:tcW w:w="1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7,888</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45,351</w:t>
            </w:r>
          </w:p>
        </w:tc>
        <w:tc>
          <w:tcPr>
            <w:tcW w:w="12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262"/>
        </w:trPr>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781,287</w:t>
            </w:r>
          </w:p>
        </w:tc>
        <w:tc>
          <w:tcPr>
            <w:tcW w:w="10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781,287</w:t>
            </w:r>
          </w:p>
        </w:tc>
        <w:tc>
          <w:tcPr>
            <w:tcW w:w="0" w:type="dxa"/>
            <w:vAlign w:val="bottom"/>
          </w:tcPr>
          <w:p>
            <w:pPr>
              <w:spacing w:after="0"/>
              <w:rPr>
                <w:sz w:val="1"/>
                <w:szCs w:val="1"/>
                <w:color w:val="auto"/>
              </w:rPr>
            </w:pPr>
          </w:p>
        </w:tc>
      </w:tr>
      <w:tr>
        <w:trPr>
          <w:trHeight w:val="33"/>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7,319,897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23"/>
              <w:spacing w:after="0"/>
              <w:rPr>
                <w:sz w:val="20"/>
                <w:szCs w:val="20"/>
                <w:color w:val="auto"/>
              </w:rPr>
            </w:pPr>
            <w:r>
              <w:rPr>
                <w:rFonts w:ascii="Arial" w:cs="Arial" w:eastAsia="Arial" w:hAnsi="Arial"/>
                <w:sz w:val="16"/>
                <w:szCs w:val="16"/>
                <w:b w:val="1"/>
                <w:bCs w:val="1"/>
                <w:color w:val="auto"/>
              </w:rPr>
              <w:t>146,398</w:t>
            </w:r>
          </w:p>
        </w:tc>
        <w:tc>
          <w:tcPr>
            <w:tcW w:w="12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175,840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23"/>
              <w:spacing w:after="0"/>
              <w:rPr>
                <w:sz w:val="20"/>
                <w:szCs w:val="20"/>
                <w:color w:val="auto"/>
              </w:rPr>
            </w:pPr>
            <w:r>
              <w:rPr>
                <w:rFonts w:ascii="Arial" w:cs="Arial" w:eastAsia="Arial" w:hAnsi="Arial"/>
                <w:sz w:val="16"/>
                <w:szCs w:val="16"/>
                <w:b w:val="1"/>
                <w:bCs w:val="1"/>
                <w:color w:val="auto"/>
              </w:rPr>
              <w:t>1,758</w:t>
            </w:r>
          </w:p>
        </w:tc>
        <w:tc>
          <w:tcPr>
            <w:tcW w:w="120" w:type="dxa"/>
            <w:vAlign w:val="bottom"/>
          </w:tcPr>
          <w:p>
            <w:pPr>
              <w:spacing w:after="0"/>
              <w:rPr>
                <w:sz w:val="18"/>
                <w:szCs w:val="18"/>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b w:val="1"/>
                <w:bCs w:val="1"/>
                <w:color w:val="auto"/>
                <w:w w:val="87"/>
              </w:rPr>
              <w:t>$78,907,423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w w:val="88"/>
              </w:rPr>
              <w:t>$(23,474,671)</w:t>
            </w:r>
          </w:p>
        </w:tc>
        <w:tc>
          <w:tcPr>
            <w:tcW w:w="100" w:type="dxa"/>
            <w:vAlign w:val="bottom"/>
          </w:tcPr>
          <w:p>
            <w:pPr>
              <w:spacing w:after="0"/>
              <w:rPr>
                <w:sz w:val="18"/>
                <w:szCs w:val="18"/>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w w:val="89"/>
              </w:rPr>
              <w:t>$56,659,798</w:t>
            </w:r>
          </w:p>
        </w:tc>
        <w:tc>
          <w:tcPr>
            <w:tcW w:w="0" w:type="dxa"/>
            <w:vAlign w:val="bottom"/>
          </w:tcPr>
          <w:p>
            <w:pPr>
              <w:spacing w:after="0"/>
              <w:rPr>
                <w:sz w:val="1"/>
                <w:szCs w:val="1"/>
                <w:color w:val="auto"/>
              </w:rPr>
            </w:pPr>
          </w:p>
        </w:tc>
      </w:tr>
      <w:tr>
        <w:trPr>
          <w:trHeight w:val="33"/>
        </w:trPr>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ectPr>
          <w:pgSz w:w="11900" w:h="16838" w:orient="portrait"/>
          <w:cols w:equalWidth="0" w:num="2">
            <w:col w:w="4020" w:space="220"/>
            <w:col w:w="6960"/>
          </w:cols>
          <w:pgMar w:left="360" w:top="330" w:right="339" w:bottom="1440" w:gutter="0" w:footer="0" w:header="0"/>
          <w:type w:val="continuous"/>
        </w:sectPr>
      </w:pP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F-74</w:t>
      </w:r>
    </w:p>
    <w:p>
      <w:pPr>
        <w:sectPr>
          <w:pgSz w:w="11900" w:h="16838" w:orient="portrait"/>
          <w:cols w:equalWidth="0" w:num="1">
            <w:col w:w="11200"/>
          </w:cols>
          <w:pgMar w:left="360" w:top="330" w:right="339" w:bottom="1440" w:gutter="0" w:footer="0" w:header="0"/>
          <w:type w:val="continuous"/>
        </w:sectPr>
      </w:pPr>
    </w:p>
    <w:bookmarkStart w:id="313" w:name="page314"/>
    <w:bookmarkEnd w:id="313"/>
    <w:p>
      <w:pPr>
        <w:jc w:val="center"/>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Period from January 1, 2019 through January 31, 2019 and the Year Ended December 31, 2018</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5"/>
        </w:trPr>
        <w:tc>
          <w:tcPr>
            <w:tcW w:w="800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781,287</w:t>
            </w:r>
          </w:p>
        </w:tc>
        <w:tc>
          <w:tcPr>
            <w:tcW w:w="100" w:type="dxa"/>
            <w:vAlign w:val="bottom"/>
          </w:tcPr>
          <w:p>
            <w:pPr>
              <w:spacing w:after="0"/>
              <w:rPr>
                <w:sz w:val="20"/>
                <w:szCs w:val="20"/>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(27,472,223)</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45,351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568,185</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1,158,171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10,116,527</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Amortization of debt issuance costs</w:t>
            </w: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65,565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537,814</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Loss on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14,087,015</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Gain on sale of property and equipment</w:t>
            </w:r>
          </w:p>
        </w:tc>
        <w:tc>
          <w:tcPr>
            <w:tcW w:w="3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(72,943)</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(5,329,772)</w:t>
            </w: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6,590,217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(15,771,980)</w:t>
            </w: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color w:val="auto"/>
              </w:rPr>
              <w:t>Income tax receivable</w:t>
            </w:r>
          </w:p>
        </w:tc>
        <w:tc>
          <w:tcPr>
            <w:tcW w:w="3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(1,017,936)</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1,834,433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(2,946,204)</w:t>
            </w: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color w:val="auto"/>
              </w:rPr>
              <w:t>Capitalized commissions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(536,565)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(1,211,167)</w:t>
            </w: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(1,132,846)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228,383</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(2,824,733)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3,707,293</w:t>
            </w:r>
          </w:p>
        </w:tc>
      </w:tr>
      <w:tr>
        <w:trPr>
          <w:trHeight w:val="235"/>
        </w:trPr>
        <w:tc>
          <w:tcPr>
            <w:tcW w:w="8000" w:type="dxa"/>
            <w:vAlign w:val="bottom"/>
          </w:tcPr>
          <w:p>
            <w:pPr>
              <w:ind w:left="480"/>
              <w:spacing w:after="0"/>
              <w:rPr>
                <w:sz w:val="20"/>
                <w:szCs w:val="20"/>
                <w:color w:val="auto"/>
              </w:rPr>
            </w:pPr>
            <w:r>
              <w:rPr>
                <w:rFonts w:ascii="Arial" w:cs="Arial" w:eastAsia="Arial" w:hAnsi="Arial"/>
                <w:sz w:val="17"/>
                <w:szCs w:val="17"/>
                <w:color w:val="auto"/>
              </w:rPr>
              <w:t>Deferred revenue</w:t>
            </w: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292,916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44,858,243</w:t>
            </w:r>
          </w:p>
        </w:tc>
      </w:tr>
      <w:tr>
        <w:trPr>
          <w:trHeight w:val="27"/>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6,063,242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20,281,235</w:t>
            </w:r>
          </w:p>
        </w:tc>
      </w:tr>
      <w:tr>
        <w:trPr>
          <w:trHeight w:val="228"/>
        </w:trPr>
        <w:tc>
          <w:tcPr>
            <w:tcW w:w="8000" w:type="dxa"/>
            <w:vAlign w:val="bottom"/>
          </w:tcPr>
          <w:p>
            <w:pPr>
              <w:ind w:left="40"/>
              <w:spacing w:after="0"/>
              <w:rPr>
                <w:sz w:val="20"/>
                <w:szCs w:val="20"/>
                <w:color w:val="auto"/>
              </w:rPr>
            </w:pPr>
            <w:r>
              <w:rPr>
                <w:rFonts w:ascii="Arial" w:cs="Arial" w:eastAsia="Arial" w:hAnsi="Arial"/>
                <w:sz w:val="17"/>
                <w:szCs w:val="17"/>
                <w:color w:val="auto"/>
              </w:rPr>
              <w:t>Cash flows from 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Purchases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(4,889,877)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(762,615)</w:t>
            </w:r>
          </w:p>
        </w:tc>
      </w:tr>
      <w:tr>
        <w:trPr>
          <w:trHeight w:val="235"/>
        </w:trPr>
        <w:tc>
          <w:tcPr>
            <w:tcW w:w="8000" w:type="dxa"/>
            <w:vAlign w:val="bottom"/>
          </w:tcPr>
          <w:p>
            <w:pPr>
              <w:ind w:left="160"/>
              <w:spacing w:after="0"/>
              <w:rPr>
                <w:sz w:val="20"/>
                <w:szCs w:val="20"/>
                <w:color w:val="auto"/>
              </w:rPr>
            </w:pPr>
            <w:r>
              <w:rPr>
                <w:rFonts w:ascii="Arial" w:cs="Arial" w:eastAsia="Arial" w:hAnsi="Arial"/>
                <w:sz w:val="17"/>
                <w:szCs w:val="17"/>
                <w:color w:val="auto"/>
              </w:rPr>
              <w:t>Proceeds from sale of property and equipment</w:t>
            </w:r>
          </w:p>
        </w:tc>
        <w:tc>
          <w:tcPr>
            <w:tcW w:w="3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130,000</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Settlement of share redemption obligation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(55,999,015)</w:t>
            </w:r>
          </w:p>
        </w:tc>
      </w:tr>
      <w:tr>
        <w:trPr>
          <w:trHeight w:val="235"/>
        </w:trPr>
        <w:tc>
          <w:tcPr>
            <w:tcW w:w="8000" w:type="dxa"/>
            <w:vAlign w:val="bottom"/>
          </w:tcPr>
          <w:p>
            <w:pPr>
              <w:ind w:left="160"/>
              <w:spacing w:after="0"/>
              <w:rPr>
                <w:sz w:val="20"/>
                <w:szCs w:val="20"/>
                <w:color w:val="auto"/>
              </w:rPr>
            </w:pPr>
            <w:r>
              <w:rPr>
                <w:rFonts w:ascii="Arial" w:cs="Arial" w:eastAsia="Arial" w:hAnsi="Arial"/>
                <w:sz w:val="17"/>
                <w:szCs w:val="17"/>
                <w:color w:val="auto"/>
              </w:rPr>
              <w:t>Acquisitions, net of cash acquired (Note 4)</w:t>
            </w:r>
          </w:p>
        </w:tc>
        <w:tc>
          <w:tcPr>
            <w:tcW w:w="3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(14,675,796)</w:t>
            </w:r>
          </w:p>
        </w:tc>
      </w:tr>
      <w:tr>
        <w:trPr>
          <w:trHeight w:val="27"/>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(4,889,877)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(71,307,426)</w:t>
            </w:r>
          </w:p>
        </w:tc>
      </w:tr>
      <w:tr>
        <w:trPr>
          <w:trHeight w:val="228"/>
        </w:trPr>
        <w:tc>
          <w:tcPr>
            <w:tcW w:w="800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long-term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63,100,000</w:t>
            </w:r>
          </w:p>
        </w:tc>
      </w:tr>
      <w:tr>
        <w:trPr>
          <w:trHeight w:val="235"/>
        </w:trPr>
        <w:tc>
          <w:tcPr>
            <w:tcW w:w="8000" w:type="dxa"/>
            <w:vAlign w:val="bottom"/>
          </w:tcPr>
          <w:p>
            <w:pPr>
              <w:ind w:left="160"/>
              <w:spacing w:after="0"/>
              <w:rPr>
                <w:sz w:val="20"/>
                <w:szCs w:val="20"/>
                <w:color w:val="auto"/>
              </w:rPr>
            </w:pPr>
            <w:r>
              <w:rPr>
                <w:rFonts w:ascii="Arial" w:cs="Arial" w:eastAsia="Arial" w:hAnsi="Arial"/>
                <w:sz w:val="17"/>
                <w:szCs w:val="17"/>
                <w:color w:val="auto"/>
              </w:rPr>
              <w:t>Principal payments on long-term debt</w:t>
            </w:r>
          </w:p>
        </w:tc>
        <w:tc>
          <w:tcPr>
            <w:tcW w:w="3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(6,082,750)</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Payments of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(1,576,079)</w:t>
            </w:r>
          </w:p>
        </w:tc>
      </w:tr>
      <w:tr>
        <w:trPr>
          <w:trHeight w:val="235"/>
        </w:trPr>
        <w:tc>
          <w:tcPr>
            <w:tcW w:w="8000" w:type="dxa"/>
            <w:vAlign w:val="bottom"/>
          </w:tcPr>
          <w:p>
            <w:pPr>
              <w:ind w:left="160"/>
              <w:spacing w:after="0"/>
              <w:rPr>
                <w:sz w:val="20"/>
                <w:szCs w:val="20"/>
                <w:color w:val="auto"/>
              </w:rPr>
            </w:pPr>
            <w:r>
              <w:rPr>
                <w:rFonts w:ascii="Arial" w:cs="Arial" w:eastAsia="Arial" w:hAnsi="Arial"/>
                <w:sz w:val="17"/>
                <w:szCs w:val="17"/>
                <w:color w:val="auto"/>
              </w:rPr>
              <w:t>Proceeds from exercise of stock options</w:t>
            </w:r>
          </w:p>
        </w:tc>
        <w:tc>
          <w:tcPr>
            <w:tcW w:w="3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7,888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94,099</w:t>
            </w:r>
          </w:p>
        </w:tc>
      </w:tr>
      <w:tr>
        <w:trPr>
          <w:trHeight w:val="27"/>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7"/>
                <w:szCs w:val="17"/>
                <w:b w:val="1"/>
                <w:bCs w:val="1"/>
                <w:color w:val="auto"/>
              </w:rPr>
              <w:t>Net cash provided by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7,888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55,535,270</w:t>
            </w:r>
          </w:p>
        </w:tc>
      </w:tr>
      <w:tr>
        <w:trPr>
          <w:trHeight w:val="228"/>
        </w:trPr>
        <w:tc>
          <w:tcPr>
            <w:tcW w:w="8000" w:type="dxa"/>
            <w:vAlign w:val="bottom"/>
          </w:tcPr>
          <w:p>
            <w:pPr>
              <w:ind w:left="580"/>
              <w:spacing w:after="0"/>
              <w:rPr>
                <w:sz w:val="20"/>
                <w:szCs w:val="20"/>
                <w:color w:val="auto"/>
              </w:rPr>
            </w:pPr>
            <w:r>
              <w:rPr>
                <w:rFonts w:ascii="Arial" w:cs="Arial" w:eastAsia="Arial" w:hAnsi="Arial"/>
                <w:sz w:val="17"/>
                <w:szCs w:val="17"/>
                <w:b w:val="1"/>
                <w:bCs w:val="1"/>
                <w:color w:val="auto"/>
              </w:rPr>
              <w:t>Increase in cash and cash equivalents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1,181,253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4,509,079</w:t>
            </w: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9,691,793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5,182,714</w:t>
            </w:r>
          </w:p>
        </w:tc>
      </w:tr>
      <w:tr>
        <w:trPr>
          <w:trHeight w:val="288"/>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and cash equivalents, end of period</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10,873,046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9,691,793</w:t>
            </w:r>
          </w:p>
        </w:tc>
      </w:tr>
      <w:tr>
        <w:trPr>
          <w:trHeight w:val="248"/>
        </w:trPr>
        <w:tc>
          <w:tcPr>
            <w:tcW w:w="8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Supplemental disclosure of noncash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5"/>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paid for interest</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8,738,030</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1"/>
        </w:trPr>
        <w:tc>
          <w:tcPr>
            <w:tcW w:w="8000" w:type="dxa"/>
            <w:vAlign w:val="bottom"/>
          </w:tcPr>
          <w:p>
            <w:pPr>
              <w:ind w:left="160"/>
              <w:spacing w:after="0"/>
              <w:rPr>
                <w:sz w:val="20"/>
                <w:szCs w:val="20"/>
                <w:color w:val="auto"/>
              </w:rPr>
            </w:pPr>
            <w:r>
              <w:rPr>
                <w:rFonts w:ascii="Arial" w:cs="Arial" w:eastAsia="Arial" w:hAnsi="Arial"/>
                <w:sz w:val="17"/>
                <w:szCs w:val="17"/>
                <w:color w:val="auto"/>
              </w:rPr>
              <w:t>Cash paid for income taxes</w:t>
            </w:r>
          </w:p>
        </w:tc>
        <w:tc>
          <w:tcPr>
            <w:tcW w:w="380" w:type="dxa"/>
            <w:vAlign w:val="bottom"/>
          </w:tcPr>
          <w:p>
            <w:pPr>
              <w:jc w:val="right"/>
              <w:ind w:right="193"/>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
              <w:spacing w:after="0"/>
              <w:rPr>
                <w:sz w:val="20"/>
                <w:szCs w:val="20"/>
                <w:color w:val="auto"/>
              </w:rPr>
            </w:pPr>
            <w:r>
              <w:rPr>
                <w:rFonts w:ascii="Arial" w:cs="Arial" w:eastAsia="Arial" w:hAnsi="Arial"/>
                <w:sz w:val="17"/>
                <w:szCs w:val="17"/>
                <w:color w:val="auto"/>
              </w:rPr>
              <w:t>2,286,699</w:t>
            </w:r>
          </w:p>
        </w:tc>
      </w:tr>
      <w:tr>
        <w:trPr>
          <w:trHeight w:val="20"/>
        </w:trPr>
        <w:tc>
          <w:tcPr>
            <w:tcW w:w="8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F-75</w:t>
      </w:r>
    </w:p>
    <w:p>
      <w:pPr>
        <w:sectPr>
          <w:pgSz w:w="11900" w:h="16838" w:orient="portrait"/>
          <w:cols w:equalWidth="0" w:num="1">
            <w:col w:w="11240"/>
          </w:cols>
          <w:pgMar w:left="320" w:top="330" w:right="339" w:bottom="1440" w:gutter="0" w:footer="0" w:header="0"/>
        </w:sectPr>
      </w:pPr>
    </w:p>
    <w:bookmarkStart w:id="314" w:name="page315"/>
    <w:bookmarkEnd w:id="314"/>
    <w:p>
      <w:pPr>
        <w:jc w:val="center"/>
        <w:ind w:right="-119"/>
        <w:spacing w:after="0"/>
        <w:rPr>
          <w:sz w:val="20"/>
          <w:szCs w:val="20"/>
          <w:color w:val="auto"/>
        </w:rPr>
      </w:pPr>
      <w:r>
        <w:rPr>
          <w:rFonts w:ascii="Arial" w:cs="Arial" w:eastAsia="Arial" w:hAnsi="Arial"/>
          <w:sz w:val="17"/>
          <w:szCs w:val="17"/>
          <w:b w:val="1"/>
          <w:bCs w:val="1"/>
          <w:color w:val="auto"/>
        </w:rPr>
        <w:t>Zoom Information, Inc. and Subsidiaries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Audited Consolidated Financial Statements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rFonts w:ascii="Arial" w:cs="Arial" w:eastAsia="Arial" w:hAnsi="Arial"/>
                <w:sz w:val="17"/>
                <w:szCs w:val="17"/>
                <w:u w:val="single" w:color="auto"/>
                <w:color w:val="0000EE"/>
              </w:rPr>
            </w:pPr>
            <w:hyperlink w:anchor="page316">
              <w:r>
                <w:rPr>
                  <w:rFonts w:ascii="Arial" w:cs="Arial" w:eastAsia="Arial" w:hAnsi="Arial"/>
                  <w:sz w:val="17"/>
                  <w:szCs w:val="17"/>
                  <w:u w:val="single" w:color="auto"/>
                  <w:color w:val="0000EE"/>
                </w:rPr>
                <w:t>Note 1</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16">
              <w:r>
                <w:rPr>
                  <w:rFonts w:ascii="Arial" w:cs="Arial" w:eastAsia="Arial" w:hAnsi="Arial"/>
                  <w:sz w:val="17"/>
                  <w:szCs w:val="17"/>
                  <w:u w:val="single" w:color="auto"/>
                  <w:color w:val="0000EE"/>
                </w:rPr>
                <w:t>Description of Business</w:t>
              </w:r>
            </w:hyperlink>
          </w:p>
        </w:tc>
        <w:tc>
          <w:tcPr>
            <w:tcW w:w="6080" w:type="dxa"/>
            <w:vAlign w:val="bottom"/>
          </w:tcPr>
          <w:p>
            <w:pPr>
              <w:ind w:left="5740"/>
              <w:spacing w:after="0"/>
              <w:rPr>
                <w:rFonts w:ascii="Arial" w:cs="Arial" w:eastAsia="Arial" w:hAnsi="Arial"/>
                <w:sz w:val="17"/>
                <w:szCs w:val="17"/>
                <w:color w:val="auto"/>
                <w:w w:val="91"/>
              </w:rPr>
            </w:pPr>
            <w:hyperlink w:anchor="page316">
              <w:r>
                <w:rPr>
                  <w:rFonts w:ascii="Arial" w:cs="Arial" w:eastAsia="Arial" w:hAnsi="Arial"/>
                  <w:sz w:val="17"/>
                  <w:szCs w:val="17"/>
                  <w:color w:val="auto"/>
                  <w:w w:val="91"/>
                </w:rPr>
                <w:t>F-77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16">
              <w:r>
                <w:rPr>
                  <w:rFonts w:ascii="Arial" w:cs="Arial" w:eastAsia="Arial" w:hAnsi="Arial"/>
                  <w:sz w:val="17"/>
                  <w:szCs w:val="17"/>
                  <w:u w:val="single" w:color="auto"/>
                  <w:color w:val="0000EE"/>
                </w:rPr>
                <w:t>Note 2</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16">
              <w:r>
                <w:rPr>
                  <w:rFonts w:ascii="Arial" w:cs="Arial" w:eastAsia="Arial" w:hAnsi="Arial"/>
                  <w:sz w:val="17"/>
                  <w:szCs w:val="17"/>
                  <w:u w:val="single" w:color="auto"/>
                  <w:color w:val="0000EE"/>
                </w:rPr>
                <w:t>Summary of Significant Accounting Principals</w:t>
              </w:r>
            </w:hyperlink>
          </w:p>
        </w:tc>
        <w:tc>
          <w:tcPr>
            <w:tcW w:w="6080" w:type="dxa"/>
            <w:vAlign w:val="bottom"/>
          </w:tcPr>
          <w:p>
            <w:pPr>
              <w:ind w:left="5740"/>
              <w:spacing w:after="0"/>
              <w:rPr>
                <w:rFonts w:ascii="Arial" w:cs="Arial" w:eastAsia="Arial" w:hAnsi="Arial"/>
                <w:sz w:val="17"/>
                <w:szCs w:val="17"/>
                <w:color w:val="auto"/>
                <w:w w:val="91"/>
              </w:rPr>
            </w:pPr>
            <w:hyperlink w:anchor="page316">
              <w:r>
                <w:rPr>
                  <w:rFonts w:ascii="Arial" w:cs="Arial" w:eastAsia="Arial" w:hAnsi="Arial"/>
                  <w:sz w:val="17"/>
                  <w:szCs w:val="17"/>
                  <w:color w:val="auto"/>
                  <w:w w:val="91"/>
                </w:rPr>
                <w:t>F-77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1">
              <w:r>
                <w:rPr>
                  <w:rFonts w:ascii="Arial" w:cs="Arial" w:eastAsia="Arial" w:hAnsi="Arial"/>
                  <w:sz w:val="17"/>
                  <w:szCs w:val="17"/>
                  <w:u w:val="single" w:color="auto"/>
                  <w:color w:val="0000EE"/>
                </w:rPr>
                <w:t>Note 3</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1">
              <w:r>
                <w:rPr>
                  <w:rFonts w:ascii="Arial" w:cs="Arial" w:eastAsia="Arial" w:hAnsi="Arial"/>
                  <w:sz w:val="17"/>
                  <w:szCs w:val="17"/>
                  <w:u w:val="single" w:color="auto"/>
                  <w:color w:val="0000EE"/>
                </w:rPr>
                <w:t>Revenue from Contracts with Customers</w:t>
              </w:r>
            </w:hyperlink>
          </w:p>
        </w:tc>
        <w:tc>
          <w:tcPr>
            <w:tcW w:w="6080" w:type="dxa"/>
            <w:vAlign w:val="bottom"/>
          </w:tcPr>
          <w:p>
            <w:pPr>
              <w:ind w:left="5740"/>
              <w:spacing w:after="0"/>
              <w:rPr>
                <w:rFonts w:ascii="Arial" w:cs="Arial" w:eastAsia="Arial" w:hAnsi="Arial"/>
                <w:sz w:val="17"/>
                <w:szCs w:val="17"/>
                <w:color w:val="auto"/>
                <w:w w:val="91"/>
              </w:rPr>
            </w:pPr>
            <w:hyperlink w:anchor="page321">
              <w:r>
                <w:rPr>
                  <w:rFonts w:ascii="Arial" w:cs="Arial" w:eastAsia="Arial" w:hAnsi="Arial"/>
                  <w:sz w:val="17"/>
                  <w:szCs w:val="17"/>
                  <w:color w:val="auto"/>
                  <w:w w:val="91"/>
                </w:rPr>
                <w:t>F-82</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1">
              <w:r>
                <w:rPr>
                  <w:rFonts w:ascii="Arial" w:cs="Arial" w:eastAsia="Arial" w:hAnsi="Arial"/>
                  <w:sz w:val="17"/>
                  <w:szCs w:val="17"/>
                  <w:u w:val="single" w:color="auto"/>
                  <w:color w:val="0000EE"/>
                </w:rPr>
                <w:t>Note 4</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1">
              <w:r>
                <w:rPr>
                  <w:rFonts w:ascii="Arial" w:cs="Arial" w:eastAsia="Arial" w:hAnsi="Arial"/>
                  <w:sz w:val="17"/>
                  <w:szCs w:val="17"/>
                  <w:u w:val="single" w:color="auto"/>
                  <w:color w:val="0000EE"/>
                </w:rPr>
                <w:t>Business Combinations</w:t>
              </w:r>
            </w:hyperlink>
          </w:p>
        </w:tc>
        <w:tc>
          <w:tcPr>
            <w:tcW w:w="6080" w:type="dxa"/>
            <w:vAlign w:val="bottom"/>
          </w:tcPr>
          <w:p>
            <w:pPr>
              <w:ind w:left="5740"/>
              <w:spacing w:after="0"/>
              <w:rPr>
                <w:rFonts w:ascii="Arial" w:cs="Arial" w:eastAsia="Arial" w:hAnsi="Arial"/>
                <w:sz w:val="17"/>
                <w:szCs w:val="17"/>
                <w:color w:val="auto"/>
                <w:w w:val="91"/>
              </w:rPr>
            </w:pPr>
            <w:hyperlink w:anchor="page321">
              <w:r>
                <w:rPr>
                  <w:rFonts w:ascii="Arial" w:cs="Arial" w:eastAsia="Arial" w:hAnsi="Arial"/>
                  <w:sz w:val="17"/>
                  <w:szCs w:val="17"/>
                  <w:color w:val="auto"/>
                  <w:w w:val="91"/>
                </w:rPr>
                <w:t>F-82</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2">
              <w:r>
                <w:rPr>
                  <w:rFonts w:ascii="Arial" w:cs="Arial" w:eastAsia="Arial" w:hAnsi="Arial"/>
                  <w:sz w:val="17"/>
                  <w:szCs w:val="17"/>
                  <w:u w:val="single" w:color="auto"/>
                  <w:color w:val="0000EE"/>
                </w:rPr>
                <w:t>Note 5</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2">
              <w:r>
                <w:rPr>
                  <w:rFonts w:ascii="Arial" w:cs="Arial" w:eastAsia="Arial" w:hAnsi="Arial"/>
                  <w:sz w:val="17"/>
                  <w:szCs w:val="17"/>
                  <w:u w:val="single" w:color="auto"/>
                  <w:color w:val="0000EE"/>
                </w:rPr>
                <w:t>Property and Equipment</w:t>
              </w:r>
            </w:hyperlink>
          </w:p>
        </w:tc>
        <w:tc>
          <w:tcPr>
            <w:tcW w:w="6080" w:type="dxa"/>
            <w:vAlign w:val="bottom"/>
          </w:tcPr>
          <w:p>
            <w:pPr>
              <w:ind w:left="5740"/>
              <w:spacing w:after="0"/>
              <w:rPr>
                <w:rFonts w:ascii="Arial" w:cs="Arial" w:eastAsia="Arial" w:hAnsi="Arial"/>
                <w:sz w:val="17"/>
                <w:szCs w:val="17"/>
                <w:color w:val="auto"/>
                <w:w w:val="91"/>
              </w:rPr>
            </w:pPr>
            <w:hyperlink w:anchor="page322">
              <w:r>
                <w:rPr>
                  <w:rFonts w:ascii="Arial" w:cs="Arial" w:eastAsia="Arial" w:hAnsi="Arial"/>
                  <w:sz w:val="17"/>
                  <w:szCs w:val="17"/>
                  <w:color w:val="auto"/>
                  <w:w w:val="91"/>
                </w:rPr>
                <w:t>F-83</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3">
              <w:r>
                <w:rPr>
                  <w:rFonts w:ascii="Arial" w:cs="Arial" w:eastAsia="Arial" w:hAnsi="Arial"/>
                  <w:sz w:val="17"/>
                  <w:szCs w:val="17"/>
                  <w:u w:val="single" w:color="auto"/>
                  <w:color w:val="0000EE"/>
                </w:rPr>
                <w:t>Note 6</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3">
              <w:r>
                <w:rPr>
                  <w:rFonts w:ascii="Arial" w:cs="Arial" w:eastAsia="Arial" w:hAnsi="Arial"/>
                  <w:sz w:val="17"/>
                  <w:szCs w:val="17"/>
                  <w:u w:val="single" w:color="auto"/>
                  <w:color w:val="0000EE"/>
                </w:rPr>
                <w:t>Intangible Assets and Goodwill</w:t>
              </w:r>
            </w:hyperlink>
          </w:p>
        </w:tc>
        <w:tc>
          <w:tcPr>
            <w:tcW w:w="6080" w:type="dxa"/>
            <w:vAlign w:val="bottom"/>
          </w:tcPr>
          <w:p>
            <w:pPr>
              <w:ind w:left="5740"/>
              <w:spacing w:after="0"/>
              <w:rPr>
                <w:rFonts w:ascii="Arial" w:cs="Arial" w:eastAsia="Arial" w:hAnsi="Arial"/>
                <w:sz w:val="17"/>
                <w:szCs w:val="17"/>
                <w:color w:val="auto"/>
                <w:w w:val="91"/>
              </w:rPr>
            </w:pPr>
            <w:hyperlink w:anchor="page323">
              <w:r>
                <w:rPr>
                  <w:rFonts w:ascii="Arial" w:cs="Arial" w:eastAsia="Arial" w:hAnsi="Arial"/>
                  <w:sz w:val="17"/>
                  <w:szCs w:val="17"/>
                  <w:color w:val="auto"/>
                  <w:w w:val="91"/>
                </w:rPr>
                <w:t>F-84</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4">
              <w:r>
                <w:rPr>
                  <w:rFonts w:ascii="Arial" w:cs="Arial" w:eastAsia="Arial" w:hAnsi="Arial"/>
                  <w:sz w:val="17"/>
                  <w:szCs w:val="17"/>
                  <w:u w:val="single" w:color="auto"/>
                  <w:color w:val="0000EE"/>
                </w:rPr>
                <w:t>Note 7</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4">
              <w:r>
                <w:rPr>
                  <w:rFonts w:ascii="Arial" w:cs="Arial" w:eastAsia="Arial" w:hAnsi="Arial"/>
                  <w:sz w:val="17"/>
                  <w:szCs w:val="17"/>
                  <w:u w:val="single" w:color="auto"/>
                  <w:color w:val="0000EE"/>
                </w:rPr>
                <w:t>Long-Term Debt</w:t>
              </w:r>
            </w:hyperlink>
          </w:p>
        </w:tc>
        <w:tc>
          <w:tcPr>
            <w:tcW w:w="6080" w:type="dxa"/>
            <w:vAlign w:val="bottom"/>
          </w:tcPr>
          <w:p>
            <w:pPr>
              <w:ind w:left="5740"/>
              <w:spacing w:after="0"/>
              <w:rPr>
                <w:rFonts w:ascii="Arial" w:cs="Arial" w:eastAsia="Arial" w:hAnsi="Arial"/>
                <w:sz w:val="17"/>
                <w:szCs w:val="17"/>
                <w:color w:val="auto"/>
                <w:w w:val="91"/>
              </w:rPr>
            </w:pPr>
            <w:hyperlink w:anchor="page324">
              <w:r>
                <w:rPr>
                  <w:rFonts w:ascii="Arial" w:cs="Arial" w:eastAsia="Arial" w:hAnsi="Arial"/>
                  <w:sz w:val="17"/>
                  <w:szCs w:val="17"/>
                  <w:color w:val="auto"/>
                  <w:w w:val="91"/>
                </w:rPr>
                <w:t>F-85</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Note 8</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Related Party Transactions</w:t>
              </w:r>
            </w:hyperlink>
          </w:p>
        </w:tc>
        <w:tc>
          <w:tcPr>
            <w:tcW w:w="6080" w:type="dxa"/>
            <w:vAlign w:val="bottom"/>
          </w:tcPr>
          <w:p>
            <w:pPr>
              <w:ind w:left="5740"/>
              <w:spacing w:after="0"/>
              <w:rPr>
                <w:rFonts w:ascii="Arial" w:cs="Arial" w:eastAsia="Arial" w:hAnsi="Arial"/>
                <w:sz w:val="17"/>
                <w:szCs w:val="17"/>
                <w:color w:val="auto"/>
                <w:w w:val="91"/>
              </w:rPr>
            </w:pPr>
            <w:hyperlink w:anchor="page325">
              <w:r>
                <w:rPr>
                  <w:rFonts w:ascii="Arial" w:cs="Arial" w:eastAsia="Arial" w:hAnsi="Arial"/>
                  <w:sz w:val="17"/>
                  <w:szCs w:val="17"/>
                  <w:color w:val="auto"/>
                  <w:w w:val="91"/>
                </w:rPr>
                <w:t>F-86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Note 9</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5">
              <w:r>
                <w:rPr>
                  <w:rFonts w:ascii="Arial" w:cs="Arial" w:eastAsia="Arial" w:hAnsi="Arial"/>
                  <w:sz w:val="17"/>
                  <w:szCs w:val="17"/>
                  <w:u w:val="single" w:color="auto"/>
                  <w:color w:val="0000EE"/>
                </w:rPr>
                <w:t>Preferred Stock</w:t>
              </w:r>
            </w:hyperlink>
          </w:p>
        </w:tc>
        <w:tc>
          <w:tcPr>
            <w:tcW w:w="6080" w:type="dxa"/>
            <w:vAlign w:val="bottom"/>
          </w:tcPr>
          <w:p>
            <w:pPr>
              <w:ind w:left="5740"/>
              <w:spacing w:after="0"/>
              <w:rPr>
                <w:rFonts w:ascii="Arial" w:cs="Arial" w:eastAsia="Arial" w:hAnsi="Arial"/>
                <w:sz w:val="17"/>
                <w:szCs w:val="17"/>
                <w:color w:val="auto"/>
                <w:w w:val="91"/>
              </w:rPr>
            </w:pPr>
            <w:hyperlink w:anchor="page325">
              <w:r>
                <w:rPr>
                  <w:rFonts w:ascii="Arial" w:cs="Arial" w:eastAsia="Arial" w:hAnsi="Arial"/>
                  <w:sz w:val="17"/>
                  <w:szCs w:val="17"/>
                  <w:color w:val="auto"/>
                  <w:w w:val="91"/>
                </w:rPr>
                <w:t>F-86</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6">
              <w:r>
                <w:rPr>
                  <w:rFonts w:ascii="Arial" w:cs="Arial" w:eastAsia="Arial" w:hAnsi="Arial"/>
                  <w:sz w:val="17"/>
                  <w:szCs w:val="17"/>
                  <w:u w:val="single" w:color="auto"/>
                  <w:color w:val="0000EE"/>
                </w:rPr>
                <w:t>Note 10</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6">
              <w:r>
                <w:rPr>
                  <w:rFonts w:ascii="Arial" w:cs="Arial" w:eastAsia="Arial" w:hAnsi="Arial"/>
                  <w:sz w:val="17"/>
                  <w:szCs w:val="17"/>
                  <w:u w:val="single" w:color="auto"/>
                  <w:color w:val="0000EE"/>
                </w:rPr>
                <w:t>Common Stock</w:t>
              </w:r>
            </w:hyperlink>
          </w:p>
        </w:tc>
        <w:tc>
          <w:tcPr>
            <w:tcW w:w="6080" w:type="dxa"/>
            <w:vAlign w:val="bottom"/>
          </w:tcPr>
          <w:p>
            <w:pPr>
              <w:ind w:left="5740"/>
              <w:spacing w:after="0"/>
              <w:rPr>
                <w:rFonts w:ascii="Arial" w:cs="Arial" w:eastAsia="Arial" w:hAnsi="Arial"/>
                <w:sz w:val="17"/>
                <w:szCs w:val="17"/>
                <w:color w:val="auto"/>
                <w:w w:val="91"/>
              </w:rPr>
            </w:pPr>
            <w:hyperlink w:anchor="page326">
              <w:r>
                <w:rPr>
                  <w:rFonts w:ascii="Arial" w:cs="Arial" w:eastAsia="Arial" w:hAnsi="Arial"/>
                  <w:sz w:val="17"/>
                  <w:szCs w:val="17"/>
                  <w:color w:val="auto"/>
                  <w:w w:val="91"/>
                </w:rPr>
                <w:t>F-87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6">
              <w:r>
                <w:rPr>
                  <w:rFonts w:ascii="Arial" w:cs="Arial" w:eastAsia="Arial" w:hAnsi="Arial"/>
                  <w:sz w:val="17"/>
                  <w:szCs w:val="17"/>
                  <w:u w:val="single" w:color="auto"/>
                  <w:color w:val="0000EE"/>
                </w:rPr>
                <w:t>Note 11</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6">
              <w:r>
                <w:rPr>
                  <w:rFonts w:ascii="Arial" w:cs="Arial" w:eastAsia="Arial" w:hAnsi="Arial"/>
                  <w:sz w:val="17"/>
                  <w:szCs w:val="17"/>
                  <w:u w:val="single" w:color="auto"/>
                  <w:color w:val="0000EE"/>
                </w:rPr>
                <w:t>Stock Compensation Plan</w:t>
              </w:r>
            </w:hyperlink>
          </w:p>
        </w:tc>
        <w:tc>
          <w:tcPr>
            <w:tcW w:w="6080" w:type="dxa"/>
            <w:vAlign w:val="bottom"/>
          </w:tcPr>
          <w:p>
            <w:pPr>
              <w:ind w:left="5740"/>
              <w:spacing w:after="0"/>
              <w:rPr>
                <w:rFonts w:ascii="Arial" w:cs="Arial" w:eastAsia="Arial" w:hAnsi="Arial"/>
                <w:sz w:val="17"/>
                <w:szCs w:val="17"/>
                <w:color w:val="auto"/>
                <w:w w:val="91"/>
              </w:rPr>
            </w:pPr>
            <w:hyperlink w:anchor="page326">
              <w:r>
                <w:rPr>
                  <w:rFonts w:ascii="Arial" w:cs="Arial" w:eastAsia="Arial" w:hAnsi="Arial"/>
                  <w:sz w:val="17"/>
                  <w:szCs w:val="17"/>
                  <w:color w:val="auto"/>
                  <w:w w:val="91"/>
                </w:rPr>
                <w:t>F-87</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7">
              <w:r>
                <w:rPr>
                  <w:rFonts w:ascii="Arial" w:cs="Arial" w:eastAsia="Arial" w:hAnsi="Arial"/>
                  <w:sz w:val="17"/>
                  <w:szCs w:val="17"/>
                  <w:u w:val="single" w:color="auto"/>
                  <w:color w:val="0000EE"/>
                </w:rPr>
                <w:t>Note 12</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7">
              <w:r>
                <w:rPr>
                  <w:rFonts w:ascii="Arial" w:cs="Arial" w:eastAsia="Arial" w:hAnsi="Arial"/>
                  <w:sz w:val="17"/>
                  <w:szCs w:val="17"/>
                  <w:u w:val="single" w:color="auto"/>
                  <w:color w:val="0000EE"/>
                </w:rPr>
                <w:t>Income Taxes</w:t>
              </w:r>
            </w:hyperlink>
          </w:p>
        </w:tc>
        <w:tc>
          <w:tcPr>
            <w:tcW w:w="6080" w:type="dxa"/>
            <w:vAlign w:val="bottom"/>
          </w:tcPr>
          <w:p>
            <w:pPr>
              <w:ind w:left="5740"/>
              <w:spacing w:after="0"/>
              <w:rPr>
                <w:rFonts w:ascii="Arial" w:cs="Arial" w:eastAsia="Arial" w:hAnsi="Arial"/>
                <w:sz w:val="17"/>
                <w:szCs w:val="17"/>
                <w:color w:val="auto"/>
                <w:w w:val="91"/>
              </w:rPr>
            </w:pPr>
            <w:hyperlink w:anchor="page327">
              <w:r>
                <w:rPr>
                  <w:rFonts w:ascii="Arial" w:cs="Arial" w:eastAsia="Arial" w:hAnsi="Arial"/>
                  <w:sz w:val="17"/>
                  <w:szCs w:val="17"/>
                  <w:color w:val="auto"/>
                  <w:w w:val="91"/>
                </w:rPr>
                <w:t>F-88</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8">
              <w:r>
                <w:rPr>
                  <w:rFonts w:ascii="Arial" w:cs="Arial" w:eastAsia="Arial" w:hAnsi="Arial"/>
                  <w:sz w:val="17"/>
                  <w:szCs w:val="17"/>
                  <w:u w:val="single" w:color="auto"/>
                  <w:color w:val="0000EE"/>
                </w:rPr>
                <w:t>Note 13</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8">
              <w:r>
                <w:rPr>
                  <w:rFonts w:ascii="Arial" w:cs="Arial" w:eastAsia="Arial" w:hAnsi="Arial"/>
                  <w:sz w:val="17"/>
                  <w:szCs w:val="17"/>
                  <w:u w:val="single" w:color="auto"/>
                  <w:color w:val="0000EE"/>
                </w:rPr>
                <w:t>Employee Benefit Plan</w:t>
              </w:r>
            </w:hyperlink>
          </w:p>
        </w:tc>
        <w:tc>
          <w:tcPr>
            <w:tcW w:w="6080" w:type="dxa"/>
            <w:vAlign w:val="bottom"/>
          </w:tcPr>
          <w:p>
            <w:pPr>
              <w:ind w:left="5740"/>
              <w:spacing w:after="0"/>
              <w:rPr>
                <w:rFonts w:ascii="Arial" w:cs="Arial" w:eastAsia="Arial" w:hAnsi="Arial"/>
                <w:sz w:val="17"/>
                <w:szCs w:val="17"/>
                <w:color w:val="auto"/>
                <w:w w:val="91"/>
              </w:rPr>
            </w:pPr>
            <w:hyperlink w:anchor="page328">
              <w:r>
                <w:rPr>
                  <w:rFonts w:ascii="Arial" w:cs="Arial" w:eastAsia="Arial" w:hAnsi="Arial"/>
                  <w:sz w:val="17"/>
                  <w:szCs w:val="17"/>
                  <w:color w:val="auto"/>
                  <w:w w:val="91"/>
                </w:rPr>
                <w:t>F-89</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9">
              <w:r>
                <w:rPr>
                  <w:rFonts w:ascii="Arial" w:cs="Arial" w:eastAsia="Arial" w:hAnsi="Arial"/>
                  <w:sz w:val="17"/>
                  <w:szCs w:val="17"/>
                  <w:u w:val="single" w:color="auto"/>
                  <w:color w:val="0000EE"/>
                </w:rPr>
                <w:t>Note 14</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9">
              <w:r>
                <w:rPr>
                  <w:rFonts w:ascii="Arial" w:cs="Arial" w:eastAsia="Arial" w:hAnsi="Arial"/>
                  <w:sz w:val="17"/>
                  <w:szCs w:val="17"/>
                  <w:u w:val="single" w:color="auto"/>
                  <w:color w:val="0000EE"/>
                </w:rPr>
                <w:t>Commitments and Contingencies</w:t>
              </w:r>
            </w:hyperlink>
          </w:p>
        </w:tc>
        <w:tc>
          <w:tcPr>
            <w:tcW w:w="6080" w:type="dxa"/>
            <w:vAlign w:val="bottom"/>
          </w:tcPr>
          <w:p>
            <w:pPr>
              <w:ind w:left="5740"/>
              <w:spacing w:after="0"/>
              <w:rPr>
                <w:rFonts w:ascii="Arial" w:cs="Arial" w:eastAsia="Arial" w:hAnsi="Arial"/>
                <w:sz w:val="17"/>
                <w:szCs w:val="17"/>
                <w:color w:val="auto"/>
                <w:w w:val="91"/>
              </w:rPr>
            </w:pPr>
            <w:hyperlink w:anchor="page329">
              <w:r>
                <w:rPr>
                  <w:rFonts w:ascii="Arial" w:cs="Arial" w:eastAsia="Arial" w:hAnsi="Arial"/>
                  <w:sz w:val="17"/>
                  <w:szCs w:val="17"/>
                  <w:color w:val="auto"/>
                  <w:w w:val="91"/>
                </w:rPr>
                <w:t>F-90</w:t>
              </w:r>
            </w:hyperlink>
          </w:p>
        </w:tc>
      </w:tr>
      <w:tr>
        <w:trPr>
          <w:trHeight w:val="262"/>
        </w:trPr>
        <w:tc>
          <w:tcPr>
            <w:tcW w:w="900" w:type="dxa"/>
            <w:vAlign w:val="bottom"/>
          </w:tcPr>
          <w:p>
            <w:pPr>
              <w:spacing w:after="0"/>
              <w:rPr>
                <w:rFonts w:ascii="Arial" w:cs="Arial" w:eastAsia="Arial" w:hAnsi="Arial"/>
                <w:sz w:val="17"/>
                <w:szCs w:val="17"/>
                <w:u w:val="single" w:color="auto"/>
                <w:color w:val="0000EE"/>
              </w:rPr>
            </w:pPr>
            <w:hyperlink w:anchor="page329">
              <w:r>
                <w:rPr>
                  <w:rFonts w:ascii="Arial" w:cs="Arial" w:eastAsia="Arial" w:hAnsi="Arial"/>
                  <w:sz w:val="17"/>
                  <w:szCs w:val="17"/>
                  <w:u w:val="single" w:color="auto"/>
                  <w:color w:val="0000EE"/>
                </w:rPr>
                <w:t>Note 15</w:t>
              </w:r>
            </w:hyperlink>
          </w:p>
        </w:tc>
        <w:tc>
          <w:tcPr>
            <w:tcW w:w="4060" w:type="dxa"/>
            <w:vAlign w:val="bottom"/>
          </w:tcPr>
          <w:p>
            <w:pPr>
              <w:ind w:left="340"/>
              <w:spacing w:after="0"/>
              <w:rPr>
                <w:rFonts w:ascii="Arial" w:cs="Arial" w:eastAsia="Arial" w:hAnsi="Arial"/>
                <w:sz w:val="17"/>
                <w:szCs w:val="17"/>
                <w:u w:val="single" w:color="auto"/>
                <w:color w:val="0000EE"/>
              </w:rPr>
            </w:pPr>
            <w:hyperlink w:anchor="page329">
              <w:r>
                <w:rPr>
                  <w:rFonts w:ascii="Arial" w:cs="Arial" w:eastAsia="Arial" w:hAnsi="Arial"/>
                  <w:sz w:val="17"/>
                  <w:szCs w:val="17"/>
                  <w:u w:val="single" w:color="auto"/>
                  <w:color w:val="0000EE"/>
                </w:rPr>
                <w:t>Subsequent Events</w:t>
              </w:r>
            </w:hyperlink>
          </w:p>
        </w:tc>
        <w:tc>
          <w:tcPr>
            <w:tcW w:w="6080" w:type="dxa"/>
            <w:vAlign w:val="bottom"/>
          </w:tcPr>
          <w:p>
            <w:pPr>
              <w:ind w:left="5740"/>
              <w:spacing w:after="0"/>
              <w:rPr>
                <w:rFonts w:ascii="Arial" w:cs="Arial" w:eastAsia="Arial" w:hAnsi="Arial"/>
                <w:sz w:val="17"/>
                <w:szCs w:val="17"/>
                <w:color w:val="auto"/>
                <w:w w:val="91"/>
              </w:rPr>
            </w:pPr>
            <w:hyperlink w:anchor="page329">
              <w:r>
                <w:rPr>
                  <w:rFonts w:ascii="Arial" w:cs="Arial" w:eastAsia="Arial" w:hAnsi="Arial"/>
                  <w:sz w:val="17"/>
                  <w:szCs w:val="17"/>
                  <w:color w:val="auto"/>
                  <w:w w:val="91"/>
                </w:rPr>
                <w:t>F-90</w:t>
              </w:r>
            </w:hyperlink>
          </w:p>
        </w:tc>
      </w:tr>
      <w:tr>
        <w:trPr>
          <w:trHeight w:val="812"/>
        </w:trPr>
        <w:tc>
          <w:tcPr>
            <w:tcW w:w="9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080" w:type="dxa"/>
            <w:vAlign w:val="bottom"/>
          </w:tcPr>
          <w:p>
            <w:pPr>
              <w:ind w:left="460"/>
              <w:spacing w:after="0"/>
              <w:rPr>
                <w:sz w:val="20"/>
                <w:szCs w:val="20"/>
                <w:color w:val="auto"/>
              </w:rPr>
            </w:pPr>
            <w:r>
              <w:rPr>
                <w:rFonts w:ascii="Arial" w:cs="Arial" w:eastAsia="Arial" w:hAnsi="Arial"/>
                <w:sz w:val="17"/>
                <w:szCs w:val="17"/>
                <w:color w:val="auto"/>
              </w:rPr>
              <w:t>F-76</w:t>
            </w:r>
          </w:p>
        </w:tc>
      </w:tr>
    </w:tbl>
    <w:p>
      <w:pPr>
        <w:sectPr>
          <w:pgSz w:w="11900" w:h="16838" w:orient="portrait"/>
          <w:cols w:equalWidth="0" w:num="1">
            <w:col w:w="11040"/>
          </w:cols>
          <w:pgMar w:left="360" w:top="331" w:right="499" w:bottom="1440" w:gutter="0" w:footer="0" w:header="0"/>
        </w:sectPr>
      </w:pPr>
    </w:p>
    <w:bookmarkStart w:id="315" w:name="page316"/>
    <w:bookmarkEnd w:id="315"/>
    <w:p>
      <w:pPr>
        <w:spacing w:after="0"/>
        <w:rPr>
          <w:sz w:val="20"/>
          <w:szCs w:val="20"/>
          <w:color w:val="auto"/>
        </w:rPr>
      </w:pPr>
      <w:r>
        <w:rPr>
          <w:rFonts w:ascii="Arial" w:cs="Arial" w:eastAsia="Arial" w:hAnsi="Arial"/>
          <w:sz w:val="17"/>
          <w:szCs w:val="17"/>
          <w:b w:val="1"/>
          <w:bCs w:val="1"/>
          <w:color w:val="auto"/>
        </w:rPr>
        <w:t>Note 1 - Description of Business</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Zoom Information, Inc. (ZoomInfo or the Company) was incorporated in March 2000 as a Delaware corporation. ZoomInfo provides business information to sales, marketing and recruiting professionals to help them find, qualify and close business more efficiently. The Company is headquartered in Waltham, Massachusetts and has offices in Michigan, Israel and Russia.</w:t>
      </w:r>
    </w:p>
    <w:p>
      <w:pPr>
        <w:spacing w:after="0" w:line="119"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Company is subject to risks common to technology companies in similar stages of development including, but not limited to, the need for successful development of new technology, development of markets and distribution channels, raising sufficient capital to support operations, protection of proprietary technology, dependence on key personnel, fluctuations in operating results and risks associated with changes in information technology.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Significant Accounting Policies</w:t>
      </w:r>
    </w:p>
    <w:p>
      <w:pPr>
        <w:spacing w:after="0" w:line="171"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The financial statements have been prepared in accordance with accounting standards set by the Financial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Board (FASB). The FASB sets generally accepted accounting principles (GAAP) to ensure financial condition, results of operations, and cash flows are consistently reported. References to GAAP issued by the FASB in these footnotes are to the FASB Accounting Standards Codification (FASB ASC).</w:t>
      </w:r>
    </w:p>
    <w:p>
      <w:pPr>
        <w:spacing w:after="0" w:line="94"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The accompanying consolidated financial statements include the accounts of Zoom Information, Inc. and its wholly-owned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Datanyze, Inc., Datanyze Rus, LLC and Zoom Information Israel Ltd. All significant intercompany accounts and transactions have been eliminated upon consolidation.</w:t>
      </w:r>
    </w:p>
    <w:p>
      <w:pPr>
        <w:spacing w:after="0" w:line="10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requires</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 Actual results could differ from those estimates. Significant estimates include the net realizable value of accounts receivable, revenue recognition, useful lives of property and equipment, accrued liabilities, purchase price allocation and valuation of goodwill and intangible assets, stock-based compensation and accounting for deferred income taxes.</w:t>
      </w:r>
    </w:p>
    <w:p>
      <w:pPr>
        <w:spacing w:after="0" w:line="120"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Company’s foreign operations include contractual obligations denominated in foreign currencies, as well as financial assets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denominated in foreign currencies. The Company is subject to exposure should exchange rates fluctuate. The Company’s consolidated financial statements are presented in United States Dollars.</w:t>
      </w:r>
    </w:p>
    <w:p>
      <w:pPr>
        <w:spacing w:after="0" w:line="11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functional currency of the Company’s foreign subsidiaries in Russia and Israel is the United States Dollar. The Company remeasures monetary assets and liabilities from the local currency to the United States Dollar at exchange rates in effect at the end of each period. Nonmonetary assets and liabilities are remeasured at historical rates. Income statement accounts are remeasured at monthly average rates for the year. Gains and losses from remeasurement are included in other income (expense) in the consolidated statements of operations.</w:t>
      </w:r>
    </w:p>
    <w:p>
      <w:pPr>
        <w:spacing w:after="0" w:line="120"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The Company considers such highly liquid investments with original maturities of three months or less when purchased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cash and cash equivalents.</w:t>
      </w:r>
    </w:p>
    <w:p>
      <w:pPr>
        <w:spacing w:after="0" w:line="94"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b w:val="1"/>
          <w:bCs w:val="1"/>
          <w:color w:val="auto"/>
        </w:rPr>
        <w:t xml:space="preserve">Concentrations of credit risk and significant customers: </w:t>
      </w:r>
      <w:r>
        <w:rPr>
          <w:rFonts w:ascii="Arial" w:cs="Arial" w:eastAsia="Arial" w:hAnsi="Arial"/>
          <w:sz w:val="17"/>
          <w:szCs w:val="17"/>
          <w:color w:val="auto"/>
        </w:rPr>
        <w:t>Bank deposit accounts in the United States are insured by the Federal Deposit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(FDIC) up to $250,000. The Company maintains its cash and cash equivalents in bank deposit accounts that, at times, may exceed federally insured limits. The Company has not experienced any losses in such accounts and management believes it is not exposed to significant credit risk. During the period from January 1, 2019 through January 31, 2019 and the year ended December 31, 2018, there were no individual customers that represented greater than 10% of the Company’s revenue. As of January 31, 2019 and December 31, 2018, there were no individual customers with an outstanding balance greater than 10% of accounts receivable.</w:t>
      </w:r>
    </w:p>
    <w:p>
      <w:pPr>
        <w:spacing w:after="0" w:line="120"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The Company accounts for trade receivables at original invoiced amounts less any allowance for doubtful accounts based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probability of future collection. The Company provides an allowance for doubtful accounts based upon past loss experience, known and inherent risks in the accounts, adverse situations that may affect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F-77</w:t>
      </w:r>
    </w:p>
    <w:p>
      <w:pPr>
        <w:sectPr>
          <w:pgSz w:w="11900" w:h="16838" w:orient="portrait"/>
          <w:cols w:equalWidth="0" w:num="1">
            <w:col w:w="11240"/>
          </w:cols>
          <w:pgMar w:left="320" w:top="330" w:right="339" w:bottom="1440" w:gutter="0" w:footer="0" w:header="0"/>
        </w:sectPr>
      </w:pPr>
    </w:p>
    <w:bookmarkStart w:id="316" w:name="page317"/>
    <w:bookmarkEnd w:id="316"/>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30"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a customers’ ability to repay, and current economic conditions. The Company writes off accounts receivable against the allowance when a balance is determined to be uncollectible. The allowance for doubtful accounts was $383,796 and $365,127 at January 31, 2019 and December 31, 2018, respectively.</w:t>
      </w:r>
    </w:p>
    <w:p>
      <w:pPr>
        <w:spacing w:after="0" w:line="77"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Property and equipment: </w:t>
      </w:r>
      <w:r>
        <w:rPr>
          <w:rFonts w:ascii="Arial" w:cs="Arial" w:eastAsia="Arial" w:hAnsi="Arial"/>
          <w:sz w:val="17"/>
          <w:szCs w:val="17"/>
          <w:color w:val="auto"/>
        </w:rPr>
        <w:t>Property and equipment are recorded at cost and depreciated using the straight-line method over the estimated useful lives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where applicable and if shorter, over the lease term. Upon retirement or sale, the cost of assets disposed of and the related accumulated depreciation are removed from the accounts and any resulting (gain) or loss is credited or charged to income. Repairs and maintenance costs are expensed as incurred. Depreciation is provided for by the straight-line method over estimated useful lives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software and equipment</w:t>
            </w:r>
          </w:p>
        </w:tc>
        <w:tc>
          <w:tcPr>
            <w:tcW w:w="4660" w:type="dxa"/>
            <w:vAlign w:val="bottom"/>
            <w:tcBorders>
              <w:bottom w:val="single" w:sz="8" w:color="CCEEFF"/>
            </w:tcBorders>
            <w:shd w:val="clear" w:color="auto" w:fill="CCEEFF"/>
          </w:tcPr>
          <w:p>
            <w:pPr>
              <w:ind w:left="4140"/>
              <w:spacing w:after="0"/>
              <w:rPr>
                <w:sz w:val="20"/>
                <w:szCs w:val="20"/>
                <w:color w:val="auto"/>
              </w:rPr>
            </w:pPr>
            <w:r>
              <w:rPr>
                <w:rFonts w:ascii="Arial" w:cs="Arial" w:eastAsia="Arial" w:hAnsi="Arial"/>
                <w:sz w:val="17"/>
                <w:szCs w:val="17"/>
                <w:color w:val="auto"/>
                <w:w w:val="89"/>
              </w:rPr>
              <w:t>3 years</w:t>
            </w:r>
          </w:p>
        </w:tc>
      </w:tr>
      <w:tr>
        <w:trPr>
          <w:trHeight w:val="235"/>
        </w:trPr>
        <w:tc>
          <w:tcPr>
            <w:tcW w:w="6580" w:type="dxa"/>
            <w:vAlign w:val="bottom"/>
          </w:tcPr>
          <w:p>
            <w:pPr>
              <w:ind w:left="40"/>
              <w:spacing w:after="0"/>
              <w:rPr>
                <w:sz w:val="20"/>
                <w:szCs w:val="20"/>
                <w:color w:val="auto"/>
              </w:rPr>
            </w:pPr>
            <w:r>
              <w:rPr>
                <w:rFonts w:ascii="Arial" w:cs="Arial" w:eastAsia="Arial" w:hAnsi="Arial"/>
                <w:sz w:val="17"/>
                <w:szCs w:val="17"/>
                <w:color w:val="auto"/>
              </w:rPr>
              <w:t>Leasehold improvements</w:t>
            </w:r>
          </w:p>
        </w:tc>
        <w:tc>
          <w:tcPr>
            <w:tcW w:w="4660" w:type="dxa"/>
            <w:vAlign w:val="bottom"/>
          </w:tcPr>
          <w:p>
            <w:pPr>
              <w:ind w:left="4140"/>
              <w:spacing w:after="0"/>
              <w:rPr>
                <w:sz w:val="20"/>
                <w:szCs w:val="20"/>
                <w:color w:val="auto"/>
              </w:rPr>
            </w:pPr>
            <w:r>
              <w:rPr>
                <w:rFonts w:ascii="Arial" w:cs="Arial" w:eastAsia="Arial" w:hAnsi="Arial"/>
                <w:sz w:val="17"/>
                <w:szCs w:val="17"/>
                <w:color w:val="auto"/>
                <w:w w:val="89"/>
              </w:rPr>
              <w:t>3 years</w:t>
            </w:r>
          </w:p>
        </w:tc>
      </w:tr>
      <w:tr>
        <w:trPr>
          <w:trHeight w:val="27"/>
        </w:trPr>
        <w:tc>
          <w:tcPr>
            <w:tcW w:w="658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35"/>
        </w:trPr>
        <w:tc>
          <w:tcPr>
            <w:tcW w:w="65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Furniture and fixtures</w:t>
            </w:r>
          </w:p>
        </w:tc>
        <w:tc>
          <w:tcPr>
            <w:tcW w:w="4660" w:type="dxa"/>
            <w:vAlign w:val="bottom"/>
            <w:shd w:val="clear" w:color="auto" w:fill="CCEEFF"/>
          </w:tcPr>
          <w:p>
            <w:pPr>
              <w:ind w:left="4140"/>
              <w:spacing w:after="0"/>
              <w:rPr>
                <w:sz w:val="20"/>
                <w:szCs w:val="20"/>
                <w:color w:val="auto"/>
              </w:rPr>
            </w:pPr>
            <w:r>
              <w:rPr>
                <w:rFonts w:ascii="Arial" w:cs="Arial" w:eastAsia="Arial" w:hAnsi="Arial"/>
                <w:sz w:val="17"/>
                <w:szCs w:val="17"/>
                <w:color w:val="auto"/>
                <w:w w:val="89"/>
              </w:rPr>
              <w:t>5 years</w:t>
            </w:r>
          </w:p>
        </w:tc>
      </w:tr>
      <w:tr>
        <w:trPr>
          <w:trHeight w:val="27"/>
        </w:trPr>
        <w:tc>
          <w:tcPr>
            <w:tcW w:w="658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color w:val="auto"/>
        </w:rPr>
        <w:t>The Company accounts for business combinations pursuant to FASB ASC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b w:val="1"/>
          <w:bCs w:val="1"/>
          <w:color w:val="auto"/>
        </w:rPr>
        <w:t xml:space="preserve"> </w:t>
      </w:r>
      <w:r>
        <w:rPr>
          <w:rFonts w:ascii="Arial" w:cs="Arial" w:eastAsia="Arial" w:hAnsi="Arial"/>
          <w:sz w:val="17"/>
          <w:szCs w:val="17"/>
          <w:color w:val="auto"/>
        </w:rPr>
        <w:t>(ASC 805).</w:t>
      </w:r>
      <w:r>
        <w:rPr>
          <w:rFonts w:ascii="Arial" w:cs="Arial" w:eastAsia="Arial" w:hAnsi="Arial"/>
          <w:sz w:val="17"/>
          <w:szCs w:val="17"/>
          <w:b w:val="1"/>
          <w:bCs w:val="1"/>
          <w:color w:val="auto"/>
        </w:rPr>
        <w:t xml:space="preserve"> </w:t>
      </w:r>
      <w:r>
        <w:rPr>
          <w:rFonts w:ascii="Arial" w:cs="Arial" w:eastAsia="Arial" w:hAnsi="Arial"/>
          <w:sz w:val="17"/>
          <w:szCs w:val="17"/>
          <w:color w:val="auto"/>
        </w:rPr>
        <w:t>Goodwill in such acquisitions represents the excess of the cost of a business acquired over the net of the amounts assigned to assets acquired, including identifiable intangible assets and liabilities assumed. The guidance specifies criteria to be used in determining whether intangible assets acquired in a business combination must be recognized and reported separately from goodwill. Amounts assigned to goodwill and other identifiable intangible assets were determined with the assistance of an independent appraiser through established valuation techniques.</w:t>
      </w:r>
    </w:p>
    <w:p>
      <w:pPr>
        <w:spacing w:after="0" w:line="124"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 xml:space="preserve">In accordance with FASB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Company conducts an impairment evaluation for goodwill at least annually, or more frequently, if events or changes in circumstances indicate that an asset might be impaired. The Company performed the assessment concluding no impairment noted for the period from January 1, 2019 to January 31, 2019 and the year ended December 31, 2018.</w:t>
      </w:r>
    </w:p>
    <w:p>
      <w:pPr>
        <w:spacing w:after="0" w:line="113"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Debt financing costs: </w:t>
      </w:r>
      <w:r>
        <w:rPr>
          <w:rFonts w:ascii="Arial" w:cs="Arial" w:eastAsia="Arial" w:hAnsi="Arial"/>
          <w:sz w:val="17"/>
          <w:szCs w:val="17"/>
          <w:color w:val="auto"/>
        </w:rPr>
        <w:t>Costs incurred related to the financing of long-term debt are netted against the debt and amortized over the remaining life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debt offering. Costs associated with the terms loan are amortized using the straight-line method. Amortization expense is recorded as a component of interest expense.</w:t>
      </w:r>
    </w:p>
    <w:p>
      <w:pPr>
        <w:spacing w:after="0" w:line="109" w:lineRule="exact"/>
        <w:rPr>
          <w:sz w:val="20"/>
          <w:szCs w:val="20"/>
          <w:color w:val="auto"/>
        </w:rPr>
      </w:pPr>
    </w:p>
    <w:p>
      <w:pPr>
        <w:jc w:val="both"/>
        <w:ind w:firstLine="314"/>
        <w:spacing w:after="0" w:line="265"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Long-lived assets include property and equipment, definite lived intangible assets and capitalized software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costs. Long-lived assets are reviewed by management for impairment whenever events or changes in business circumstances indicate that the carrying amount of assets may not be fully recoverable or that the useful lives of these assets are no longer appropriate. Each impairment test is based on a comparison of undiscounted cash flows to the recorded value of the asset. If any impairment is indicated, the asset is written down to its estimate fair value determined on a discounted cash flow basis. For the period from January 1, 2019 through January 31, 2019 and the year ended December 31, 2018, the Company does not believe any impairment of its long-lived assets has occurred.</w:t>
      </w:r>
    </w:p>
    <w:p>
      <w:pPr>
        <w:spacing w:after="0" w:line="120"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Revenue recognition (FASB ASC 605): </w:t>
      </w:r>
      <w:r>
        <w:rPr>
          <w:rFonts w:ascii="Arial" w:cs="Arial" w:eastAsia="Arial" w:hAnsi="Arial"/>
          <w:sz w:val="17"/>
          <w:szCs w:val="17"/>
          <w:color w:val="auto"/>
        </w:rPr>
        <w:t>The Company derives revenue by providing software as a service (SaaS) to the customer in which the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have the rights to the software license itself but can use the hosted software for the contracted term. As a result, the Company recognizes revenue from these arrangements in accordance with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during the year ended December 31, 2018. In accordance with the guidance, the Company accounts for its customer arrangements as service contracts.</w:t>
      </w:r>
    </w:p>
    <w:p>
      <w:pPr>
        <w:spacing w:after="0" w:line="122"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Revenue is recognized only when persuasive evidence of an arrangement exists, the fee is fixed or determinable, the product or service has been delivered, and collectability of the resulting receivable is probable.</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During the year ended December 31, 2018, SaaS revenue was recognized ratably over the term of the related contract, assuming all revenue recognition criteria had been met. SaaS fees are paid by customers for rights to access the Company’s online search technology and database of business people and companies pursuant to subscription agreements with defined terms. The Company’s subscription agreements also generally provide an annual level of usage for the ability to generate lists and data append services. These contracts also provide the rate at which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F-78</w:t>
      </w:r>
    </w:p>
    <w:p>
      <w:pPr>
        <w:sectPr>
          <w:pgSz w:w="11900" w:h="16838" w:orient="portrait"/>
          <w:cols w:equalWidth="0" w:num="1">
            <w:col w:w="11240"/>
          </w:cols>
          <w:pgMar w:left="320" w:top="749" w:right="339" w:bottom="1440" w:gutter="0" w:footer="0" w:header="0"/>
        </w:sectPr>
      </w:pPr>
    </w:p>
    <w:bookmarkStart w:id="317" w:name="page318"/>
    <w:bookmarkEnd w:id="317"/>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customer must pay for usage above and beyond the annual allowable level. Any excess over the annual level of usage requires the customer to pay an additional fee and associated revenue from the ability to use these additional lists or data append services is recognized ratably over the period of availability. Remaining usage expires upon the expiration of the subscription term to the extent unused. Revenue for the annual usage fee is recognized ratably over the subscription term as the pattern of performance is not determinable.</w:t>
      </w:r>
    </w:p>
    <w:p>
      <w:pPr>
        <w:spacing w:after="0" w:line="12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Deferred revenue represent amounts billed or received in advance of satisfying the revenue recognition policy described above and includes $8,232,322 that is included in both accounts receivable and deferred revenue at December 31, 2018, respectively. The Company believes that it has an enforceable collection right pursuant to the related contracts.</w:t>
      </w:r>
    </w:p>
    <w:p>
      <w:pPr>
        <w:spacing w:after="0" w:line="113" w:lineRule="exact"/>
        <w:rPr>
          <w:sz w:val="20"/>
          <w:szCs w:val="20"/>
          <w:color w:val="auto"/>
        </w:rPr>
      </w:pPr>
    </w:p>
    <w:p>
      <w:pPr>
        <w:jc w:val="both"/>
        <w:ind w:firstLine="314"/>
        <w:spacing w:after="0" w:line="284" w:lineRule="auto"/>
        <w:rPr>
          <w:sz w:val="20"/>
          <w:szCs w:val="20"/>
          <w:color w:val="auto"/>
        </w:rPr>
      </w:pPr>
      <w:r>
        <w:rPr>
          <w:rFonts w:ascii="Arial" w:cs="Arial" w:eastAsia="Arial" w:hAnsi="Arial"/>
          <w:sz w:val="16"/>
          <w:szCs w:val="16"/>
          <w:b w:val="1"/>
          <w:bCs w:val="1"/>
          <w:color w:val="auto"/>
        </w:rPr>
        <w:t xml:space="preserve">Revenue recognition (FASB ASC 606): </w:t>
      </w:r>
      <w:r>
        <w:rPr>
          <w:rFonts w:ascii="Arial" w:cs="Arial" w:eastAsia="Arial" w:hAnsi="Arial"/>
          <w:sz w:val="16"/>
          <w:szCs w:val="16"/>
          <w:color w:val="auto"/>
        </w:rPr>
        <w:t>During the period from January 1, 2019 through January 31, 2019, the Company adopted ASU 2014-09,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(ASC 606). The Company adopted ASC 606 on January 1, 2019 utilizing the modified retrospective method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the standard to be adopted for the period beginning January 1, 2019 with no change to the year ended December 31, 2018. Results for the period from January 1, 2019 through January 31, 2019 are presented under ASC 606, while prior period amounts are not adjusted and continue to be reported under accounting standards in effect for the prior periods. The Company recorded an adjustment to accumulated deficit on January 1, 2019 due to the cumulative impact of adopting ASC 606. See Note 3 for the required disclosures related to the impact of adopting this standard.</w:t>
      </w:r>
    </w:p>
    <w:p>
      <w:pPr>
        <w:spacing w:after="0" w:line="114"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In accordance with ASC 606, revenue is recognized when a customer obtains control of promised goods and services. ASC 606 requires disclosures of the nature, amount, timing, and uncertainty of revenue and cash flows arising from contracts with customers.</w:t>
      </w:r>
    </w:p>
    <w:p>
      <w:pPr>
        <w:spacing w:after="0" w:line="106"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core principle of the standard is to recognize revenue to depict the transfer of promised goods or services to customers in an amount that reflects the consideration to which the Company expect to be entitled in exchange for those goods or services. To achieve that core principle, the Company applies the following five step model:</w:t>
      </w:r>
    </w:p>
    <w:p>
      <w:pPr>
        <w:spacing w:after="0" w:line="119" w:lineRule="exact"/>
        <w:rPr>
          <w:sz w:val="20"/>
          <w:szCs w:val="20"/>
          <w:color w:val="auto"/>
        </w:rPr>
      </w:pPr>
    </w:p>
    <w:p>
      <w:pPr>
        <w:ind w:left="640" w:hanging="321"/>
        <w:spacing w:after="0"/>
        <w:tabs>
          <w:tab w:leader="none" w:pos="6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Identify the contract with the customer;</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Identify the performance obligations in the contract;</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Determine the transaction price;</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w:t>
      </w:r>
    </w:p>
    <w:p>
      <w:pPr>
        <w:spacing w:after="0" w:line="171" w:lineRule="exact"/>
        <w:rPr>
          <w:rFonts w:ascii="Arial" w:cs="Arial" w:eastAsia="Arial" w:hAnsi="Arial"/>
          <w:sz w:val="17"/>
          <w:szCs w:val="17"/>
          <w:color w:val="auto"/>
        </w:rPr>
      </w:pPr>
    </w:p>
    <w:p>
      <w:pPr>
        <w:ind w:left="640" w:hanging="321"/>
        <w:spacing w:after="0"/>
        <w:tabs>
          <w:tab w:leader="none" w:pos="6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Recognize revenue when (or as) each performance obligation is satisfied.</w:t>
      </w:r>
    </w:p>
    <w:p>
      <w:pPr>
        <w:spacing w:after="0" w:line="171"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generally recognizes revenue for subscription contracts ratably over the contractual term, beginning on the date that the service is made available to the customer. Deferred revenue results from amounts billed to customers in advance or cash received from customers in advance of the satisfaction of performance obligations.</w:t>
      </w:r>
    </w:p>
    <w:p>
      <w:pPr>
        <w:spacing w:after="0" w:line="119"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transaction price is the amount of consideration to which the Company expects to be entitled in exchange for transferring goods and services to the customer. Revenue is recorded based on the transaction price, which includes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 The Company recorded variable consideration of $98,000 during the period from January 1, 2019 through January 31, 2019. The Company recorded a $435,912 adjustment to accumulated deficit related to variable consideration upon adoption of ASC 606 (Note 3).</w:t>
      </w:r>
    </w:p>
    <w:p>
      <w:pPr>
        <w:spacing w:after="0" w:line="12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Deferred revenue represent amounts billed or received in advance of satisfying the revenue recognition policy described above and includes $2,886,392 that is included in both accounts receivable and deferred revenue at January 31, 2019. The Company believes that it has an enforceable collection right pursuant to the related contracts.</w:t>
      </w:r>
    </w:p>
    <w:p>
      <w:pPr>
        <w:spacing w:after="0" w:line="113"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Contract costs: </w:t>
      </w:r>
      <w:r>
        <w:rPr>
          <w:rFonts w:ascii="Arial" w:cs="Arial" w:eastAsia="Arial" w:hAnsi="Arial"/>
          <w:sz w:val="17"/>
          <w:szCs w:val="17"/>
          <w:color w:val="auto"/>
        </w:rPr>
        <w:t>During the period from January 1, 2019 through January 31, 2019, the Company adopted FASB ASC 340-40 -</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Other Assets and Deferred</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Costs—Contracts with Customers </w:t>
      </w:r>
      <w:r>
        <w:rPr>
          <w:rFonts w:ascii="Arial" w:cs="Arial" w:eastAsia="Arial" w:hAnsi="Arial"/>
          <w:sz w:val="17"/>
          <w:szCs w:val="17"/>
          <w:color w:val="auto"/>
        </w:rPr>
        <w:t>as part of the ASU 2014-09. Sales commissions paid to sales personnel are considered incremental and recoverable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obtaining a contract with a</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F-79</w:t>
      </w:r>
    </w:p>
    <w:p>
      <w:pPr>
        <w:sectPr>
          <w:pgSz w:w="11900" w:h="16838" w:orient="portrait"/>
          <w:cols w:equalWidth="0" w:num="1">
            <w:col w:w="11240"/>
          </w:cols>
          <w:pgMar w:left="320" w:top="749" w:right="339" w:bottom="1440" w:gutter="0" w:footer="0" w:header="0"/>
        </w:sectPr>
      </w:pPr>
    </w:p>
    <w:bookmarkStart w:id="318" w:name="page319"/>
    <w:bookmarkEnd w:id="318"/>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3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customer. Sales commissions for initial contracts are capitalized and amortized on a straight-line basis over three years which represents the expected benefit period of the associated contracts. The Company determines the period of benefit by taking into consideration the historical and expected durations of customer contracts, the expected useful life of the technology, and other factors. Sales commissions for renewal contracts are generally deferred and amortized on a straight-line basis over the related contractual renewal period, which is generally one year. Amortization expense related to capitalized commissions is included as a component of sales and marketing expense in the accompanying consolidated statement of operations. Total capitalized commissions as of January 31, 2019 were $3,585,122. Prior to adoption of FASB ASC 340-40, sales commissions were expensed as incurred.</w:t>
      </w:r>
    </w:p>
    <w:p>
      <w:pPr>
        <w:spacing w:after="0" w:line="113"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Company recorded an adjustment to accumulated deficit on January 1, 2019 due to the cumulative impact of adopting ASC 340-40 of $3,280,346. During the period from January 1, 2019 through January 31, 2019, the Company capitalized commissions of $536,565 and recorded amortization expense of $231,789. See Note 3 for required disclosures related to the impact of adopting this standard.</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applies a practical expedient to expense costs as incurred for costs to obtain a contract when the amortization period is one year or less.</w:t>
      </w:r>
    </w:p>
    <w:p>
      <w:pPr>
        <w:spacing w:after="0" w:line="17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Advertising costs: </w:t>
      </w:r>
      <w:r>
        <w:rPr>
          <w:rFonts w:ascii="Arial" w:cs="Arial" w:eastAsia="Arial" w:hAnsi="Arial"/>
          <w:sz w:val="17"/>
          <w:szCs w:val="17"/>
          <w:color w:val="auto"/>
        </w:rPr>
        <w:t>Costs related to advertising are expensed as incurred. Advertising costs include tradeshows, promotional items, marketing consultants,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direct marketing. For the period from January 1, 2019 through January 31, 2019 and the year ended December 31, 2018, total advertising expenses were $164,759 and $2,771,005, respectively.</w:t>
      </w:r>
    </w:p>
    <w:p>
      <w:pPr>
        <w:spacing w:after="0" w:line="109"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b w:val="1"/>
          <w:bCs w:val="1"/>
          <w:color w:val="auto"/>
        </w:rPr>
        <w:t xml:space="preserve">Research and development costs and software development costs: </w:t>
      </w:r>
      <w:r>
        <w:rPr>
          <w:rFonts w:ascii="Arial" w:cs="Arial" w:eastAsia="Arial" w:hAnsi="Arial"/>
          <w:sz w:val="16"/>
          <w:szCs w:val="16"/>
          <w:color w:val="auto"/>
        </w:rPr>
        <w:t>Research and development costs are expensed as incurred except for internal software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costs that qualify for capitalization. Research and development costs consist of personnel costs for the design, deployment, testing and enhancement of the Company’s technology. For development costs related to the Company’s cloud-based service, the Company capitalizes costs incurred during the application development stage. Costs related to preliminary project activities and post-implementation activities are expensed as incurred. The Company did not incur any material qualifying costs during the application development stage during the period from January 1, 2019 through January 31, 2019 or the year ended December 31, 2018. Costs charged to expense relating to research and development totaled $1,663,534 and $13,093,595 for the period from January 1, 2019 through January 31, 2019 and the year ended December 31, 2018, respectively.</w:t>
      </w:r>
    </w:p>
    <w:p>
      <w:pPr>
        <w:spacing w:after="0" w:line="111"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The Company accounts for equity-based employee compensation arrangements in accordance with ASC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The Company records stock-based compensation expense based on the estimated fair value of the equity instrument using the Black-Scholes option pricing model to determine the weighted-average fair value of options granted. In accordance with ASC 718, the Company recognizes the compensation cost of stock-based awards on a straight-line basis over the requisite service period.</w:t>
      </w:r>
    </w:p>
    <w:p>
      <w:pPr>
        <w:spacing w:after="0" w:line="116"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b w:val="1"/>
          <w:bCs w:val="1"/>
          <w:color w:val="auto"/>
        </w:rPr>
        <w:t xml:space="preserve">Redeemable stock: </w:t>
      </w:r>
      <w:r>
        <w:rPr>
          <w:rFonts w:ascii="Arial" w:cs="Arial" w:eastAsia="Arial" w:hAnsi="Arial"/>
          <w:sz w:val="17"/>
          <w:szCs w:val="17"/>
          <w:color w:val="auto"/>
        </w:rPr>
        <w:t>On August 11, 2017, the Company entered into a Securities Purchase Agreement (the Agreement) with GHP Zoom Investor LLC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(Parent Company), an affiliate of Great Hill Equity Partners VI LP (Acquirer), for the acquisition of 55% of the Company’s equity interest through a leverage recapitalization transaction (Recapitalization). In connection with the close of the Recapitalization, the Company agreed to a mandatory repurchase of certain shares of stock at a specified future date. The Company agreed to purchase and the shareholders agreed to sell the shares of Series A Common Stock (Mandatorily Redeemable Equity Securities) at a date no later than July 31, 2018 (Mandatory Redemption Date) at a price per share determined based on a multiple of billings for the 12 month period ended June 30, 2018. Consistent with the guidance in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Mandatorily Redeemable Equity Securities are recognized as a liability and measured at fair value on the date of issuance. Subsequent measurement of the liability for the Mandatorily Redeemable Equity Securities is fair value. The Company recorded a share redemption liability of $41,912,000 at December 31, 2017. During the year ended December 31, 2018, the Company repurchased 17,079,761 shares of Mandatorily Redeemable Equity Securities for total cash consideration of $55,999,015. As a result, during the year ended December 31, 2018, the Company recorded a loss of $14,087,015 upon purchase of Mandatorily Redeemable Equity Securities.</w:t>
      </w:r>
    </w:p>
    <w:p>
      <w:pPr>
        <w:spacing w:after="0" w:line="124"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utilizes the asset and liability method of accounting for income taxes. Under this method, deferred tax assets and liabilities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based upon differences between financial reporting and tax basis of assets and liabilities and for net operating loss carryforwards, measured using the enacted tax rates and laws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F-80</w:t>
      </w:r>
    </w:p>
    <w:p>
      <w:pPr>
        <w:sectPr>
          <w:pgSz w:w="11900" w:h="16838" w:orient="portrait"/>
          <w:cols w:equalWidth="0" w:num="1">
            <w:col w:w="11240"/>
          </w:cols>
          <w:pgMar w:left="320" w:top="749" w:right="339" w:bottom="1440" w:gutter="0" w:footer="0" w:header="0"/>
        </w:sectPr>
      </w:pPr>
    </w:p>
    <w:bookmarkStart w:id="319" w:name="page320"/>
    <w:bookmarkEnd w:id="319"/>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that will be in effect when differences are expected to reverse. Valuation allowances are provided, if based upon the weight of available evidence, it is more likely than not that some or all of the deferred tax assets will not be realized.</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follows the provisions of applicable accounting standards relative to accounting for uncertainties in tax positions. Under these provisions, the Company recognizes the tax benefit of tax positions to the extent that the benefit will more likely than not be realized. The determination as to whether the tax benefit will more likely than not be realized is based upon the technical merits of the tax positions as well as the consideration of available facts and circumstances.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71"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In August 2015, the FASB issued ASU 2015-14, which defers the effective date of ASU 2014-09 one year making it effective for annual reporting periods beginning after December 15, 2018. The Company adopted ASC 606 on January 1, 2019 using the modified retrospective method. Under this approach, the new standard applies to all new contracts initiated on or after January 1, 2019. For existing contracts that had remaining obligations as of January 1, 2019, any difference between the recognition criteria in ASC 606 and the Company’s legacy revenue recognition practices was recognized using a cumulative effect adjustment to the opening balance of accumulated deficit (Note 3).</w:t>
      </w:r>
    </w:p>
    <w:p>
      <w:pPr>
        <w:spacing w:after="0" w:line="133" w:lineRule="exact"/>
        <w:rPr>
          <w:sz w:val="20"/>
          <w:szCs w:val="20"/>
          <w:color w:val="auto"/>
        </w:rPr>
      </w:pPr>
    </w:p>
    <w:p>
      <w:pPr>
        <w:jc w:val="both"/>
        <w:ind w:firstLine="314"/>
        <w:spacing w:after="0" w:line="28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 — 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2016-09). ASU 2016-09 simplifies several aspects of the accounting for equity-based payment awards, including: (a) the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(b) classification of the awards as either equity or liabilities, (c) classification on the statement of cash flows and (d) accounting for forfeitures as they occur. ASU 2016-09 is effective for final financial statement periods beginning after December 15, 2017. The Company adopted this guidance during the year ended December 31, 2018. The adoption of this guidance did not materially impact the financial statements (Note 11).</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71" w:lineRule="exact"/>
        <w:rPr>
          <w:sz w:val="20"/>
          <w:szCs w:val="20"/>
          <w:color w:val="auto"/>
        </w:rPr>
      </w:pPr>
    </w:p>
    <w:p>
      <w:pPr>
        <w:jc w:val="both"/>
        <w:ind w:firstLine="314"/>
        <w:spacing w:after="0" w:line="26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guidance in this ASU supersedes the leasing guidance in Topic 840, </w:t>
      </w:r>
      <w:r>
        <w:rPr>
          <w:rFonts w:ascii="Arial" w:cs="Arial" w:eastAsia="Arial" w:hAnsi="Arial"/>
          <w:sz w:val="17"/>
          <w:szCs w:val="17"/>
          <w:i w:val="1"/>
          <w:iCs w:val="1"/>
          <w:color w:val="auto"/>
        </w:rPr>
        <w:t>Leases</w:t>
      </w:r>
      <w:r>
        <w:rPr>
          <w:rFonts w:ascii="Arial" w:cs="Arial" w:eastAsia="Arial" w:hAnsi="Arial"/>
          <w:sz w:val="17"/>
          <w:szCs w:val="17"/>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2020,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did not evaluate the impact of adopting the guidance due to the sale of the Company as disclosed within Note 15.</w:t>
      </w:r>
    </w:p>
    <w:p>
      <w:pPr>
        <w:spacing w:after="0" w:line="130" w:lineRule="exact"/>
        <w:rPr>
          <w:sz w:val="20"/>
          <w:szCs w:val="20"/>
          <w:color w:val="auto"/>
        </w:rPr>
      </w:pPr>
    </w:p>
    <w:p>
      <w:pPr>
        <w:jc w:val="both"/>
        <w:ind w:firstLine="314"/>
        <w:spacing w:after="0" w:line="26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(Topic 350), which eliminates the requirement to compare the implied fair value of reporting unit goodwill with the carrying amount of that goodwill (commonly referred to as Step 2) from the goodwill impairment test. The new standard does not change how a goodwill impairment is identified. The Company will continue to perform quantitative and qualitative goodwill impairment test by comparing the fair value of each reporting unit to its carrying amount, but if the Company is required to recognize a goodwill impairment charge, under the new standard the amount of the charge will be calculated by subtracting the reporting unit’s fair value from its carrying amount. Under the prior standard, if the Company were required to recognize a goodwill impairment charge, Step 2 required to calculate the implied value of goodwill by assigning the fair value of a reporting unit to all of its assets and liabilities as if that reporting unit had been acquired in a business combination and the amount of the charge was calculated by subtracting the reporting unit’s implied fair value of goodwill from its actual goodwill balance. The new standard is effective for annual reporting periods beginning after December 15, 2021,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F-81</w:t>
      </w:r>
    </w:p>
    <w:p>
      <w:pPr>
        <w:sectPr>
          <w:pgSz w:w="11900" w:h="16838" w:orient="portrait"/>
          <w:cols w:equalWidth="0" w:num="1">
            <w:col w:w="11240"/>
          </w:cols>
          <w:pgMar w:left="320" w:top="749" w:right="339" w:bottom="1440" w:gutter="0" w:footer="0" w:header="0"/>
        </w:sectPr>
      </w:pPr>
    </w:p>
    <w:bookmarkStart w:id="320" w:name="page321"/>
    <w:bookmarkEnd w:id="320"/>
    <w:p>
      <w:pPr>
        <w:spacing w:after="0"/>
        <w:rPr>
          <w:sz w:val="20"/>
          <w:szCs w:val="20"/>
          <w:color w:val="auto"/>
        </w:rPr>
      </w:pPr>
      <w:r>
        <w:rPr>
          <w:rFonts w:ascii="Arial" w:cs="Arial" w:eastAsia="Arial" w:hAnsi="Arial"/>
          <w:sz w:val="17"/>
          <w:szCs w:val="17"/>
          <w:b w:val="1"/>
          <w:bCs w:val="1"/>
          <w:color w:val="auto"/>
        </w:rPr>
        <w:t>Note 2 - Summary of Significant Accounting Policies (continued)</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with early adoption permitted, and should be applied prospectively from the date of adoption. The Company did not evaluate the impact of adopting the guidance due to the sale of the Company as disclosed within Note 15.</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from Contracts with Customers</w:t>
      </w:r>
    </w:p>
    <w:p>
      <w:pPr>
        <w:spacing w:after="0" w:line="177"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 xml:space="preserve">On January 1, 2019,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utilizing the modified retrospective method applied to those contracts that were not completed as of December 31, 2018. Results for the period from January 1, 2019 through January 31, 2019 are presented under Topic 606, while prior period amounts are not adjusted and continue to be reported under accounting standards in effect for the prior period. The Company recorded a net decrease to beginning accumulated deficit of $2,088,212 on January 1, 2019. The net decrease to beginning accumulated deficit is due to an adjustment for capitalized commissions of $3,280,346 which was offset by a $435,912 adjustment to deferred revenue and a $756,222 reduction to the income tax benefit. The adjustment to deferred revenue is the result of the Company recording variable consideration.</w:t>
      </w:r>
    </w:p>
    <w:p>
      <w:pPr>
        <w:spacing w:after="0" w:line="11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impact of adopting ASC 606 and ASC 340-40 during the period from January 1, 2019 through January 31, 2019 on the consolidated statement of operations is outlined below:</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Reported</w:t>
            </w: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Under ASC 605</w:t>
            </w:r>
          </w:p>
        </w:tc>
        <w:tc>
          <w:tcPr>
            <w:tcW w:w="16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Impact of ASC 606</w:t>
            </w:r>
          </w:p>
        </w:tc>
      </w:tr>
      <w:tr>
        <w:trPr>
          <w:trHeight w:val="240"/>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Revenue</w:t>
            </w:r>
          </w:p>
        </w:tc>
        <w:tc>
          <w:tcPr>
            <w:tcW w:w="2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9,693,329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9,791,329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(98,000)</w:t>
            </w:r>
          </w:p>
        </w:tc>
      </w:tr>
      <w:tr>
        <w:trPr>
          <w:trHeight w:val="235"/>
        </w:trPr>
        <w:tc>
          <w:tcPr>
            <w:tcW w:w="6300" w:type="dxa"/>
            <w:vAlign w:val="bottom"/>
          </w:tcPr>
          <w:p>
            <w:pPr>
              <w:ind w:left="4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8,042,952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8,347,737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(304,785)</w:t>
            </w:r>
          </w:p>
        </w:tc>
      </w:tr>
      <w:tr>
        <w:trPr>
          <w:trHeight w:val="27"/>
        </w:trPr>
        <w:tc>
          <w:tcPr>
            <w:tcW w:w="6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8"/>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from operations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1,650,377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1,443,592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206,785</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1"/>
        </w:trPr>
        <w:tc>
          <w:tcPr>
            <w:tcW w:w="6300" w:type="dxa"/>
            <w:vAlign w:val="bottom"/>
          </w:tcPr>
          <w:p>
            <w:pPr>
              <w:ind w:left="40"/>
              <w:spacing w:after="0"/>
              <w:rPr>
                <w:sz w:val="20"/>
                <w:szCs w:val="20"/>
                <w:color w:val="auto"/>
              </w:rPr>
            </w:pPr>
            <w:r>
              <w:rPr>
                <w:rFonts w:ascii="Arial" w:cs="Arial" w:eastAsia="Arial" w:hAnsi="Arial"/>
                <w:sz w:val="17"/>
                <w:szCs w:val="17"/>
                <w:color w:val="auto"/>
              </w:rPr>
              <w:t>Loss before income taxes</w:t>
            </w: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5"/>
              <w:spacing w:after="0"/>
              <w:rPr>
                <w:sz w:val="20"/>
                <w:szCs w:val="20"/>
                <w:color w:val="auto"/>
              </w:rPr>
            </w:pPr>
            <w:r>
              <w:rPr>
                <w:rFonts w:ascii="Arial" w:cs="Arial" w:eastAsia="Arial" w:hAnsi="Arial"/>
                <w:sz w:val="17"/>
                <w:szCs w:val="17"/>
                <w:color w:val="auto"/>
              </w:rPr>
              <w:t>645,059</w:t>
            </w:r>
          </w:p>
        </w:tc>
        <w:tc>
          <w:tcPr>
            <w:tcW w:w="12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438,274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15"/>
              <w:spacing w:after="0"/>
              <w:rPr>
                <w:sz w:val="20"/>
                <w:szCs w:val="20"/>
                <w:color w:val="auto"/>
              </w:rPr>
            </w:pPr>
            <w:r>
              <w:rPr>
                <w:rFonts w:ascii="Arial" w:cs="Arial" w:eastAsia="Arial" w:hAnsi="Arial"/>
                <w:sz w:val="17"/>
                <w:szCs w:val="17"/>
                <w:color w:val="auto"/>
              </w:rPr>
              <w:t>206,785</w:t>
            </w:r>
          </w:p>
        </w:tc>
      </w:tr>
      <w:tr>
        <w:trPr>
          <w:trHeight w:val="27"/>
        </w:trPr>
        <w:tc>
          <w:tcPr>
            <w:tcW w:w="6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2"/>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benefit (provision)</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619,994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(756,222)</w:t>
            </w:r>
          </w:p>
        </w:tc>
      </w:tr>
      <w:tr>
        <w:trPr>
          <w:trHeight w:val="248"/>
        </w:trPr>
        <w:tc>
          <w:tcPr>
            <w:tcW w:w="6300" w:type="dxa"/>
            <w:vAlign w:val="bottom"/>
          </w:tcPr>
          <w:p>
            <w:pPr>
              <w:ind w:left="40"/>
              <w:spacing w:after="0"/>
              <w:rPr>
                <w:sz w:val="20"/>
                <w:szCs w:val="20"/>
                <w:color w:val="auto"/>
              </w:rPr>
            </w:pPr>
            <w:r>
              <w:rPr>
                <w:rFonts w:ascii="Arial" w:cs="Arial" w:eastAsia="Arial" w:hAnsi="Arial"/>
                <w:sz w:val="17"/>
                <w:szCs w:val="17"/>
                <w:color w:val="auto"/>
              </w:rPr>
              <w:t>Net loss</w:t>
            </w: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781,287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(181,720)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963,007</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Revenue by geography is determined by the domicile of the Company’s contracting entity. All customer contracts are with the Company’s U.S. entity, therefore 100% of the Company’s revenue is designated as U.S. revenue. Due to the SaaS based nature of the Company’s service, it is possible that some of our customers use the service outside of the U.S.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of the Company’s revenue is recognized over time based on the contractual term of the SaaS offering.</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deferred revenue during the period from January 1, 2019 through January 31, 2019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 as of January 1, 2019</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67,535,004</w:t>
            </w: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ASC 606 adjustments</w:t>
            </w:r>
          </w:p>
        </w:tc>
        <w:tc>
          <w:tcPr>
            <w:tcW w:w="3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7"/>
                <w:szCs w:val="17"/>
                <w:color w:val="auto"/>
              </w:rPr>
              <w:t>435,912</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Billings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9,986,245</w:t>
            </w:r>
          </w:p>
        </w:tc>
      </w:tr>
      <w:tr>
        <w:trPr>
          <w:trHeight w:val="235"/>
        </w:trPr>
        <w:tc>
          <w:tcPr>
            <w:tcW w:w="9680" w:type="dxa"/>
            <w:vAlign w:val="bottom"/>
          </w:tcPr>
          <w:p>
            <w:pPr>
              <w:ind w:left="260"/>
              <w:spacing w:after="0"/>
              <w:rPr>
                <w:sz w:val="20"/>
                <w:szCs w:val="20"/>
                <w:color w:val="auto"/>
              </w:rPr>
            </w:pPr>
            <w:r>
              <w:rPr>
                <w:rFonts w:ascii="Arial" w:cs="Arial" w:eastAsia="Arial" w:hAnsi="Arial"/>
                <w:sz w:val="17"/>
                <w:szCs w:val="17"/>
                <w:color w:val="auto"/>
              </w:rPr>
              <w:t>Revenue recognized</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(9,693,329)</w:t>
            </w: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 January 31, 2019</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68,263,832</w:t>
            </w:r>
          </w:p>
        </w:tc>
      </w:tr>
      <w:tr>
        <w:trPr>
          <w:trHeight w:val="20"/>
        </w:trPr>
        <w:tc>
          <w:tcPr>
            <w:tcW w:w="9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Business Combinations</w:t>
      </w:r>
    </w:p>
    <w:p>
      <w:pPr>
        <w:spacing w:after="0" w:line="171" w:lineRule="exact"/>
        <w:rPr>
          <w:sz w:val="20"/>
          <w:szCs w:val="20"/>
          <w:color w:val="auto"/>
        </w:rPr>
      </w:pPr>
    </w:p>
    <w:p>
      <w:pPr>
        <w:jc w:val="both"/>
        <w:ind w:firstLine="314"/>
        <w:spacing w:after="0" w:line="287" w:lineRule="auto"/>
        <w:rPr>
          <w:sz w:val="20"/>
          <w:szCs w:val="20"/>
          <w:color w:val="auto"/>
        </w:rPr>
      </w:pPr>
      <w:r>
        <w:rPr>
          <w:rFonts w:ascii="Arial" w:cs="Arial" w:eastAsia="Arial" w:hAnsi="Arial"/>
          <w:sz w:val="16"/>
          <w:szCs w:val="16"/>
          <w:b w:val="1"/>
          <w:bCs w:val="1"/>
          <w:color w:val="auto"/>
        </w:rPr>
        <w:t xml:space="preserve">Yonatan Institute- </w:t>
      </w:r>
      <w:r>
        <w:rPr>
          <w:rFonts w:ascii="Arial" w:cs="Arial" w:eastAsia="Arial" w:hAnsi="Arial"/>
          <w:sz w:val="16"/>
          <w:szCs w:val="16"/>
          <w:color w:val="auto"/>
        </w:rPr>
        <w:t>On August 27, 2018, the Company acquired 100% of Yonatan Institute for Research Ltd. (Yonatan Institute), an affiliate not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the Company located in Israel. Yonatan Institute has provided services to the Company since 2012 and the seller is the founder and former Chief Executive of the Company. The Company paid $535,490 for all rights, title and interest as well as equitable shares in the subsidiary. Upon consummation of the transaction, the Company changed the name of the Israel entity to Zoom Information Israel Ltd. and the former owner retained the naming rights of Yonatan Institute. The consideration consisted of a cash contribution of $203,841, net of cash acquired of $331,649.</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F-82</w:t>
      </w:r>
    </w:p>
    <w:p>
      <w:pPr>
        <w:sectPr>
          <w:pgSz w:w="11900" w:h="16838" w:orient="portrait"/>
          <w:cols w:equalWidth="0" w:num="1">
            <w:col w:w="11240"/>
          </w:cols>
          <w:pgMar w:left="320" w:top="749" w:right="339"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228"/>
        </w:trPr>
        <w:tc>
          <w:tcPr>
            <w:tcW w:w="9680" w:type="dxa"/>
            <w:vAlign w:val="bottom"/>
          </w:tcPr>
          <w:p>
            <w:pPr>
              <w:spacing w:after="0"/>
              <w:rPr>
                <w:sz w:val="20"/>
                <w:szCs w:val="20"/>
                <w:color w:val="auto"/>
              </w:rPr>
            </w:pPr>
            <w:r>
              <w:rPr>
                <w:rFonts w:ascii="Arial" w:cs="Arial" w:eastAsia="Arial" w:hAnsi="Arial"/>
                <w:sz w:val="17"/>
                <w:szCs w:val="17"/>
                <w:b w:val="1"/>
                <w:bCs w:val="1"/>
                <w:color w:val="auto"/>
              </w:rPr>
              <w:t>Note 4 - Business Combinations (continued)</w:t>
            </w: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9"/>
        </w:trPr>
        <w:tc>
          <w:tcPr>
            <w:tcW w:w="9680" w:type="dxa"/>
            <w:vAlign w:val="bottom"/>
          </w:tcPr>
          <w:p>
            <w:pPr>
              <w:ind w:left="320"/>
              <w:spacing w:after="0"/>
              <w:rPr>
                <w:sz w:val="20"/>
                <w:szCs w:val="20"/>
                <w:color w:val="auto"/>
              </w:rPr>
            </w:pPr>
            <w:r>
              <w:rPr>
                <w:rFonts w:ascii="Arial" w:cs="Arial" w:eastAsia="Arial" w:hAnsi="Arial"/>
                <w:sz w:val="17"/>
                <w:szCs w:val="17"/>
                <w:color w:val="auto"/>
              </w:rPr>
              <w:t>The following summarizes the estimated fair value of assets acquired and liabilities assumed:</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9"/>
        </w:trPr>
        <w:tc>
          <w:tcPr>
            <w:tcW w:w="9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assets</w:t>
            </w: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501,311</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Current liabilities</w:t>
            </w: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(416,364)</w:t>
            </w:r>
          </w:p>
        </w:tc>
      </w:tr>
      <w:tr>
        <w:trPr>
          <w:trHeight w:val="27"/>
        </w:trPr>
        <w:tc>
          <w:tcPr>
            <w:tcW w:w="9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Property and equipment</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118,894</w:t>
            </w:r>
          </w:p>
        </w:tc>
      </w:tr>
      <w:tr>
        <w:trPr>
          <w:trHeight w:val="248"/>
        </w:trPr>
        <w:tc>
          <w:tcPr>
            <w:tcW w:w="9680" w:type="dxa"/>
            <w:vAlign w:val="bottom"/>
          </w:tcPr>
          <w:p>
            <w:pPr>
              <w:ind w:left="260"/>
              <w:spacing w:after="0"/>
              <w:rPr>
                <w:sz w:val="20"/>
                <w:szCs w:val="20"/>
                <w:color w:val="auto"/>
              </w:rPr>
            </w:pPr>
            <w:r>
              <w:rPr>
                <w:rFonts w:ascii="Arial" w:cs="Arial" w:eastAsia="Arial" w:hAnsi="Arial"/>
                <w:sz w:val="17"/>
                <w:szCs w:val="17"/>
                <w:color w:val="auto"/>
              </w:rPr>
              <w:t>Fair value of assets acquired and liabilities assumed</w:t>
            </w: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203,841</w:t>
            </w:r>
          </w:p>
        </w:tc>
      </w:tr>
      <w:tr>
        <w:trPr>
          <w:trHeight w:val="20"/>
        </w:trPr>
        <w:tc>
          <w:tcPr>
            <w:tcW w:w="9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Datanyze- </w:t>
      </w:r>
      <w:r>
        <w:rPr>
          <w:rFonts w:ascii="Arial" w:cs="Arial" w:eastAsia="Arial" w:hAnsi="Arial"/>
          <w:sz w:val="17"/>
          <w:szCs w:val="17"/>
          <w:color w:val="auto"/>
        </w:rPr>
        <w:t>On September 18, 2018, the Company entered into a share purchase agreement to acquire all of the issued and outstanding shares of Datanyze,</w:t>
      </w:r>
      <w:r>
        <w:rPr>
          <w:rFonts w:ascii="Arial" w:cs="Arial" w:eastAsia="Arial" w:hAnsi="Arial"/>
          <w:sz w:val="17"/>
          <w:szCs w:val="17"/>
          <w:b w:val="1"/>
          <w:bCs w:val="1"/>
          <w:color w:val="auto"/>
        </w:rPr>
        <w:t xml:space="preserve"> </w:t>
      </w:r>
      <w:r>
        <w:rPr>
          <w:rFonts w:ascii="Arial" w:cs="Arial" w:eastAsia="Arial" w:hAnsi="Arial"/>
          <w:sz w:val="17"/>
          <w:szCs w:val="17"/>
          <w:color w:val="auto"/>
        </w:rPr>
        <w:t>Inc. and Datanyze Rus, LLC (Datanyze) for a total purchase price of $14,471,955. The consideration consisted of a cash contribution totaling $1,863,878, net of cash acquired and proceeds from notes payable of $12,608,077 (Note 7). Datanyze is utilizing technographic data for sales and marketing efforts to provide customers with real-time insights of a company’s technology choices and buying signals.</w:t>
      </w:r>
    </w:p>
    <w:p>
      <w:pPr>
        <w:spacing w:after="0" w:line="122"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with the assistance of external valuation specialists, allocated the purchase price to its identifiable tangible and intangible assets and liabilities, with the remaining amount classified as goodwill.</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estimated fair value of assets acquired and liabilities assumed: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323,070</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Prepaid expenses and other current assets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194,104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Tradenames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430,000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1,260,000</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Non-competition agreements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220,000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(650,416)</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Accounts payable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(127,365)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Goodwill</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13,742,562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Fair value of assets acquired and liabilities assumed</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14,471,955</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7"/>
                <w:szCs w:val="17"/>
                <w:b w:val="1"/>
                <w:bCs w:val="1"/>
                <w:color w:val="auto"/>
              </w:rPr>
              <w:t>Note 5 - Property and Equipment</w:t>
            </w: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000" w:type="dxa"/>
            <w:vAlign w:val="bottom"/>
          </w:tcPr>
          <w:p>
            <w:pPr>
              <w:ind w:left="320"/>
              <w:spacing w:after="0"/>
              <w:rPr>
                <w:sz w:val="20"/>
                <w:szCs w:val="20"/>
                <w:color w:val="auto"/>
              </w:rPr>
            </w:pPr>
            <w:r>
              <w:rPr>
                <w:rFonts w:ascii="Arial" w:cs="Arial" w:eastAsia="Arial" w:hAnsi="Arial"/>
                <w:sz w:val="17"/>
                <w:szCs w:val="17"/>
                <w:color w:val="auto"/>
              </w:rPr>
              <w:t>Property and equipment consists of the following as of January 31, 2019 and December 31, 2018:</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0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Computer software and equipment</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1,766,809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1,398,137</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Leasehold improvements</w:t>
            </w:r>
          </w:p>
        </w:tc>
        <w:tc>
          <w:tcPr>
            <w:tcW w:w="3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1,684,108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169,537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Furniture and fixtures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3,069,958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63,324</w:t>
            </w:r>
          </w:p>
        </w:tc>
        <w:tc>
          <w:tcPr>
            <w:tcW w:w="0" w:type="dxa"/>
            <w:vAlign w:val="bottom"/>
          </w:tcPr>
          <w:p>
            <w:pPr>
              <w:spacing w:after="0"/>
              <w:rPr>
                <w:sz w:val="1"/>
                <w:szCs w:val="1"/>
                <w:color w:val="auto"/>
              </w:rPr>
            </w:pPr>
          </w:p>
        </w:tc>
      </w:tr>
      <w:tr>
        <w:trPr>
          <w:trHeight w:val="228"/>
        </w:trPr>
        <w:tc>
          <w:tcPr>
            <w:tcW w:w="80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6,520,875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1,630,998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accumulated depreciation</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(795,702)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(686,482)</w:t>
            </w:r>
          </w:p>
        </w:tc>
        <w:tc>
          <w:tcPr>
            <w:tcW w:w="0" w:type="dxa"/>
            <w:vAlign w:val="bottom"/>
          </w:tcPr>
          <w:p>
            <w:pPr>
              <w:spacing w:after="0"/>
              <w:rPr>
                <w:sz w:val="1"/>
                <w:szCs w:val="1"/>
                <w:color w:val="auto"/>
              </w:rPr>
            </w:pPr>
          </w:p>
        </w:tc>
      </w:tr>
      <w:tr>
        <w:trPr>
          <w:trHeight w:val="228"/>
        </w:trPr>
        <w:tc>
          <w:tcPr>
            <w:tcW w:w="800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5,725,173</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944,516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Depreciation expense for the period from January 1, 2019 through January 31, 2019 and the year ended December 31, 2018 was $109,220 and $648,853, respectively. During the year ended December 31, 2018, the Company sold property and equipment for total proceeds of $130,000 and recorded a gain on the sale of $72,943.</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F-83</w:t>
      </w:r>
    </w:p>
    <w:p>
      <w:pPr>
        <w:sectPr>
          <w:pgSz w:w="11900" w:h="16838" w:orient="portrait"/>
          <w:cols w:equalWidth="0" w:num="1">
            <w:col w:w="11240"/>
          </w:cols>
          <w:pgMar w:left="320" w:top="749" w:right="339" w:bottom="1440" w:gutter="0" w:footer="0" w:header="0"/>
        </w:sectPr>
      </w:pPr>
    </w:p>
    <w:bookmarkStart w:id="322" w:name="page323"/>
    <w:bookmarkEnd w:id="322"/>
    <w:p>
      <w:pPr>
        <w:spacing w:after="0"/>
        <w:rPr>
          <w:sz w:val="20"/>
          <w:szCs w:val="20"/>
          <w:color w:val="auto"/>
        </w:rPr>
      </w:pPr>
      <w:r>
        <w:rPr>
          <w:rFonts w:ascii="Arial" w:cs="Arial" w:eastAsia="Arial" w:hAnsi="Arial"/>
          <w:sz w:val="17"/>
          <w:szCs w:val="17"/>
          <w:b w:val="1"/>
          <w:bCs w:val="1"/>
          <w:color w:val="auto"/>
        </w:rPr>
        <w:t>Note 6 - Intangible Assets and Goodwill</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 of the following at January 31, 2019:</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Amortization Period</w:t>
            </w:r>
          </w:p>
        </w:tc>
        <w:tc>
          <w:tcPr>
            <w:tcW w:w="120" w:type="dxa"/>
            <w:vAlign w:val="bottom"/>
            <w:vMerge w:val="restart"/>
          </w:tcPr>
          <w:p>
            <w:pPr>
              <w:spacing w:after="0"/>
              <w:rPr>
                <w:sz w:val="14"/>
                <w:szCs w:val="14"/>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300" w:type="dxa"/>
            <w:vAlign w:val="bottom"/>
          </w:tcPr>
          <w:p>
            <w:pPr>
              <w:jc w:val="right"/>
              <w:ind w:right="298"/>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2-7 years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7,114,000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(1,496,415)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5,617,585</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4-7 years</w:t>
            </w:r>
          </w:p>
        </w:tc>
        <w:tc>
          <w:tcPr>
            <w:tcW w:w="4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7"/>
                <w:szCs w:val="17"/>
                <w:color w:val="auto"/>
              </w:rPr>
              <w:t>52,413,000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(10,990,951)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41,422,049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5-9 years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(1,424,210)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7,954,790</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Non-competition agreements</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3 years</w:t>
            </w:r>
          </w:p>
        </w:tc>
        <w:tc>
          <w:tcPr>
            <w:tcW w:w="4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7"/>
                <w:szCs w:val="17"/>
                <w:color w:val="auto"/>
              </w:rPr>
              <w:t>220,000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(27,209)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192,791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intangibles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69,126,000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(13,938,785)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Intangible assets consist of the following at December 31, 2018:</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Amortization Period</w:t>
            </w:r>
          </w:p>
        </w:tc>
        <w:tc>
          <w:tcPr>
            <w:tcW w:w="120" w:type="dxa"/>
            <w:vAlign w:val="bottom"/>
            <w:vMerge w:val="restart"/>
          </w:tcPr>
          <w:p>
            <w:pPr>
              <w:spacing w:after="0"/>
              <w:rPr>
                <w:sz w:val="14"/>
                <w:szCs w:val="14"/>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Carrying Amount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300" w:type="dxa"/>
            <w:vAlign w:val="bottom"/>
          </w:tcPr>
          <w:p>
            <w:pPr>
              <w:jc w:val="right"/>
              <w:ind w:right="298"/>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8"/>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Trade names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2-7 years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7,114,000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(1,409,343)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5,704,657</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Developed technology</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4-7 years</w:t>
            </w:r>
          </w:p>
        </w:tc>
        <w:tc>
          <w:tcPr>
            <w:tcW w:w="4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7"/>
                <w:szCs w:val="17"/>
                <w:color w:val="auto"/>
              </w:rPr>
              <w:t>52,413,000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(10,363,148)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42,049,852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Customer relationships</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5-9 years</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9,379,000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(1,328,034)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8,050,966</w:t>
            </w:r>
          </w:p>
        </w:tc>
        <w:tc>
          <w:tcPr>
            <w:tcW w:w="0" w:type="dxa"/>
            <w:vAlign w:val="bottom"/>
          </w:tcPr>
          <w:p>
            <w:pPr>
              <w:spacing w:after="0"/>
              <w:rPr>
                <w:sz w:val="1"/>
                <w:szCs w:val="1"/>
                <w:color w:val="auto"/>
              </w:rPr>
            </w:pPr>
          </w:p>
        </w:tc>
      </w:tr>
      <w:tr>
        <w:trPr>
          <w:trHeight w:val="235"/>
        </w:trPr>
        <w:tc>
          <w:tcPr>
            <w:tcW w:w="4620" w:type="dxa"/>
            <w:vAlign w:val="bottom"/>
          </w:tcPr>
          <w:p>
            <w:pPr>
              <w:ind w:left="40"/>
              <w:spacing w:after="0"/>
              <w:rPr>
                <w:sz w:val="20"/>
                <w:szCs w:val="20"/>
                <w:color w:val="auto"/>
              </w:rPr>
            </w:pPr>
            <w:r>
              <w:rPr>
                <w:rFonts w:ascii="Arial" w:cs="Arial" w:eastAsia="Arial" w:hAnsi="Arial"/>
                <w:sz w:val="17"/>
                <w:szCs w:val="17"/>
                <w:color w:val="auto"/>
              </w:rPr>
              <w:t>Non-competition agreements</w:t>
            </w:r>
          </w:p>
        </w:tc>
        <w:tc>
          <w:tcPr>
            <w:tcW w:w="170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3 years</w:t>
            </w:r>
          </w:p>
        </w:tc>
        <w:tc>
          <w:tcPr>
            <w:tcW w:w="400" w:type="dxa"/>
            <w:vAlign w:val="bottom"/>
          </w:tcPr>
          <w:p>
            <w:pPr>
              <w:spacing w:after="0"/>
              <w:rPr>
                <w:sz w:val="20"/>
                <w:szCs w:val="20"/>
                <w:color w:val="auto"/>
              </w:rPr>
            </w:pPr>
          </w:p>
        </w:tc>
        <w:tc>
          <w:tcPr>
            <w:tcW w:w="1200" w:type="dxa"/>
            <w:vAlign w:val="bottom"/>
          </w:tcPr>
          <w:p>
            <w:pPr>
              <w:jc w:val="right"/>
              <w:ind w:right="33"/>
              <w:spacing w:after="0"/>
              <w:rPr>
                <w:sz w:val="20"/>
                <w:szCs w:val="20"/>
                <w:color w:val="auto"/>
              </w:rPr>
            </w:pPr>
            <w:r>
              <w:rPr>
                <w:rFonts w:ascii="Arial" w:cs="Arial" w:eastAsia="Arial" w:hAnsi="Arial"/>
                <w:sz w:val="17"/>
                <w:szCs w:val="17"/>
                <w:color w:val="auto"/>
              </w:rPr>
              <w:t>220,000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(21,098)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198,902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intangibles</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69,126,000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(13,121,623)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Amortization expense for intangible assets was $817,162 and $9,467,672 for the period from January 1, 2019 through January 31, 2019 and the year ended December 31, 2018, respectively. Of this expense, $627,804 and $7,456,004 is included in cost of revenue for the period from January 1, 2019 through January 31, 2019 and the year ended December 31, 2018, respectively, with the remainder included within depreciation and amortization in the accompanying consolidated statements of operations.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Based on the current amount of intangible assets subject to amortization, the amortization expense for each of the succeeding years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6960" w:type="dxa"/>
            <w:vAlign w:val="bottom"/>
            <w:tcBorders>
              <w:bottom w:val="single" w:sz="8" w:color="CCEEFF"/>
            </w:tcBorders>
            <w:gridSpan w:val="2"/>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8,988,782</w:t>
            </w:r>
          </w:p>
        </w:tc>
      </w:tr>
      <w:tr>
        <w:trPr>
          <w:trHeight w:val="235"/>
        </w:trPr>
        <w:tc>
          <w:tcPr>
            <w:tcW w:w="3100" w:type="dxa"/>
            <w:vAlign w:val="bottom"/>
          </w:tcPr>
          <w:p>
            <w:pPr>
              <w:ind w:left="40"/>
              <w:spacing w:after="0"/>
              <w:rPr>
                <w:sz w:val="20"/>
                <w:szCs w:val="20"/>
                <w:color w:val="auto"/>
              </w:rPr>
            </w:pPr>
            <w:r>
              <w:rPr>
                <w:rFonts w:ascii="Arial" w:cs="Arial" w:eastAsia="Arial" w:hAnsi="Arial"/>
                <w:sz w:val="17"/>
                <w:szCs w:val="17"/>
                <w:color w:val="auto"/>
              </w:rPr>
              <w:t>2020</w:t>
            </w:r>
          </w:p>
        </w:tc>
        <w:tc>
          <w:tcPr>
            <w:tcW w:w="6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7"/>
                <w:szCs w:val="17"/>
                <w:color w:val="auto"/>
              </w:rPr>
              <w:t>9,795,035</w:t>
            </w:r>
          </w:p>
        </w:tc>
      </w:tr>
      <w:tr>
        <w:trPr>
          <w:trHeight w:val="27"/>
        </w:trPr>
        <w:tc>
          <w:tcPr>
            <w:tcW w:w="31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6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9,744,647</w:t>
            </w:r>
          </w:p>
        </w:tc>
      </w:tr>
      <w:tr>
        <w:trPr>
          <w:trHeight w:val="235"/>
        </w:trPr>
        <w:tc>
          <w:tcPr>
            <w:tcW w:w="3100" w:type="dxa"/>
            <w:vAlign w:val="bottom"/>
          </w:tcPr>
          <w:p>
            <w:pPr>
              <w:ind w:left="40"/>
              <w:spacing w:after="0"/>
              <w:rPr>
                <w:sz w:val="20"/>
                <w:szCs w:val="20"/>
                <w:color w:val="auto"/>
              </w:rPr>
            </w:pPr>
            <w:r>
              <w:rPr>
                <w:rFonts w:ascii="Arial" w:cs="Arial" w:eastAsia="Arial" w:hAnsi="Arial"/>
                <w:sz w:val="17"/>
                <w:szCs w:val="17"/>
                <w:color w:val="auto"/>
              </w:rPr>
              <w:t>2022</w:t>
            </w:r>
          </w:p>
        </w:tc>
        <w:tc>
          <w:tcPr>
            <w:tcW w:w="6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7"/>
                <w:szCs w:val="17"/>
                <w:color w:val="auto"/>
              </w:rPr>
              <w:t>9,662,750</w:t>
            </w:r>
          </w:p>
        </w:tc>
      </w:tr>
      <w:tr>
        <w:trPr>
          <w:trHeight w:val="27"/>
        </w:trPr>
        <w:tc>
          <w:tcPr>
            <w:tcW w:w="310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6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9,512,618</w:t>
            </w:r>
          </w:p>
        </w:tc>
      </w:tr>
      <w:tr>
        <w:trPr>
          <w:trHeight w:val="235"/>
        </w:trPr>
        <w:tc>
          <w:tcPr>
            <w:tcW w:w="31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6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7"/>
                <w:szCs w:val="17"/>
                <w:color w:val="auto"/>
              </w:rPr>
              <w:t>7,483,383</w:t>
            </w:r>
          </w:p>
        </w:tc>
      </w:tr>
      <w:tr>
        <w:trPr>
          <w:trHeight w:val="27"/>
        </w:trPr>
        <w:tc>
          <w:tcPr>
            <w:tcW w:w="310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0"/>
        </w:trPr>
        <w:tc>
          <w:tcPr>
            <w:tcW w:w="310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55,187,215</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765"/>
        </w:trPr>
        <w:tc>
          <w:tcPr>
            <w:tcW w:w="3100" w:type="dxa"/>
            <w:vAlign w:val="bottom"/>
          </w:tcPr>
          <w:p>
            <w:pPr>
              <w:spacing w:after="0"/>
              <w:rPr>
                <w:sz w:val="24"/>
                <w:szCs w:val="24"/>
                <w:color w:val="auto"/>
              </w:rPr>
            </w:pPr>
          </w:p>
        </w:tc>
        <w:tc>
          <w:tcPr>
            <w:tcW w:w="6960" w:type="dxa"/>
            <w:vAlign w:val="bottom"/>
            <w:gridSpan w:val="2"/>
          </w:tcPr>
          <w:p>
            <w:pPr>
              <w:jc w:val="right"/>
              <w:ind w:right="4193"/>
              <w:spacing w:after="0"/>
              <w:rPr>
                <w:sz w:val="20"/>
                <w:szCs w:val="20"/>
                <w:color w:val="auto"/>
              </w:rPr>
            </w:pPr>
            <w:r>
              <w:rPr>
                <w:rFonts w:ascii="Arial" w:cs="Arial" w:eastAsia="Arial" w:hAnsi="Arial"/>
                <w:sz w:val="17"/>
                <w:szCs w:val="17"/>
                <w:color w:val="auto"/>
              </w:rPr>
              <w:t>F-84</w:t>
            </w:r>
          </w:p>
        </w:tc>
        <w:tc>
          <w:tcPr>
            <w:tcW w:w="1180" w:type="dxa"/>
            <w:vAlign w:val="bottom"/>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323" w:name="page324"/>
    <w:bookmarkEnd w:id="3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tcPr>
          <w:p>
            <w:pPr>
              <w:spacing w:after="0"/>
              <w:rPr>
                <w:sz w:val="20"/>
                <w:szCs w:val="20"/>
                <w:color w:val="auto"/>
              </w:rPr>
            </w:pPr>
            <w:r>
              <w:rPr>
                <w:rFonts w:ascii="Arial" w:cs="Arial" w:eastAsia="Arial" w:hAnsi="Arial"/>
                <w:sz w:val="17"/>
                <w:szCs w:val="17"/>
                <w:b w:val="1"/>
                <w:bCs w:val="1"/>
                <w:color w:val="auto"/>
              </w:rPr>
              <w:t>Note 6 - Intangible Assets and Goodwill (continued)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680" w:type="dxa"/>
            <w:vAlign w:val="bottom"/>
          </w:tcPr>
          <w:p>
            <w:pPr>
              <w:ind w:left="320"/>
              <w:spacing w:after="0"/>
              <w:rPr>
                <w:sz w:val="20"/>
                <w:szCs w:val="20"/>
                <w:color w:val="auto"/>
              </w:rPr>
            </w:pPr>
            <w:r>
              <w:rPr>
                <w:rFonts w:ascii="Arial" w:cs="Arial" w:eastAsia="Arial" w:hAnsi="Arial"/>
                <w:sz w:val="17"/>
                <w:szCs w:val="17"/>
                <w:color w:val="auto"/>
              </w:rPr>
              <w:t>The changes in intangible assets subject to amortization were as follows as of December 31, 2018 and January 31, 2019:</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9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December 31, 2017</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63,482,049</w:t>
            </w:r>
          </w:p>
        </w:tc>
        <w:tc>
          <w:tcPr>
            <w:tcW w:w="0" w:type="dxa"/>
            <w:vAlign w:val="bottom"/>
          </w:tcPr>
          <w:p>
            <w:pPr>
              <w:spacing w:after="0"/>
              <w:rPr>
                <w:sz w:val="1"/>
                <w:szCs w:val="1"/>
                <w:color w:val="auto"/>
              </w:rPr>
            </w:pP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Addition of Datanyze intangible assets</w:t>
            </w: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1,990,000</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expense</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(9,467,672)</w:t>
            </w:r>
          </w:p>
        </w:tc>
        <w:tc>
          <w:tcPr>
            <w:tcW w:w="0" w:type="dxa"/>
            <w:vAlign w:val="bottom"/>
          </w:tcPr>
          <w:p>
            <w:pPr>
              <w:spacing w:after="0"/>
              <w:rPr>
                <w:sz w:val="1"/>
                <w:szCs w:val="1"/>
                <w:color w:val="auto"/>
              </w:rPr>
            </w:pPr>
          </w:p>
        </w:tc>
      </w:tr>
      <w:tr>
        <w:trPr>
          <w:trHeight w:val="228"/>
        </w:trPr>
        <w:tc>
          <w:tcPr>
            <w:tcW w:w="9680" w:type="dxa"/>
            <w:vAlign w:val="bottom"/>
          </w:tcPr>
          <w:p>
            <w:pPr>
              <w:ind w:left="260"/>
              <w:spacing w:after="0"/>
              <w:rPr>
                <w:sz w:val="20"/>
                <w:szCs w:val="20"/>
                <w:color w:val="auto"/>
              </w:rPr>
            </w:pPr>
            <w:r>
              <w:rPr>
                <w:rFonts w:ascii="Arial" w:cs="Arial" w:eastAsia="Arial" w:hAnsi="Arial"/>
                <w:sz w:val="17"/>
                <w:szCs w:val="17"/>
                <w:color w:val="auto"/>
              </w:rPr>
              <w:t>Balance as of December 31, 2018</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7"/>
                <w:szCs w:val="17"/>
                <w:color w:val="auto"/>
              </w:rPr>
              <w:t>56,004,377</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Amortization expense</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(817,162)</w:t>
            </w:r>
          </w:p>
        </w:tc>
        <w:tc>
          <w:tcPr>
            <w:tcW w:w="0" w:type="dxa"/>
            <w:vAlign w:val="bottom"/>
          </w:tcPr>
          <w:p>
            <w:pPr>
              <w:spacing w:after="0"/>
              <w:rPr>
                <w:sz w:val="1"/>
                <w:szCs w:val="1"/>
                <w:color w:val="auto"/>
              </w:rPr>
            </w:pPr>
          </w:p>
        </w:tc>
      </w:tr>
      <w:tr>
        <w:trPr>
          <w:trHeight w:val="248"/>
        </w:trPr>
        <w:tc>
          <w:tcPr>
            <w:tcW w:w="9680" w:type="dxa"/>
            <w:vAlign w:val="bottom"/>
          </w:tcPr>
          <w:p>
            <w:pPr>
              <w:ind w:left="260"/>
              <w:spacing w:after="0"/>
              <w:rPr>
                <w:sz w:val="20"/>
                <w:szCs w:val="20"/>
                <w:color w:val="auto"/>
              </w:rPr>
            </w:pPr>
            <w:r>
              <w:rPr>
                <w:rFonts w:ascii="Arial" w:cs="Arial" w:eastAsia="Arial" w:hAnsi="Arial"/>
                <w:sz w:val="17"/>
                <w:szCs w:val="17"/>
                <w:color w:val="auto"/>
              </w:rPr>
              <w:t>Balance as of January 31, 2019</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55,187,215</w:t>
            </w:r>
          </w:p>
        </w:tc>
        <w:tc>
          <w:tcPr>
            <w:tcW w:w="0" w:type="dxa"/>
            <w:vAlign w:val="bottom"/>
          </w:tcPr>
          <w:p>
            <w:pPr>
              <w:spacing w:after="0"/>
              <w:rPr>
                <w:sz w:val="1"/>
                <w:szCs w:val="1"/>
                <w:color w:val="auto"/>
              </w:rPr>
            </w:pPr>
          </w:p>
        </w:tc>
      </w:tr>
      <w:tr>
        <w:trPr>
          <w:trHeight w:val="20"/>
        </w:trPr>
        <w:tc>
          <w:tcPr>
            <w:tcW w:w="9680" w:type="dxa"/>
            <w:vAlign w:val="bottom"/>
            <w:vMerge w:val="restart"/>
          </w:tcPr>
          <w:p>
            <w:pPr>
              <w:ind w:left="320"/>
              <w:spacing w:after="0"/>
              <w:rPr>
                <w:sz w:val="20"/>
                <w:szCs w:val="20"/>
                <w:color w:val="auto"/>
              </w:rPr>
            </w:pPr>
            <w:r>
              <w:rPr>
                <w:rFonts w:ascii="Arial" w:cs="Arial" w:eastAsia="Arial" w:hAnsi="Arial"/>
                <w:sz w:val="17"/>
                <w:szCs w:val="17"/>
                <w:color w:val="auto"/>
              </w:rPr>
              <w:t>Goodwill consisted of the following as of December 31, 2018 and January 31, 2019:</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9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9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as of December 31, 2017</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155,173,906</w:t>
            </w:r>
          </w:p>
        </w:tc>
        <w:tc>
          <w:tcPr>
            <w:tcW w:w="0" w:type="dxa"/>
            <w:vAlign w:val="bottom"/>
          </w:tcPr>
          <w:p>
            <w:pPr>
              <w:spacing w:after="0"/>
              <w:rPr>
                <w:sz w:val="1"/>
                <w:szCs w:val="1"/>
                <w:color w:val="auto"/>
              </w:rPr>
            </w:pP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Acquisition of Datanyze</w:t>
            </w: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13,742,562</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Balance as of December 31, 2018 and January 31, 2019</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168,916,468</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Long-Term Debt</w:t>
      </w:r>
    </w:p>
    <w:p>
      <w:pPr>
        <w:spacing w:after="0" w:line="177"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6"/>
          <w:szCs w:val="16"/>
          <w:color w:val="auto"/>
        </w:rPr>
        <w:t>On August 11, 2017, the Company entered into a credit agreement (Credit Agreement) which consisted of a $80,000,000 term loan (Term Loan) and a $5,000,000 revolving commitment (Revolver). The maturity date of the Credit Agreement is August 10, 2022, and contains various covenants, restrictions and provisions. The interest rate per annum of the Term Loan is variable and based upon Base Rate Loans or LIBOR Loans. The applicable margin is 5% per annum on Base Rate Loans and 6% per annum on LIBOR Loans. The Base Rate refers to the greater of the Prime Rate; the sum of the Federal Funds Rate + .5%; 1-month LIBOR plus the difference of the applicable margin for LIBOR Loans (6%) and the applicable market for Base Loans (5%); and 2% per annum. The LIBOR rate refers to the greater of a rate equal to the offered rate for deposits for the applicable interest period as selected by the borrower and 1%. In the event of a default, the applicable margin shall be increased by 2%. The Revolver bears a commitment fee equal to 0.5% per annum calculated on 360 day year, for the balance upon which the revolving loan commitment exceeds the average daily revolving outstanding balance. The Credit Agreement requires quarterly principal payments on the Term Loan. Repayment of the Term Loan is at an aggregate principal amount equal to 0.25% of the principal on the close date, due and payable on the last business date of each calendar quarter, with payments commencing the last day of September 2017. Repayment of the Revolver is due in full on the termination date of the Revolver. The Company incurred origination costs of $1,987,500 which were recorded as a debt discount and are being expensed over the term of the Credit Agreement.</w:t>
      </w:r>
    </w:p>
    <w:p>
      <w:pPr>
        <w:spacing w:after="0" w:line="124"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 xml:space="preserve">On July 10, 2018, the Company amended its Credit Agreement (First Credit Amendment). The First Credit Amendment increased the outstanding Term Loan from $80,000,000 to $130,000,000. The proceeds from the First Credit Amendment were utilized for the settlement of the share redemption obligation (Note 2). The First Credit Amendment matures on August 10, 2022, requires quarterly payment of 0.25% of the aggregate principal outstanding and requires the Company to maintain various covenants, restrictions and provisions. The First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$1,085,000 which were recorded as a debt discount.</w:t>
      </w:r>
    </w:p>
    <w:p>
      <w:pPr>
        <w:spacing w:after="0" w:line="113" w:lineRule="exact"/>
        <w:rPr>
          <w:sz w:val="20"/>
          <w:szCs w:val="20"/>
          <w:color w:val="auto"/>
        </w:rPr>
      </w:pPr>
    </w:p>
    <w:p>
      <w:pPr>
        <w:jc w:val="both"/>
        <w:ind w:firstLine="314"/>
        <w:spacing w:after="0" w:line="283" w:lineRule="auto"/>
        <w:rPr>
          <w:sz w:val="20"/>
          <w:szCs w:val="20"/>
          <w:color w:val="auto"/>
        </w:rPr>
      </w:pPr>
      <w:r>
        <w:rPr>
          <w:rFonts w:ascii="Arial" w:cs="Arial" w:eastAsia="Arial" w:hAnsi="Arial"/>
          <w:sz w:val="16"/>
          <w:szCs w:val="16"/>
          <w:color w:val="auto"/>
        </w:rPr>
        <w:t xml:space="preserve">On September 19, 2018, the Company amended its Credit Agreement (Second Credit Amendment). The Second Credit Amendment increased the outstanding Term Loan from $130,000,000 to $143,100,000. The proceeds from the Second Credit Amendment were utilized to fund the Company’s acquisition of Datanyze (Note 4). The Second Credit Amendment matures on August 10, 2022, requires quarterly payment of 0.25% of the aggregate principal outstanding and requires the Company to maintain various covenants, restrictions and provisions. The Second Credit Amendment was considered a debt modification in accordance with FASB ASC 405-20, </w:t>
      </w:r>
      <w:r>
        <w:rPr>
          <w:rFonts w:ascii="Arial" w:cs="Arial" w:eastAsia="Arial" w:hAnsi="Arial"/>
          <w:sz w:val="16"/>
          <w:szCs w:val="16"/>
          <w:i w:val="1"/>
          <w:iCs w:val="1"/>
          <w:color w:val="auto"/>
        </w:rPr>
        <w:t>Liabilities/Extinguishment of Liabilities</w:t>
      </w:r>
      <w:r>
        <w:rPr>
          <w:rFonts w:ascii="Arial" w:cs="Arial" w:eastAsia="Arial" w:hAnsi="Arial"/>
          <w:sz w:val="16"/>
          <w:szCs w:val="16"/>
          <w:color w:val="auto"/>
        </w:rPr>
        <w:t xml:space="preserve"> and FASB ASC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As a result of the modification, the Company incurred additional financing costs directly to the lender of $491,923 which were recorded as a debt discount.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F-85</w:t>
      </w:r>
    </w:p>
    <w:p>
      <w:pPr>
        <w:sectPr>
          <w:pgSz w:w="11900" w:h="16838" w:orient="portrait"/>
          <w:cols w:equalWidth="0" w:num="1">
            <w:col w:w="11240"/>
          </w:cols>
          <w:pgMar w:left="320" w:top="750" w:right="339" w:bottom="1440" w:gutter="0" w:footer="0" w:header="0"/>
        </w:sectPr>
      </w:pPr>
    </w:p>
    <w:bookmarkStart w:id="324" w:name="page325"/>
    <w:bookmarkEnd w:id="324"/>
    <w:p>
      <w:pPr>
        <w:spacing w:after="0"/>
        <w:rPr>
          <w:sz w:val="20"/>
          <w:szCs w:val="20"/>
          <w:color w:val="auto"/>
        </w:rPr>
      </w:pPr>
      <w:r>
        <w:rPr>
          <w:rFonts w:ascii="Arial" w:cs="Arial" w:eastAsia="Arial" w:hAnsi="Arial"/>
          <w:sz w:val="17"/>
          <w:szCs w:val="17"/>
          <w:b w:val="1"/>
          <w:bCs w:val="1"/>
          <w:color w:val="auto"/>
        </w:rPr>
        <w:t>Note 7 - Long-Term Debt (continued)</w:t>
      </w:r>
    </w:p>
    <w:p>
      <w:pPr>
        <w:spacing w:after="0" w:line="230"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At January 31, 2019 and December 31, 2018, the Company had $0 outstanding on the Revolver and $136,617,250 outstanding on the Term Loan. During the year ended December 31, 2018, the Company made an excess cash flow payment of $5,000,000 on the outstanding principal. No principal payments were made during the period from January 1, 2019 through January 31, 2019. The interest rate on the Term Loan as of January 31, 2019 was 8.80%.</w:t>
      </w:r>
    </w:p>
    <w:p>
      <w:pPr>
        <w:spacing w:after="0" w:line="103"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During the period from January 1, 2019 through January 31, 2019 and the year ended December 31, 2018, the Company recorded non-cash interest expense related to the amortization of the debt discount of $65,565 and $537,814, respectively.</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contractual principal payment obligations due per the Company’s credit agreements are as follows as of January 31, 2019:</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tcPr>
          <w:p>
            <w:pPr>
              <w:ind w:left="40"/>
              <w:spacing w:after="0"/>
              <w:rPr>
                <w:sz w:val="20"/>
                <w:szCs w:val="20"/>
                <w:color w:val="auto"/>
              </w:rPr>
            </w:pPr>
            <w:r>
              <w:rPr>
                <w:rFonts w:ascii="Arial" w:cs="Arial" w:eastAsia="Arial" w:hAnsi="Arial"/>
                <w:sz w:val="17"/>
                <w:szCs w:val="17"/>
                <w:b w:val="1"/>
                <w:bCs w:val="1"/>
                <w:color w:val="auto"/>
              </w:rPr>
              <w:t>Years Ending December 31,</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1,431,000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2020</w:t>
            </w: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1,431,000</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1,431,000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2022</w:t>
            </w:r>
          </w:p>
        </w:tc>
        <w:tc>
          <w:tcPr>
            <w:tcW w:w="3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7"/>
                <w:szCs w:val="17"/>
                <w:color w:val="auto"/>
              </w:rPr>
              <w:t>132,324,250</w:t>
            </w:r>
          </w:p>
        </w:tc>
      </w:tr>
      <w:tr>
        <w:trPr>
          <w:trHeight w:val="27"/>
        </w:trPr>
        <w:tc>
          <w:tcPr>
            <w:tcW w:w="9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5"/>
        </w:trPr>
        <w:tc>
          <w:tcPr>
            <w:tcW w:w="96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136,617,250</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Less: current portion of notes payable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(1,431,000)</w:t>
            </w:r>
          </w:p>
        </w:tc>
      </w:tr>
      <w:tr>
        <w:trPr>
          <w:trHeight w:val="27"/>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Less: unamortized debt discount</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(2,797,016)</w:t>
            </w:r>
          </w:p>
        </w:tc>
      </w:tr>
      <w:tr>
        <w:trPr>
          <w:trHeight w:val="248"/>
        </w:trPr>
        <w:tc>
          <w:tcPr>
            <w:tcW w:w="9680" w:type="dxa"/>
            <w:vAlign w:val="bottom"/>
          </w:tcPr>
          <w:p>
            <w:pPr>
              <w:ind w:left="260"/>
              <w:spacing w:after="0"/>
              <w:rPr>
                <w:sz w:val="20"/>
                <w:szCs w:val="20"/>
                <w:color w:val="auto"/>
              </w:rPr>
            </w:pPr>
            <w:r>
              <w:rPr>
                <w:rFonts w:ascii="Arial" w:cs="Arial" w:eastAsia="Arial" w:hAnsi="Arial"/>
                <w:sz w:val="17"/>
                <w:szCs w:val="17"/>
                <w:color w:val="auto"/>
              </w:rPr>
              <w:t>Notes payable, net of current portion</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7"/>
                <w:szCs w:val="17"/>
                <w:color w:val="auto"/>
              </w:rPr>
              <w:t>132,389,234</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Related Party Transactions</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During the year ended December 31, 2018, the Company paid a $50,000 management fee to certain holders of Preferred Stock. No management fees were paid during the period from January 1, 2019 through January 31, 2019. Prior to the acquisition of Yonatan Institute (Note 4), the Company paid $3,131,691 during the year ended December 31, 2018 for consulting and management services to Yonatan Institute which was owned by an entity that owned 12% of the Company’s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Preferred Stock</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As of January 31, 2019, the Company had 28,333,340 shares of $0.02 par value Series C Convertible Preferred Stock (Series C Preferred), 8,533,320 shares of $0.02 par value Series A Convertible Preferred Stock (Series A Preferred) and 80,000,000 shares of $0.02 par value Series 1 Convertible Preferred Stock (Series 1 Preferred) authorized for issuance. The Company has 53,944,487 shares of Series 1 Preferred Stock outstanding and no shares of Series C Preferred or Series A Preferred outstanding as of January 31, 2019 and December 31, 2018, respectively.</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Rights, preferences and privileges of the Series 1 Preferred, Series C Preferred and the Series A Preferred (collectively, the Preferred Stock) are as follows:</w:t>
      </w:r>
    </w:p>
    <w:p>
      <w:pPr>
        <w:spacing w:after="0" w:line="188"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The holders of Preferred Stock are entitled to such number of votes per share as is equal to the number of shares of common stock into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each share of such Preferred Stock could be converted.</w:t>
      </w:r>
    </w:p>
    <w:p>
      <w:pPr>
        <w:spacing w:after="0" w:line="94"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The Series 1 Preferred Stock accrues dividends at a rate of 8% of the original issue price, plus previously accrued dividends, compounded</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whether or not declared by the Board of Directors. Accrued dividends are payable only when and if declared by the Board of Directors. At January 31, 2019, accumulated (but undeclared) dividends amounted to $9,719,735. No dividends were declared or paid by the Company during the period from January 1, 2019 through January 31, 2019 or the year ended December 31, 2018.</w:t>
      </w:r>
    </w:p>
    <w:p>
      <w:pPr>
        <w:spacing w:after="0" w:line="116" w:lineRule="exact"/>
        <w:rPr>
          <w:sz w:val="20"/>
          <w:szCs w:val="20"/>
          <w:color w:val="auto"/>
        </w:rPr>
      </w:pPr>
    </w:p>
    <w:p>
      <w:pPr>
        <w:jc w:val="both"/>
        <w:ind w:firstLine="314"/>
        <w:spacing w:after="0" w:line="301" w:lineRule="auto"/>
        <w:rPr>
          <w:sz w:val="20"/>
          <w:szCs w:val="20"/>
          <w:color w:val="auto"/>
        </w:rPr>
      </w:pPr>
      <w:r>
        <w:rPr>
          <w:rFonts w:ascii="Arial" w:cs="Arial" w:eastAsia="Arial" w:hAnsi="Arial"/>
          <w:sz w:val="16"/>
          <w:szCs w:val="16"/>
          <w:b w:val="1"/>
          <w:bCs w:val="1"/>
          <w:color w:val="auto"/>
        </w:rPr>
        <w:t xml:space="preserve">Conversion: </w:t>
      </w:r>
      <w:r>
        <w:rPr>
          <w:rFonts w:ascii="Arial" w:cs="Arial" w:eastAsia="Arial" w:hAnsi="Arial"/>
          <w:sz w:val="16"/>
          <w:szCs w:val="16"/>
          <w:color w:val="auto"/>
        </w:rPr>
        <w:t>Each outstanding share of Preferred Stock will convert into one share of Series V Common Stock concurrently with the closing of the earlier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sale of all or substantially all assets of the Company, the acquisition of the Company by another entity by way of merger or consolidation such that the Company is public offering of the Company’s Common Stock in which the gross proceeds to the Company are no less than $25,000,000.</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F-86</w:t>
      </w:r>
    </w:p>
    <w:p>
      <w:pPr>
        <w:sectPr>
          <w:pgSz w:w="11900" w:h="16838" w:orient="portrait"/>
          <w:cols w:equalWidth="0" w:num="1">
            <w:col w:w="11240"/>
          </w:cols>
          <w:pgMar w:left="320" w:top="750" w:right="339" w:bottom="1440" w:gutter="0" w:footer="0" w:header="0"/>
        </w:sectPr>
      </w:pPr>
    </w:p>
    <w:bookmarkStart w:id="325" w:name="page326"/>
    <w:bookmarkEnd w:id="325"/>
    <w:p>
      <w:pPr>
        <w:spacing w:after="0"/>
        <w:rPr>
          <w:sz w:val="20"/>
          <w:szCs w:val="20"/>
          <w:color w:val="auto"/>
        </w:rPr>
      </w:pPr>
      <w:r>
        <w:rPr>
          <w:rFonts w:ascii="Arial" w:cs="Arial" w:eastAsia="Arial" w:hAnsi="Arial"/>
          <w:sz w:val="17"/>
          <w:szCs w:val="17"/>
          <w:b w:val="1"/>
          <w:bCs w:val="1"/>
          <w:color w:val="auto"/>
        </w:rPr>
        <w:t>Note 9 - Preferred Stock (continued)</w:t>
      </w:r>
    </w:p>
    <w:p>
      <w:pPr>
        <w:spacing w:after="0" w:line="230"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Additionally, each share of Series A Preferred is convertible into Series V Common Stock, at the option of the holder at any time upon notice to the Company. Each share of Series C Preferred and Series 1 Preferred are convertible, at the option of the holder at any time upon notice to the Company, into such number of fully paid and nonassessable shares of Series V Common Stock as is determined by dividing the base price by the respective series conversion price in effect at the time of conversion.</w:t>
      </w:r>
    </w:p>
    <w:p>
      <w:pPr>
        <w:spacing w:after="0" w:line="120" w:lineRule="exact"/>
        <w:rPr>
          <w:sz w:val="20"/>
          <w:szCs w:val="20"/>
          <w:color w:val="auto"/>
        </w:rPr>
      </w:pPr>
    </w:p>
    <w:p>
      <w:pPr>
        <w:jc w:val="both"/>
        <w:ind w:firstLine="314"/>
        <w:spacing w:after="0" w:line="282" w:lineRule="auto"/>
        <w:rPr>
          <w:sz w:val="20"/>
          <w:szCs w:val="20"/>
          <w:color w:val="auto"/>
        </w:rPr>
      </w:pPr>
      <w:r>
        <w:rPr>
          <w:rFonts w:ascii="Arial" w:cs="Arial" w:eastAsia="Arial" w:hAnsi="Arial"/>
          <w:sz w:val="16"/>
          <w:szCs w:val="16"/>
          <w:b w:val="1"/>
          <w:bCs w:val="1"/>
          <w:color w:val="auto"/>
        </w:rPr>
        <w:t xml:space="preserve">Liquidation: </w:t>
      </w:r>
      <w:r>
        <w:rPr>
          <w:rFonts w:ascii="Arial" w:cs="Arial" w:eastAsia="Arial" w:hAnsi="Arial"/>
          <w:sz w:val="16"/>
          <w:szCs w:val="16"/>
          <w:color w:val="auto"/>
        </w:rPr>
        <w:t>Upon the liquidation, dissolution, or winding up of the Company holders of shares of Preferred Stock are entitled on a pari passu basis to be</w:t>
      </w:r>
      <w:r>
        <w:rPr>
          <w:rFonts w:ascii="Arial" w:cs="Arial" w:eastAsia="Arial" w:hAnsi="Arial"/>
          <w:sz w:val="16"/>
          <w:szCs w:val="16"/>
          <w:b w:val="1"/>
          <w:bCs w:val="1"/>
          <w:color w:val="auto"/>
        </w:rPr>
        <w:t xml:space="preserve"> </w:t>
      </w:r>
      <w:r>
        <w:rPr>
          <w:rFonts w:ascii="Arial" w:cs="Arial" w:eastAsia="Arial" w:hAnsi="Arial"/>
          <w:sz w:val="16"/>
          <w:szCs w:val="16"/>
          <w:color w:val="auto"/>
        </w:rPr>
        <w:t>paid out of the assets of the Corporation available for distribution before any payment shall be made to Common Stock. Payable in an amount per share equal to the greater of (i) the applicable Original Issue Price for such series, plus any Accruing Dividends, regardless of whether they have been declared, plus any other dividends declared and unpaid, and (ii) such amount per share as would have been payable had all shares of the series of Preferred Stock been converted into Series V Common Stock at the applicable conversation rate immediately prior to the liquidation. All outstanding shares of Series A Preferred shall automatically convert to shares of Common Stock based on a deemed liquidation event as defined within the Articles of Incorporation. The Preferred Stock is classified outside of permanent equity because the underlying agreement includes a deemed liquidation provision.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 Common Stock</w:t>
      </w:r>
    </w:p>
    <w:p>
      <w:pPr>
        <w:spacing w:after="0" w:line="177"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As of January 31, 2019 the Company had 37,763,000 shares of $0.02 par value Series A Common Stock (Series A Common), 54,959,650 shares of $0.01 par value Series B Common Stock (Series B Common) and 237,723,310 shares of $0.02 par value Series V Common Stock (Series V Common) authorized, respectively.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rights, preferences, and privileges of the Series A Common, Series B Common and Series V Common (collectively the Common Stock) are as follows:</w:t>
      </w:r>
    </w:p>
    <w:p>
      <w:pPr>
        <w:spacing w:after="0" w:line="188"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Voting rights: </w:t>
      </w:r>
      <w:r>
        <w:rPr>
          <w:rFonts w:ascii="Arial" w:cs="Arial" w:eastAsia="Arial" w:hAnsi="Arial"/>
          <w:sz w:val="17"/>
          <w:szCs w:val="17"/>
          <w:color w:val="auto"/>
        </w:rPr>
        <w:t>The holders of Series A Common and Series V Common are entitled to one vote for each share held. The Series B Common is nonvoting</w:t>
      </w:r>
      <w:r>
        <w:rPr>
          <w:rFonts w:ascii="Arial" w:cs="Arial" w:eastAsia="Arial" w:hAnsi="Arial"/>
          <w:sz w:val="17"/>
          <w:szCs w:val="17"/>
          <w:b w:val="1"/>
          <w:bCs w:val="1"/>
          <w:color w:val="auto"/>
        </w:rPr>
        <w:t xml:space="preserve"> </w:t>
      </w:r>
      <w:r>
        <w:rPr>
          <w:rFonts w:ascii="Arial" w:cs="Arial" w:eastAsia="Arial" w:hAnsi="Arial"/>
          <w:sz w:val="17"/>
          <w:szCs w:val="17"/>
          <w:color w:val="auto"/>
        </w:rPr>
        <w:t>stock. Additionally, the affirmative vote of at least a majority of the outstanding shares of Series A Preferred Stock, Series C Preferred Stock and Series V Common Stock, counted together as one class, and, separately, a majority of Series A Common Stock, voting as a class, is required for certain stockholder actions to carry.</w:t>
      </w:r>
    </w:p>
    <w:p>
      <w:pPr>
        <w:spacing w:after="0" w:line="116" w:lineRule="exact"/>
        <w:rPr>
          <w:sz w:val="20"/>
          <w:szCs w:val="20"/>
          <w:color w:val="auto"/>
        </w:rPr>
      </w:pPr>
    </w:p>
    <w:p>
      <w:pPr>
        <w:jc w:val="both"/>
        <w:ind w:firstLine="314"/>
        <w:spacing w:after="0" w:line="270" w:lineRule="auto"/>
        <w:rPr>
          <w:sz w:val="20"/>
          <w:szCs w:val="20"/>
          <w:color w:val="auto"/>
        </w:rPr>
      </w:pPr>
      <w:r>
        <w:rPr>
          <w:rFonts w:ascii="Arial" w:cs="Arial" w:eastAsia="Arial" w:hAnsi="Arial"/>
          <w:sz w:val="17"/>
          <w:szCs w:val="17"/>
          <w:b w:val="1"/>
          <w:bCs w:val="1"/>
          <w:color w:val="auto"/>
        </w:rPr>
        <w:t xml:space="preserve">Conversion: </w:t>
      </w:r>
      <w:r>
        <w:rPr>
          <w:rFonts w:ascii="Arial" w:cs="Arial" w:eastAsia="Arial" w:hAnsi="Arial"/>
          <w:sz w:val="17"/>
          <w:szCs w:val="17"/>
          <w:color w:val="auto"/>
        </w:rPr>
        <w:t>Each outstanding share of Series A Common and Series B Common will automatically convert into one share of Series V Common</w:t>
      </w:r>
      <w:r>
        <w:rPr>
          <w:rFonts w:ascii="Arial" w:cs="Arial" w:eastAsia="Arial" w:hAnsi="Arial"/>
          <w:sz w:val="17"/>
          <w:szCs w:val="17"/>
          <w:b w:val="1"/>
          <w:bCs w:val="1"/>
          <w:color w:val="auto"/>
        </w:rPr>
        <w:t xml:space="preserve"> </w:t>
      </w:r>
      <w:r>
        <w:rPr>
          <w:rFonts w:ascii="Arial" w:cs="Arial" w:eastAsia="Arial" w:hAnsi="Arial"/>
          <w:sz w:val="17"/>
          <w:szCs w:val="17"/>
          <w:color w:val="auto"/>
        </w:rPr>
        <w:t>concurrently with the closing of the earlier of the sale of all or substantially all assets of the Company, the acquisition of the Company by another entity by way of merger or consolidation such that the Company is not the surviving entity, or the first underwritten public offering of the Company's Common Stock, in which the gross proceeds to the Company are no less than $25 million.</w:t>
      </w:r>
    </w:p>
    <w:p>
      <w:pPr>
        <w:spacing w:after="0" w:line="122"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Additionally, each outstanding share of Series A Common is convertible into Series V Common, at the option of the holder, at any time upon notice to the Company.</w:t>
      </w:r>
    </w:p>
    <w:p>
      <w:pPr>
        <w:spacing w:after="0" w:line="100" w:lineRule="exact"/>
        <w:rPr>
          <w:sz w:val="20"/>
          <w:szCs w:val="20"/>
          <w:color w:val="auto"/>
        </w:rPr>
      </w:pPr>
    </w:p>
    <w:p>
      <w:pPr>
        <w:jc w:val="both"/>
        <w:ind w:firstLine="314"/>
        <w:spacing w:after="0" w:line="277" w:lineRule="auto"/>
        <w:rPr>
          <w:sz w:val="20"/>
          <w:szCs w:val="20"/>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Dividends may be declared and paid on the Common Stock if and when determined by the Board of Directors. No such dividends were</w:t>
      </w:r>
      <w:r>
        <w:rPr>
          <w:rFonts w:ascii="Arial" w:cs="Arial" w:eastAsia="Arial" w:hAnsi="Arial"/>
          <w:sz w:val="17"/>
          <w:szCs w:val="17"/>
          <w:b w:val="1"/>
          <w:bCs w:val="1"/>
          <w:color w:val="auto"/>
        </w:rPr>
        <w:t xml:space="preserve"> </w:t>
      </w:r>
      <w:r>
        <w:rPr>
          <w:rFonts w:ascii="Arial" w:cs="Arial" w:eastAsia="Arial" w:hAnsi="Arial"/>
          <w:sz w:val="17"/>
          <w:szCs w:val="17"/>
          <w:color w:val="auto"/>
        </w:rPr>
        <w:t>declared or paid during the period from January 1, 2019 through January 31, 2019 or the year ended December 31, 2018. Dividends are not cumulative and do not accrue.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Stock Compensation Plan</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6"/>
          <w:szCs w:val="16"/>
          <w:color w:val="auto"/>
        </w:rPr>
        <w:t>During 2017, the Company adopted the 2017 Stock Plan (the “2017 Plan”). The 2017 Plan permits the grant of incentive and non-statutory stock options, for the purchase of up to an aggregate of 8,700,000 shares of Series B common stock to employees, directors, and consultants. During 2018, the Company increased the aggregate number of Series B common stock available for issuance to 11,300,000 shares. As of January 31, 2019, 828,240 shares were available for grant under the 2017 Plan. The Board of Directors may at any time, amend, alter, suspend or terminate the 2017 Plan.</w:t>
      </w:r>
    </w:p>
    <w:p>
      <w:pPr>
        <w:spacing w:after="0" w:line="10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per share exercise price for the shares to be issued pursuant to the exercise of an option will be determined by the Board of Directors, but will be no less than 100% of the fair market value per share on the date of the grant. Stock options generally vest ratably over four years and expire ten years from the date of grant.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F-87</w:t>
      </w:r>
    </w:p>
    <w:p>
      <w:pPr>
        <w:sectPr>
          <w:pgSz w:w="11900" w:h="16838" w:orient="portrait"/>
          <w:cols w:equalWidth="0" w:num="1">
            <w:col w:w="11240"/>
          </w:cols>
          <w:pgMar w:left="320" w:top="749" w:right="339" w:bottom="1440" w:gutter="0" w:footer="0" w:header="0"/>
        </w:sectPr>
      </w:pPr>
    </w:p>
    <w:bookmarkStart w:id="326" w:name="page327"/>
    <w:bookmarkEnd w:id="326"/>
    <w:p>
      <w:pPr>
        <w:spacing w:after="0"/>
        <w:rPr>
          <w:sz w:val="20"/>
          <w:szCs w:val="20"/>
          <w:color w:val="auto"/>
        </w:rPr>
      </w:pPr>
      <w:r>
        <w:rPr>
          <w:rFonts w:ascii="Arial" w:cs="Arial" w:eastAsia="Arial" w:hAnsi="Arial"/>
          <w:sz w:val="17"/>
          <w:szCs w:val="17"/>
          <w:b w:val="1"/>
          <w:bCs w:val="1"/>
          <w:color w:val="auto"/>
        </w:rPr>
        <w:t>Note 11 - Stock Compensation Plan (continued)</w:t>
      </w:r>
    </w:p>
    <w:p>
      <w:pPr>
        <w:spacing w:after="0" w:line="2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All options granted to date are exercisable into Class B common stock. The following table summarizes option activity under the 2017 Plan for the period from January 1, 2019 through January 31, 2019 and the year ended December 31,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1380" w:type="dxa"/>
            <w:vAlign w:val="bottom"/>
          </w:tcPr>
          <w:p>
            <w:pPr>
              <w:jc w:val="right"/>
              <w:ind w:right="156"/>
              <w:spacing w:after="0"/>
              <w:rPr>
                <w:sz w:val="20"/>
                <w:szCs w:val="20"/>
                <w:color w:val="auto"/>
              </w:rPr>
            </w:pPr>
            <w:r>
              <w:rPr>
                <w:rFonts w:ascii="Arial" w:cs="Arial" w:eastAsia="Arial" w:hAnsi="Arial"/>
                <w:sz w:val="14"/>
                <w:szCs w:val="14"/>
                <w:b w:val="1"/>
                <w:bCs w:val="1"/>
                <w:color w:val="auto"/>
                <w:w w:val="91"/>
              </w:rPr>
              <w:t>Weighted Average</w:t>
            </w:r>
          </w:p>
        </w:tc>
      </w:tr>
      <w:tr>
        <w:trPr>
          <w:trHeight w:val="188"/>
        </w:trPr>
        <w:tc>
          <w:tcPr>
            <w:tcW w:w="8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6"/>
                <w:szCs w:val="16"/>
                <w:color w:val="auto"/>
              </w:rPr>
            </w:pPr>
          </w:p>
        </w:tc>
        <w:tc>
          <w:tcPr>
            <w:tcW w:w="1380" w:type="dxa"/>
            <w:vAlign w:val="bottom"/>
          </w:tcPr>
          <w:p>
            <w:pPr>
              <w:jc w:val="right"/>
              <w:ind w:right="276"/>
              <w:spacing w:after="0"/>
              <w:rPr>
                <w:sz w:val="20"/>
                <w:szCs w:val="20"/>
                <w:color w:val="auto"/>
              </w:rPr>
            </w:pPr>
            <w:r>
              <w:rPr>
                <w:rFonts w:ascii="Arial" w:cs="Arial" w:eastAsia="Arial" w:hAnsi="Arial"/>
                <w:sz w:val="14"/>
                <w:szCs w:val="14"/>
                <w:b w:val="1"/>
                <w:bCs w:val="1"/>
                <w:color w:val="auto"/>
              </w:rPr>
              <w:t>Exercise Price</w:t>
            </w:r>
          </w:p>
        </w:tc>
      </w:tr>
      <w:tr>
        <w:trPr>
          <w:trHeight w:val="24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December 31, 2017</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Granted</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6"/>
              <w:spacing w:after="0"/>
              <w:rPr>
                <w:sz w:val="20"/>
                <w:szCs w:val="20"/>
                <w:color w:val="auto"/>
              </w:rPr>
            </w:pPr>
            <w:r>
              <w:rPr>
                <w:rFonts w:ascii="Arial" w:cs="Arial" w:eastAsia="Arial" w:hAnsi="Arial"/>
                <w:sz w:val="17"/>
                <w:szCs w:val="17"/>
                <w:color w:val="auto"/>
              </w:rPr>
              <w:t>10,967,000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1.50</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Exercised</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(162,240)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Canceled</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(302,580)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2.26</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December 31, 2018</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10,502,180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Granted</w:t>
            </w:r>
          </w:p>
        </w:tc>
        <w:tc>
          <w:tcPr>
            <w:tcW w:w="2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Exercised</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Canceled</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0.58</w:t>
            </w: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Outstanding at January 31, 2019</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10,484,060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0.58</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263" w:lineRule="auto"/>
        <w:rPr>
          <w:sz w:val="20"/>
          <w:szCs w:val="20"/>
          <w:color w:val="auto"/>
        </w:rPr>
      </w:pPr>
      <w:r>
        <w:rPr>
          <w:rFonts w:ascii="Arial" w:cs="Arial" w:eastAsia="Arial" w:hAnsi="Arial"/>
          <w:sz w:val="17"/>
          <w:szCs w:val="17"/>
          <w:color w:val="auto"/>
        </w:rPr>
        <w:t>The determination of the fair value of stock-based payment awards utilizing the Black-Scholes model is affected by the stock price and a number of assumptions, including expected volatility, expected term, risk-free interest rate and expected dividends. The Company does not have a history of market prices of its common stock as it is not a public company, and as such volatility is estimated using historical volatilities of similar public entities. The expected life of the awards is estimated based on the estimated time until a distributable event. The risk free interest rate assumption is based on observed interest rates appropriate for the terms of the awards. The dividend yield assumption is based on the history and expectation of paying no dividends. Forfeitures are accounted for as they occur.</w:t>
      </w:r>
    </w:p>
    <w:p>
      <w:pPr>
        <w:spacing w:after="0" w:line="129" w:lineRule="exact"/>
        <w:rPr>
          <w:sz w:val="20"/>
          <w:szCs w:val="20"/>
          <w:color w:val="auto"/>
        </w:rPr>
      </w:pPr>
    </w:p>
    <w:p>
      <w:pPr>
        <w:jc w:val="both"/>
        <w:ind w:firstLine="314"/>
        <w:spacing w:after="0" w:line="273" w:lineRule="auto"/>
        <w:rPr>
          <w:sz w:val="20"/>
          <w:szCs w:val="20"/>
          <w:color w:val="auto"/>
        </w:rPr>
      </w:pPr>
      <w:r>
        <w:rPr>
          <w:rFonts w:ascii="Arial" w:cs="Arial" w:eastAsia="Arial" w:hAnsi="Arial"/>
          <w:sz w:val="17"/>
          <w:szCs w:val="17"/>
          <w:color w:val="auto"/>
        </w:rPr>
        <w:t>The weighted-average fair value of stock options granted during the year ended December 31, 2018, under the Black-Scholes option pricing model were $0.17 per share. There were no options granted during the period from January 1, 2019 through January 31, 2019. The fair value of stock options issued to employees was calculated with the following assumptions: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4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Risk-free interest rate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1"/>
              </w:rPr>
              <w:t>2.27-3.05%</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Expected dividend yield</w:t>
            </w:r>
          </w:p>
        </w:tc>
        <w:tc>
          <w:tcPr>
            <w:tcW w:w="1560" w:type="dxa"/>
            <w:vAlign w:val="bottom"/>
          </w:tcPr>
          <w:p>
            <w:pPr>
              <w:jc w:val="center"/>
              <w:spacing w:after="0"/>
              <w:rPr>
                <w:sz w:val="20"/>
                <w:szCs w:val="20"/>
                <w:color w:val="auto"/>
              </w:rPr>
            </w:pPr>
            <w:r>
              <w:rPr>
                <w:rFonts w:ascii="Arial" w:cs="Arial" w:eastAsia="Arial" w:hAnsi="Arial"/>
                <w:sz w:val="17"/>
                <w:szCs w:val="17"/>
                <w:color w:val="auto"/>
                <w:w w:val="97"/>
              </w:rPr>
              <w:t>0%</w:t>
            </w:r>
          </w:p>
        </w:tc>
      </w:tr>
      <w:tr>
        <w:trPr>
          <w:trHeight w:val="27"/>
        </w:trPr>
        <w:tc>
          <w:tcPr>
            <w:tcW w:w="96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Expected life of option</w:t>
            </w:r>
          </w:p>
        </w:tc>
        <w:tc>
          <w:tcPr>
            <w:tcW w:w="1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5-6.08 years</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Volatility factor</w:t>
            </w:r>
          </w:p>
        </w:tc>
        <w:tc>
          <w:tcPr>
            <w:tcW w:w="1560" w:type="dxa"/>
            <w:vAlign w:val="bottom"/>
          </w:tcPr>
          <w:p>
            <w:pPr>
              <w:jc w:val="center"/>
              <w:spacing w:after="0"/>
              <w:rPr>
                <w:sz w:val="20"/>
                <w:szCs w:val="20"/>
                <w:color w:val="auto"/>
              </w:rPr>
            </w:pPr>
            <w:r>
              <w:rPr>
                <w:rFonts w:ascii="Arial" w:cs="Arial" w:eastAsia="Arial" w:hAnsi="Arial"/>
                <w:sz w:val="17"/>
                <w:szCs w:val="17"/>
                <w:color w:val="auto"/>
                <w:w w:val="95"/>
              </w:rPr>
              <w:t>39-41%</w:t>
            </w:r>
          </w:p>
        </w:tc>
      </w:tr>
    </w:tbl>
    <w:p>
      <w:pPr>
        <w:spacing w:after="0" w:line="171" w:lineRule="exact"/>
        <w:rPr>
          <w:sz w:val="20"/>
          <w:szCs w:val="20"/>
          <w:color w:val="auto"/>
        </w:rPr>
      </w:pPr>
    </w:p>
    <w:p>
      <w:pPr>
        <w:jc w:val="both"/>
        <w:ind w:firstLine="314"/>
        <w:spacing w:after="0" w:line="297" w:lineRule="auto"/>
        <w:rPr>
          <w:sz w:val="20"/>
          <w:szCs w:val="20"/>
          <w:color w:val="auto"/>
        </w:rPr>
      </w:pPr>
      <w:r>
        <w:rPr>
          <w:rFonts w:ascii="Arial" w:cs="Arial" w:eastAsia="Arial" w:hAnsi="Arial"/>
          <w:sz w:val="16"/>
          <w:szCs w:val="16"/>
          <w:color w:val="auto"/>
        </w:rPr>
        <w:t>The Company recorded stock-based compensation expense in connection with option awards of $45,351 and $568,185 for the period from January 1, 2019 through January 31, 2019 and the year ended December 31, 2018, respectively. As of January 31, 2019, there was $1,217,462 of unrecognized compensation expense related to unvested option awards that is expected to be recognized over a weighted average period of 2.72 years.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Income Taxes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the assets and liabilities for financial reporting purposes and the amounts used for income tax purposes and net operating loss carryforwards.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F-88</w:t>
      </w:r>
    </w:p>
    <w:p>
      <w:pPr>
        <w:sectPr>
          <w:pgSz w:w="11900" w:h="16838" w:orient="portrait"/>
          <w:cols w:equalWidth="0" w:num="1">
            <w:col w:w="11240"/>
          </w:cols>
          <w:pgMar w:left="320" w:top="749" w:right="339" w:bottom="1440" w:gutter="0" w:footer="0" w:header="0"/>
        </w:sectPr>
      </w:pPr>
    </w:p>
    <w:bookmarkStart w:id="327" w:name="page328"/>
    <w:bookmarkEnd w:id="327"/>
    <w:p>
      <w:pPr>
        <w:spacing w:after="0"/>
        <w:rPr>
          <w:sz w:val="20"/>
          <w:szCs w:val="20"/>
          <w:color w:val="auto"/>
        </w:rPr>
      </w:pPr>
      <w:r>
        <w:rPr>
          <w:rFonts w:ascii="Arial" w:cs="Arial" w:eastAsia="Arial" w:hAnsi="Arial"/>
          <w:sz w:val="17"/>
          <w:szCs w:val="17"/>
          <w:b w:val="1"/>
          <w:bCs w:val="1"/>
          <w:color w:val="auto"/>
        </w:rPr>
        <w:t>Note 12 - Income Taxes (continued)</w:t>
      </w:r>
    </w:p>
    <w:p>
      <w:pPr>
        <w:spacing w:after="0" w:line="230"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federal and state income tax provision (benefit) for the period from January 1, 2019 through January 31, 2019 and the year ended December 31, 2018 is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Current tax expense:</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Federal</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State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72,682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257,276</w:t>
            </w:r>
          </w:p>
        </w:tc>
        <w:tc>
          <w:tcPr>
            <w:tcW w:w="0" w:type="dxa"/>
            <w:vAlign w:val="bottom"/>
          </w:tcPr>
          <w:p>
            <w:pPr>
              <w:spacing w:after="0"/>
              <w:rPr>
                <w:sz w:val="1"/>
                <w:szCs w:val="1"/>
                <w:color w:val="auto"/>
              </w:rPr>
            </w:pPr>
          </w:p>
        </w:tc>
      </w:tr>
      <w:tr>
        <w:trPr>
          <w:trHeight w:val="228"/>
        </w:trPr>
        <w:tc>
          <w:tcPr>
            <w:tcW w:w="80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72,682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257,276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tax benefit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000" w:type="dxa"/>
            <w:vAlign w:val="bottom"/>
          </w:tcPr>
          <w:p>
            <w:pPr>
              <w:ind w:left="260"/>
              <w:spacing w:after="0"/>
              <w:rPr>
                <w:sz w:val="20"/>
                <w:szCs w:val="20"/>
                <w:color w:val="auto"/>
              </w:rPr>
            </w:pPr>
            <w:r>
              <w:rPr>
                <w:rFonts w:ascii="Arial" w:cs="Arial" w:eastAsia="Arial" w:hAnsi="Arial"/>
                <w:sz w:val="17"/>
                <w:szCs w:val="17"/>
                <w:color w:val="auto"/>
              </w:rPr>
              <w:t>Federal</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(453,891)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(2,922,971)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State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244,981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(2,246,930)</w:t>
            </w:r>
          </w:p>
        </w:tc>
        <w:tc>
          <w:tcPr>
            <w:tcW w:w="0" w:type="dxa"/>
            <w:vAlign w:val="bottom"/>
          </w:tcPr>
          <w:p>
            <w:pPr>
              <w:spacing w:after="0"/>
              <w:rPr>
                <w:sz w:val="1"/>
                <w:szCs w:val="1"/>
                <w:color w:val="auto"/>
              </w:rPr>
            </w:pPr>
          </w:p>
        </w:tc>
      </w:tr>
      <w:tr>
        <w:trPr>
          <w:trHeight w:val="228"/>
        </w:trPr>
        <w:tc>
          <w:tcPr>
            <w:tcW w:w="80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(208,910)</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(5,169,901)</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(4,912,625)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20"/>
              <w:spacing w:after="0"/>
              <w:rPr>
                <w:sz w:val="20"/>
                <w:szCs w:val="20"/>
                <w:color w:val="auto"/>
              </w:rPr>
            </w:pPr>
            <w:r>
              <w:rPr>
                <w:rFonts w:ascii="Arial" w:cs="Arial" w:eastAsia="Arial" w:hAnsi="Arial"/>
                <w:sz w:val="17"/>
                <w:szCs w:val="17"/>
                <w:color w:val="auto"/>
                <w:w w:val="99"/>
              </w:rPr>
              <w:t>Deferred tax assets and liabilities consist of the following at January 31, 2019 and December 31, 2018:</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0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0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operating loss carryforwards</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221,864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472,081</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Research and development tax credit carryforwards</w:t>
            </w:r>
          </w:p>
        </w:tc>
        <w:tc>
          <w:tcPr>
            <w:tcW w:w="3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2,101,617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1,702,844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(988,311)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(49,140)</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Other temporary differences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(20,552)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(37,942)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(12,500,882)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(12,690,821)</w:t>
            </w:r>
          </w:p>
        </w:tc>
        <w:tc>
          <w:tcPr>
            <w:tcW w:w="0" w:type="dxa"/>
            <w:vAlign w:val="bottom"/>
          </w:tcPr>
          <w:p>
            <w:pPr>
              <w:spacing w:after="0"/>
              <w:rPr>
                <w:sz w:val="1"/>
                <w:szCs w:val="1"/>
                <w:color w:val="auto"/>
              </w:rPr>
            </w:pPr>
          </w:p>
        </w:tc>
      </w:tr>
      <w:tr>
        <w:trPr>
          <w:trHeight w:val="235"/>
        </w:trPr>
        <w:tc>
          <w:tcPr>
            <w:tcW w:w="8000" w:type="dxa"/>
            <w:vAlign w:val="bottom"/>
          </w:tcPr>
          <w:p>
            <w:pPr>
              <w:ind w:left="40"/>
              <w:spacing w:after="0"/>
              <w:rPr>
                <w:sz w:val="20"/>
                <w:szCs w:val="20"/>
                <w:color w:val="auto"/>
              </w:rPr>
            </w:pPr>
            <w:r>
              <w:rPr>
                <w:rFonts w:ascii="Arial" w:cs="Arial" w:eastAsia="Arial" w:hAnsi="Arial"/>
                <w:sz w:val="17"/>
                <w:szCs w:val="17"/>
                <w:color w:val="auto"/>
              </w:rPr>
              <w:t>Interest limitation</w:t>
            </w:r>
          </w:p>
        </w:tc>
        <w:tc>
          <w:tcPr>
            <w:tcW w:w="36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1,037,671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896,713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679,264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784,277</w:t>
            </w:r>
          </w:p>
        </w:tc>
        <w:tc>
          <w:tcPr>
            <w:tcW w:w="0" w:type="dxa"/>
            <w:vAlign w:val="bottom"/>
          </w:tcPr>
          <w:p>
            <w:pPr>
              <w:spacing w:after="0"/>
              <w:rPr>
                <w:sz w:val="1"/>
                <w:szCs w:val="1"/>
                <w:color w:val="auto"/>
              </w:rPr>
            </w:pPr>
          </w:p>
        </w:tc>
      </w:tr>
      <w:tr>
        <w:trPr>
          <w:trHeight w:val="248"/>
        </w:trPr>
        <w:tc>
          <w:tcPr>
            <w:tcW w:w="8000" w:type="dxa"/>
            <w:vAlign w:val="bottom"/>
          </w:tcPr>
          <w:p>
            <w:pPr>
              <w:ind w:left="260"/>
              <w:spacing w:after="0"/>
              <w:rPr>
                <w:sz w:val="20"/>
                <w:szCs w:val="20"/>
                <w:color w:val="auto"/>
              </w:rPr>
            </w:pPr>
            <w:r>
              <w:rPr>
                <w:rFonts w:ascii="Arial" w:cs="Arial" w:eastAsia="Arial" w:hAnsi="Arial"/>
                <w:sz w:val="17"/>
                <w:szCs w:val="17"/>
                <w:color w:val="auto"/>
              </w:rPr>
              <w:t>Net deferred tax liability</w:t>
            </w: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(9,469,299)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(8,921,988)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As of January 31, 2019, the Company had federal and state net operating loss carryforwards of $115,071 and $106,793, respectively. The Company has federal and state research and development credit carryforwards of $1,268,642 and $832,975, respectively, which expire at various dates through 2028.</w:t>
      </w:r>
    </w:p>
    <w:p>
      <w:pPr>
        <w:spacing w:after="0" w:line="83" w:lineRule="exact"/>
        <w:rPr>
          <w:sz w:val="20"/>
          <w:szCs w:val="20"/>
          <w:color w:val="auto"/>
        </w:rPr>
      </w:pPr>
    </w:p>
    <w:p>
      <w:pPr>
        <w:jc w:val="both"/>
        <w:ind w:firstLine="314"/>
        <w:spacing w:after="0" w:line="322" w:lineRule="auto"/>
        <w:rPr>
          <w:sz w:val="20"/>
          <w:szCs w:val="20"/>
          <w:color w:val="auto"/>
        </w:rPr>
      </w:pPr>
      <w:r>
        <w:rPr>
          <w:rFonts w:ascii="Arial" w:cs="Arial" w:eastAsia="Arial" w:hAnsi="Arial"/>
          <w:sz w:val="16"/>
          <w:szCs w:val="16"/>
          <w:color w:val="auto"/>
        </w:rPr>
        <w:t>As of December 31, 2018, the Company had federal and state net operating loss carryforwards of $318,393 and $153,688, respectively. The Company has federal and state research and development credit carryforwards of $869,869 and $832,975, respectively, which expire at various dates through 2028.</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Employee Benefit Plan</w:t>
      </w:r>
    </w:p>
    <w:p>
      <w:pPr>
        <w:spacing w:after="0" w:line="177"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substantially all U.S. employees who meet minimum age and service requirements and allows participants to defer a portion of their annual compensation on a pre-tax basis. Company contributions to the plan are discretionary and no such contributions were made during the period from January 1, 2019 through January 31, 2019 or the year ended December 31, 2018.</w:t>
      </w:r>
    </w:p>
    <w:p>
      <w:pPr>
        <w:spacing w:after="0" w:line="12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During the year ended December 31, 2018, the Company accrued for distributions totaling $2,785,522 to eligible employees in accordance with the Profit Sharing Plan which were paid during the period from January 1, 2019 through January 31, 2019. During the period from January 1, 2019 through January 31, 2019, the Company accrued for bonuses of $233,000 as the Profit Sharing Plan was terminated as a result of the acquisition by DiscoverOrg Holdings, LLC (Note 15).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F-89</w:t>
      </w:r>
    </w:p>
    <w:p>
      <w:pPr>
        <w:sectPr>
          <w:pgSz w:w="11900" w:h="16838" w:orient="portrait"/>
          <w:cols w:equalWidth="0" w:num="1">
            <w:col w:w="11240"/>
          </w:cols>
          <w:pgMar w:left="320" w:top="750" w:right="339" w:bottom="1440" w:gutter="0" w:footer="0" w:header="0"/>
        </w:sectPr>
      </w:pPr>
    </w:p>
    <w:bookmarkStart w:id="328" w:name="page329"/>
    <w:bookmarkEnd w:id="328"/>
    <w:p>
      <w:pPr>
        <w:spacing w:after="0"/>
        <w:rPr>
          <w:sz w:val="20"/>
          <w:szCs w:val="20"/>
          <w:color w:val="auto"/>
        </w:rPr>
      </w:pPr>
      <w:r>
        <w:rPr>
          <w:rFonts w:ascii="Arial" w:cs="Arial" w:eastAsia="Arial" w:hAnsi="Arial"/>
          <w:sz w:val="17"/>
          <w:szCs w:val="17"/>
          <w:b w:val="1"/>
          <w:bCs w:val="1"/>
          <w:color w:val="auto"/>
        </w:rPr>
        <w:t>Note 14 - Commitments and Contingencies</w:t>
      </w:r>
    </w:p>
    <w:p>
      <w:pPr>
        <w:spacing w:after="0" w:line="171" w:lineRule="exact"/>
        <w:rPr>
          <w:sz w:val="20"/>
          <w:szCs w:val="20"/>
          <w:color w:val="auto"/>
        </w:rPr>
      </w:pPr>
    </w:p>
    <w:p>
      <w:pPr>
        <w:jc w:val="both"/>
        <w:ind w:firstLine="314"/>
        <w:spacing w:after="0" w:line="292" w:lineRule="auto"/>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The Company leases office space under a non-cancelable operating lease for its headquarters in Waltham, Massachusetts. The</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entered into on August 31, 2017 provides for total monthly payments of $83,110. The August 31, 2017 amendment extended the term of the lease agreement through June 30, 2023. The Company leases office space under a non-cancelable operating lease for its satellite office in Grand Rapids, Michigan. Total monthly rent is $2,900 for the term of the lease. The Company has tenant at will arrangements for its facilities in Israel and Russia.</w:t>
      </w:r>
    </w:p>
    <w:p>
      <w:pPr>
        <w:spacing w:after="0" w:line="106" w:lineRule="exact"/>
        <w:rPr>
          <w:sz w:val="20"/>
          <w:szCs w:val="20"/>
          <w:color w:val="auto"/>
        </w:rPr>
      </w:pPr>
    </w:p>
    <w:p>
      <w:pPr>
        <w:jc w:val="both"/>
        <w:ind w:firstLine="314"/>
        <w:spacing w:after="0" w:line="267" w:lineRule="auto"/>
        <w:rPr>
          <w:sz w:val="20"/>
          <w:szCs w:val="20"/>
          <w:color w:val="auto"/>
        </w:rPr>
      </w:pPr>
      <w:r>
        <w:rPr>
          <w:rFonts w:ascii="Arial" w:cs="Arial" w:eastAsia="Arial" w:hAnsi="Arial"/>
          <w:sz w:val="17"/>
          <w:szCs w:val="17"/>
          <w:color w:val="auto"/>
        </w:rPr>
        <w:t>On January 7, 2019, the Company entered into a non-cancelable operating lease for its headquarters in Waltham, Massachusetts. The Company moved their corporate headquarters from the Waltham, MA space noted above. The lease ends on January 31, 2031 and includes a free rent period of thirteen months with monthly rent of $265,560 thereafter. The future minimum lease payment schedule below has been updated to include the future commitments under the new lease.</w:t>
      </w:r>
    </w:p>
    <w:p>
      <w:pPr>
        <w:spacing w:after="0" w:line="126"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Rent expense, including operating costs, for the period from January 1, 2019 through January 31, 2019 and the year December 31, 2018 totaled $148,093 and $1,372,168, respectively.</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due under this non-cancelable lease agreement are as follows as of January 31, 2019: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2019</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1,360,566</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2020</w:t>
            </w:r>
          </w:p>
        </w:tc>
        <w:tc>
          <w:tcPr>
            <w:tcW w:w="3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7"/>
                <w:szCs w:val="17"/>
                <w:color w:val="auto"/>
              </w:rPr>
              <w:t>3,043,396</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3,186,723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2022</w:t>
            </w:r>
          </w:p>
        </w:tc>
        <w:tc>
          <w:tcPr>
            <w:tcW w:w="3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7"/>
                <w:szCs w:val="17"/>
                <w:color w:val="auto"/>
              </w:rPr>
              <w:t>3,186,723</w:t>
            </w:r>
          </w:p>
        </w:tc>
      </w:tr>
      <w:tr>
        <w:trPr>
          <w:trHeight w:val="27"/>
        </w:trPr>
        <w:tc>
          <w:tcPr>
            <w:tcW w:w="9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2"/>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3,186,723</w:t>
            </w:r>
          </w:p>
        </w:tc>
      </w:tr>
      <w:tr>
        <w:trPr>
          <w:trHeight w:val="235"/>
        </w:trPr>
        <w:tc>
          <w:tcPr>
            <w:tcW w:w="968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38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Arial" w:cs="Arial" w:eastAsia="Arial" w:hAnsi="Arial"/>
                <w:sz w:val="17"/>
                <w:szCs w:val="17"/>
                <w:color w:val="auto"/>
              </w:rPr>
              <w:t>22,572,621</w:t>
            </w:r>
          </w:p>
        </w:tc>
      </w:tr>
      <w:tr>
        <w:trPr>
          <w:trHeight w:val="27"/>
        </w:trPr>
        <w:tc>
          <w:tcPr>
            <w:tcW w:w="9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0"/>
        </w:trPr>
        <w:tc>
          <w:tcPr>
            <w:tcW w:w="9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36,536,752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firstLine="314"/>
        <w:spacing w:after="0" w:line="296"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From time to time, the Company may become involved in various legal matters arising in the ordinary course of business. Management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unaware of any matters requiring accrual or disclosure for related losses in the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Subsequent Events</w:t>
      </w:r>
    </w:p>
    <w:p>
      <w:pPr>
        <w:spacing w:after="0" w:line="177" w:lineRule="exact"/>
        <w:rPr>
          <w:sz w:val="20"/>
          <w:szCs w:val="20"/>
          <w:color w:val="auto"/>
        </w:rPr>
      </w:pPr>
    </w:p>
    <w:p>
      <w:pPr>
        <w:jc w:val="both"/>
        <w:ind w:firstLine="314"/>
        <w:spacing w:after="0" w:line="289" w:lineRule="auto"/>
        <w:rPr>
          <w:sz w:val="20"/>
          <w:szCs w:val="20"/>
          <w:color w:val="auto"/>
        </w:rPr>
      </w:pPr>
      <w:r>
        <w:rPr>
          <w:rFonts w:ascii="Arial" w:cs="Arial" w:eastAsia="Arial" w:hAnsi="Arial"/>
          <w:sz w:val="17"/>
          <w:szCs w:val="17"/>
          <w:color w:val="auto"/>
        </w:rPr>
        <w:t>The Company has evaluated subsequent events through November 22, 2019, which is the date the consolidated financial statements were available to be issued. The Company determined the following item was required to be disclosed in these consolidated financial statements.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February 1, 2019, 100% of the outstanding shares of the Company was acquired by DiscoverOrg Holdings, LLC.</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F-90</w:t>
      </w:r>
    </w:p>
    <w:p>
      <w:pPr>
        <w:sectPr>
          <w:pgSz w:w="11900" w:h="16838" w:orient="portrait"/>
          <w:cols w:equalWidth="0" w:num="1">
            <w:col w:w="11240"/>
          </w:cols>
          <w:pgMar w:left="320" w:top="331" w:right="339" w:bottom="1440" w:gutter="0" w:footer="0" w:header="0"/>
        </w:sectPr>
      </w:pPr>
    </w:p>
    <w:bookmarkStart w:id="329" w:name="page330"/>
    <w:bookmarkEnd w:id="3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381000</wp:posOffset>
            </wp:positionH>
            <wp:positionV relativeFrom="page">
              <wp:posOffset>304800</wp:posOffset>
            </wp:positionV>
            <wp:extent cx="6803390" cy="72110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3390" cy="7211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19"/>
        <w:spacing w:after="0" w:line="231" w:lineRule="auto"/>
        <w:rPr>
          <w:sz w:val="20"/>
          <w:szCs w:val="20"/>
          <w:color w:val="auto"/>
        </w:rPr>
      </w:pPr>
      <w:r>
        <w:rPr>
          <w:rFonts w:ascii="Arial" w:cs="Arial" w:eastAsia="Arial" w:hAnsi="Arial"/>
          <w:sz w:val="14"/>
          <w:szCs w:val="14"/>
          <w:color w:val="FFFFFF"/>
        </w:rPr>
        <w:t>Through and including June 28,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1)"/>
      <w:numFmt w:val="decimal"/>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
      <w:numFmt w:val="bullet"/>
      <w:start w:val="1"/>
    </w:lvl>
  </w:abstractNum>
  <w:abstractNum w:abstractNumId="8">
    <w:nsid w:val="7F01579B"/>
    <w:multiLevelType w:val="hybridMultilevel"/>
    <w:lvl w:ilvl="0">
      <w:lvlJc w:val="left"/>
      <w:lvlText w:val="•"/>
      <w:numFmt w:val="bullet"/>
      <w:start w:val="1"/>
    </w:lvl>
  </w:abstractNum>
  <w:abstractNum w:abstractNumId="9">
    <w:nsid w:val="49DA307D"/>
    <w:multiLevelType w:val="hybridMultilevel"/>
    <w:lvl w:ilvl="0">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1)"/>
      <w:numFmt w:val="decimal"/>
      <w:start w:val="1"/>
    </w:lvl>
  </w:abstractNum>
  <w:abstractNum w:abstractNumId="14">
    <w:nsid w:val="5FB8011C"/>
    <w:multiLevelType w:val="hybridMultilevel"/>
    <w:lvl w:ilvl="0">
      <w:lvlJc w:val="left"/>
      <w:lvlText w:val="(%1)"/>
      <w:numFmt w:val="decimal"/>
      <w:start w:val="2"/>
    </w:lvl>
  </w:abstractNum>
  <w:abstractNum w:abstractNumId="15">
    <w:nsid w:val="6AA78F7F"/>
    <w:multiLevelType w:val="hybridMultilevel"/>
    <w:lvl w:ilvl="0">
      <w:lvlJc w:val="left"/>
      <w:lvlText w:val="(%1)"/>
      <w:numFmt w:val="decimal"/>
      <w:start w:val="1"/>
    </w:lvl>
  </w:abstractNum>
  <w:abstractNum w:abstractNumId="16">
    <w:nsid w:val="7672BD23"/>
    <w:multiLevelType w:val="hybridMultilevel"/>
    <w:lvl w:ilvl="0">
      <w:lvlJc w:val="left"/>
      <w:lvlText w:val="(%1)"/>
      <w:numFmt w:val="decimal"/>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lvl w:ilvl="1">
      <w:lvlJc w:val="left"/>
      <w:lvlText w:val="◦"/>
      <w:numFmt w:val="bullet"/>
      <w:start w:val="1"/>
    </w:lvl>
  </w:abstractNum>
  <w:abstractNum w:abstractNumId="24">
    <w:nsid w:val="3FA62ACA"/>
    <w:multiLevelType w:val="hybridMultilevel"/>
    <w:lvl w:ilvl="0">
      <w:lvlJc w:val="left"/>
      <w:lvlText w:val="(%1)"/>
      <w:numFmt w:val="lowerRoman"/>
      <w:start w:val="2"/>
    </w:lvl>
  </w:abstractNum>
  <w:abstractNum w:abstractNumId="25">
    <w:nsid w:val="14FCE74E"/>
    <w:multiLevelType w:val="hybridMultilevel"/>
    <w:lvl w:ilvl="0">
      <w:lvlJc w:val="left"/>
      <w:lvlText w:val="(%1)"/>
      <w:numFmt w:val="decimal"/>
      <w:start w:val="1"/>
    </w:lvl>
  </w:abstractNum>
  <w:abstractNum w:abstractNumId="26">
    <w:nsid w:val="6A3DD3E8"/>
    <w:multiLevelType w:val="hybridMultilevel"/>
    <w:lvl w:ilvl="0">
      <w:lvlJc w:val="left"/>
      <w:lvlText w:val="%1"/>
      <w:numFmt w:val="decimal"/>
      <w:start w:val="1"/>
    </w:lvl>
    <w:lvl w:ilvl="1">
      <w:lvlJc w:val="left"/>
      <w:lvlText w:val="(%2)"/>
      <w:numFmt w:val="lowerLetter"/>
      <w:start w:val="1"/>
    </w:lvl>
  </w:abstractNum>
  <w:abstractNum w:abstractNumId="27">
    <w:nsid w:val="71C91298"/>
    <w:multiLevelType w:val="hybridMultilevel"/>
    <w:lvl w:ilvl="0">
      <w:lvlJc w:val="left"/>
      <w:lvlText w:val="(%1)"/>
      <w:numFmt w:val="decimal"/>
      <w:start w:val="2"/>
    </w:lvl>
    <w:lvl w:ilvl="1">
      <w:lvlJc w:val="left"/>
      <w:lvlText w:val="%2"/>
      <w:numFmt w:val="lowerLetter"/>
      <w:start w:val="1"/>
    </w:lvl>
  </w:abstractNum>
  <w:abstractNum w:abstractNumId="28">
    <w:nsid w:val="9DAF632"/>
    <w:multiLevelType w:val="hybridMultilevel"/>
    <w:lvl w:ilvl="0">
      <w:lvlJc w:val="left"/>
      <w:lvlText w:val="(%1)"/>
      <w:numFmt w:val="decimal"/>
      <w:start w:val="3"/>
    </w:lvl>
  </w:abstractNum>
  <w:abstractNum w:abstractNumId="29">
    <w:nsid w:val="53299938"/>
    <w:multiLevelType w:val="hybridMultilevel"/>
    <w:lvl w:ilvl="0">
      <w:lvlJc w:val="left"/>
      <w:lvlText w:val="(%1)"/>
      <w:numFmt w:val="decimal"/>
      <w:start w:val="6"/>
    </w:lvl>
  </w:abstractNum>
  <w:abstractNum w:abstractNumId="30">
    <w:nsid w:val="1FBFE8E0"/>
    <w:multiLevelType w:val="hybridMultilevel"/>
    <w:lvl w:ilvl="0">
      <w:lvlJc w:val="left"/>
      <w:lvlText w:val="%1"/>
      <w:numFmt w:val="decimal"/>
      <w:start w:val="1"/>
    </w:lvl>
    <w:lvl w:ilvl="1">
      <w:lvlJc w:val="left"/>
      <w:lvlText w:val="(%2)"/>
      <w:numFmt w:val="lowerLetter"/>
      <w:start w:val="1"/>
    </w:lvl>
  </w:abstractNum>
  <w:abstractNum w:abstractNumId="31">
    <w:nsid w:val="5092CA79"/>
    <w:multiLevelType w:val="hybridMultilevel"/>
    <w:lvl w:ilvl="0">
      <w:lvlJc w:val="left"/>
      <w:lvlText w:val="(%1)"/>
      <w:numFmt w:val="decimal"/>
      <w:start w:val="7"/>
    </w:lvl>
    <w:lvl w:ilvl="1">
      <w:lvlJc w:val="left"/>
      <w:lvlText w:val="%2"/>
      <w:numFmt w:val="lowerLetter"/>
      <w:start w:val="1"/>
    </w:lvl>
  </w:abstractNum>
  <w:abstractNum w:abstractNumId="32">
    <w:nsid w:val="1D545C4D"/>
    <w:multiLevelType w:val="hybridMultilevel"/>
    <w:lvl w:ilvl="0">
      <w:lvlJc w:val="left"/>
      <w:lvlText w:val="(%1)"/>
      <w:numFmt w:val="lowerLetter"/>
      <w:start w:val="1"/>
    </w:lvl>
  </w:abstractNum>
  <w:abstractNum w:abstractNumId="33">
    <w:nsid w:val="59ADEA3D"/>
    <w:multiLevelType w:val="hybridMultilevel"/>
    <w:lvl w:ilvl="0">
      <w:lvlJc w:val="left"/>
      <w:lvlText w:val="(%1)"/>
      <w:numFmt w:val="decimal"/>
      <w:start w:val="8"/>
    </w:lvl>
  </w:abstractNum>
  <w:abstractNum w:abstractNumId="34">
    <w:nsid w:val="288F1A34"/>
    <w:multiLevelType w:val="hybridMultilevel"/>
    <w:lvl w:ilvl="0">
      <w:lvlJc w:val="left"/>
      <w:lvlText w:val="(%1)"/>
      <w:numFmt w:val="lowerLetter"/>
      <w:start w:val="1"/>
    </w:lvl>
  </w:abstractNum>
  <w:abstractNum w:abstractNumId="35">
    <w:nsid w:val="2A155DBC"/>
    <w:multiLevelType w:val="hybridMultilevel"/>
    <w:lvl w:ilvl="0">
      <w:lvlJc w:val="left"/>
      <w:lvlText w:val="(%1)"/>
      <w:numFmt w:val="lowerLetter"/>
      <w:start w:val="4"/>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abstractNum>
  <w:abstractNum w:abstractNumId="44">
    <w:nsid w:val="45E6D486"/>
    <w:multiLevelType w:val="hybridMultilevel"/>
    <w:lvl w:ilvl="0">
      <w:lvlJc w:val="left"/>
      <w:lvlText w:val="•"/>
      <w:numFmt w:val="bullet"/>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
      <w:numFmt w:val="bullet"/>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
      <w:numFmt w:val="bullet"/>
      <w:start w:val="1"/>
    </w:lvl>
  </w:abstractNum>
  <w:abstractNum w:abstractNumId="55">
    <w:nsid w:val="2C27173B"/>
    <w:multiLevelType w:val="hybridMultilevel"/>
    <w:lvl w:ilvl="0">
      <w:lvlJc w:val="left"/>
      <w:lvlText w:val="•"/>
      <w:numFmt w:val="bullet"/>
      <w:start w:val="1"/>
    </w:lvl>
  </w:abstractNum>
  <w:abstractNum w:abstractNumId="56">
    <w:nsid w:val="4C9B0904"/>
    <w:multiLevelType w:val="hybridMultilevel"/>
    <w:lvl w:ilvl="0">
      <w:lvlJc w:val="left"/>
      <w:lvlText w:val="•"/>
      <w:numFmt w:val="bullet"/>
      <w:start w:val="1"/>
    </w:lvl>
  </w:abstractNum>
  <w:abstractNum w:abstractNumId="57">
    <w:nsid w:val="6AA7B75C"/>
    <w:multiLevelType w:val="hybridMultilevel"/>
    <w:lvl w:ilvl="0">
      <w:lvlJc w:val="left"/>
      <w:lvlText w:val="•"/>
      <w:numFmt w:val="bullet"/>
      <w:start w:val="1"/>
    </w:lvl>
  </w:abstractNum>
  <w:abstractNum w:abstractNumId="58">
    <w:nsid w:val="1DF029D3"/>
    <w:multiLevelType w:val="hybridMultilevel"/>
    <w:lvl w:ilvl="0">
      <w:lvlJc w:val="left"/>
      <w:lvlText w:val="•"/>
      <w:numFmt w:val="bullet"/>
      <w:start w:val="1"/>
    </w:lvl>
  </w:abstractNum>
  <w:abstractNum w:abstractNumId="59">
    <w:nsid w:val="5675FF36"/>
    <w:multiLevelType w:val="hybridMultilevel"/>
    <w:lvl w:ilvl="0">
      <w:lvlJc w:val="left"/>
      <w:lvlText w:val="(%1)"/>
      <w:numFmt w:val="lowerRoman"/>
      <w:start w:val="2"/>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
      <w:numFmt w:val="bullet"/>
      <w:start w:val="1"/>
    </w:lvl>
  </w:abstractNum>
  <w:abstractNum w:abstractNumId="62">
    <w:nsid w:val="2708C9AF"/>
    <w:multiLevelType w:val="hybridMultilevel"/>
    <w:lvl w:ilvl="0">
      <w:lvlJc w:val="left"/>
      <w:lvlText w:val="(%1)"/>
      <w:numFmt w:val="decimal"/>
      <w:start w:val="1"/>
    </w:lvl>
  </w:abstractNum>
  <w:abstractNum w:abstractNumId="63">
    <w:nsid w:val="5B25ACE2"/>
    <w:multiLevelType w:val="hybridMultilevel"/>
    <w:lvl w:ilvl="0">
      <w:lvlJc w:val="left"/>
      <w:lvlText w:val="(%1)"/>
      <w:numFmt w:val="decimal"/>
      <w:start w:val="1"/>
    </w:lvl>
  </w:abstractNum>
  <w:abstractNum w:abstractNumId="64">
    <w:nsid w:val="175DFCF0"/>
    <w:multiLevelType w:val="hybridMultilevel"/>
    <w:lvl w:ilvl="0">
      <w:lvlJc w:val="left"/>
      <w:lvlText w:val="(%1)"/>
      <w:numFmt w:val="decimal"/>
      <w:start w:val="2"/>
    </w:lvl>
  </w:abstractNum>
  <w:abstractNum w:abstractNumId="65">
    <w:nsid w:val="4F97E3E4"/>
    <w:multiLevelType w:val="hybridMultilevel"/>
    <w:lvl w:ilvl="0">
      <w:lvlJc w:val="left"/>
      <w:lvlText w:val="(%1)"/>
      <w:numFmt w:val="decimal"/>
      <w:start w:val="1"/>
    </w:lvl>
  </w:abstractNum>
  <w:abstractNum w:abstractNumId="66">
    <w:nsid w:val="53B0A9E"/>
    <w:multiLevelType w:val="hybridMultilevel"/>
    <w:lvl w:ilvl="0">
      <w:lvlJc w:val="left"/>
      <w:lvlText w:val="(%1)"/>
      <w:numFmt w:val="decimal"/>
      <w:start w:val="1"/>
    </w:lvl>
  </w:abstractNum>
  <w:abstractNum w:abstractNumId="67">
    <w:nsid w:val="34FD6B4F"/>
    <w:multiLevelType w:val="hybridMultilevel"/>
    <w:lvl w:ilvl="0">
      <w:lvlJc w:val="left"/>
      <w:lvlText w:val="•"/>
      <w:numFmt w:val="bullet"/>
      <w:start w:val="1"/>
    </w:lvl>
  </w:abstractNum>
  <w:abstractNum w:abstractNumId="68">
    <w:nsid w:val="5915FF32"/>
    <w:multiLevelType w:val="hybridMultilevel"/>
    <w:lvl w:ilvl="0">
      <w:lvlJc w:val="left"/>
      <w:lvlText w:val="•"/>
      <w:numFmt w:val="bullet"/>
      <w:start w:val="1"/>
    </w:lvl>
  </w:abstractNum>
  <w:abstractNum w:abstractNumId="69">
    <w:nsid w:val="56438D15"/>
    <w:multiLevelType w:val="hybridMultilevel"/>
    <w:lvl w:ilvl="0">
      <w:lvlJc w:val="left"/>
      <w:lvlText w:val="•"/>
      <w:numFmt w:val="bullet"/>
      <w:start w:val="1"/>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1)"/>
      <w:numFmt w:val="decimal"/>
      <w:start w:val="1"/>
    </w:lvl>
  </w:abstractNum>
  <w:abstractNum w:abstractNumId="72">
    <w:nsid w:val="17A1B582"/>
    <w:multiLevelType w:val="hybridMultilevel"/>
    <w:lvl w:ilvl="0">
      <w:lvlJc w:val="left"/>
      <w:lvlText w:val="(%1)"/>
      <w:numFmt w:val="decimal"/>
      <w:start w:val="1"/>
    </w:lvl>
  </w:abstractNum>
  <w:abstractNum w:abstractNumId="73">
    <w:nsid w:val="4DF72E4E"/>
    <w:multiLevelType w:val="hybridMultilevel"/>
    <w:lvl w:ilvl="0">
      <w:lvlJc w:val="left"/>
      <w:lvlText w:val="•"/>
      <w:numFmt w:val="bullet"/>
      <w:start w:val="1"/>
    </w:lvl>
  </w:abstractNum>
  <w:abstractNum w:abstractNumId="74">
    <w:nsid w:val="5046B5A9"/>
    <w:multiLevelType w:val="hybridMultilevel"/>
    <w:lvl w:ilvl="0">
      <w:lvlJc w:val="left"/>
      <w:lvlText w:val="•"/>
      <w:numFmt w:val="bullet"/>
      <w:start w:val="1"/>
    </w:lvl>
  </w:abstractNum>
  <w:abstractNum w:abstractNumId="75">
    <w:nsid w:val="5D888A08"/>
    <w:multiLevelType w:val="hybridMultilevel"/>
    <w:lvl w:ilvl="0">
      <w:lvlJc w:val="left"/>
      <w:lvlText w:val="•"/>
      <w:numFmt w:val="bullet"/>
      <w:start w:val="1"/>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lowerLetter"/>
      <w:start w:val="3"/>
    </w:lvl>
    <w:lvl w:ilvl="1">
      <w:lvlJc w:val="left"/>
      <w:lvlText w:val="(%2)"/>
      <w:numFmt w:val="decimal"/>
      <w:start w:val="1"/>
    </w:lvl>
  </w:abstractNum>
  <w:abstractNum w:abstractNumId="78">
    <w:nsid w:val="19E21BB2"/>
    <w:multiLevelType w:val="hybridMultilevel"/>
    <w:lvl w:ilvl="0">
      <w:lvlJc w:val="left"/>
      <w:lvlText w:val="(%1)"/>
      <w:numFmt w:val="lowerLetter"/>
      <w:start w:val="4"/>
    </w:lvl>
  </w:abstractNum>
  <w:abstractNum w:abstractNumId="79">
    <w:nsid w:val="75E0858A"/>
    <w:multiLevelType w:val="hybridMultilevel"/>
    <w:lvl w:ilvl="0">
      <w:lvlJc w:val="left"/>
      <w:lvlText w:val="(%1)"/>
      <w:numFmt w:val="lowerLetter"/>
      <w:start w:val="6"/>
    </w:lvl>
  </w:abstractNum>
  <w:abstractNum w:abstractNumId="80">
    <w:nsid w:val="57A61A29"/>
    <w:multiLevelType w:val="hybridMultilevel"/>
    <w:lvl w:ilvl="0">
      <w:lvlJc w:val="left"/>
      <w:lvlText w:val="(%1)"/>
      <w:numFmt w:val="lowerLetter"/>
      <w:start w:val="7"/>
    </w:lvl>
  </w:abstractNum>
  <w:abstractNum w:abstractNumId="81">
    <w:nsid w:val="5399C654"/>
    <w:multiLevelType w:val="hybridMultilevel"/>
    <w:lvl w:ilvl="0">
      <w:lvlJc w:val="left"/>
      <w:lvlText w:val="(%1)"/>
      <w:numFmt w:val="decimal"/>
      <w:start w:val="1"/>
    </w:lvl>
  </w:abstractNum>
  <w:abstractNum w:abstractNumId="82">
    <w:nsid w:val="20EE1348"/>
    <w:multiLevelType w:val="hybridMultilevel"/>
    <w:lvl w:ilvl="0">
      <w:lvlJc w:val="left"/>
      <w:lvlText w:val="(%1)"/>
      <w:numFmt w:val="lowerLetter"/>
      <w:start w:val="10"/>
    </w:lvl>
  </w:abstractNum>
  <w:abstractNum w:abstractNumId="83">
    <w:nsid w:val="4427069A"/>
    <w:multiLevelType w:val="hybridMultilevel"/>
    <w:lvl w:ilvl="0">
      <w:lvlJc w:val="left"/>
      <w:lvlText w:val="(%1)"/>
      <w:numFmt w:val="lowerLetter"/>
      <w:start w:val="11"/>
    </w:lvl>
  </w:abstractNum>
  <w:abstractNum w:abstractNumId="84">
    <w:nsid w:val="B37E80A"/>
    <w:multiLevelType w:val="hybridMultilevel"/>
    <w:lvl w:ilvl="0">
      <w:lvlJc w:val="left"/>
      <w:lvlText w:val="(%1)"/>
      <w:numFmt w:val="lowerLetter"/>
      <w:start w:val="12"/>
    </w:lvl>
  </w:abstractNum>
  <w:abstractNum w:abstractNumId="85">
    <w:nsid w:val="2157F6BC"/>
    <w:multiLevelType w:val="hybridMultilevel"/>
    <w:lvl w:ilvl="0">
      <w:lvlJc w:val="left"/>
      <w:lvlText w:val="(%1)"/>
      <w:numFmt w:val="decimal"/>
      <w:start w:val="2"/>
    </w:lvl>
  </w:abstractNum>
  <w:abstractNum w:abstractNumId="86">
    <w:nsid w:val="704E1DD5"/>
    <w:multiLevelType w:val="hybridMultilevel"/>
    <w:lvl w:ilvl="0">
      <w:lvlJc w:val="left"/>
      <w:lvlText w:val="(%1)"/>
      <w:numFmt w:val="lowerLetter"/>
      <w:start w:val="1"/>
    </w:lvl>
  </w:abstractNum>
  <w:abstractNum w:abstractNumId="87">
    <w:nsid w:val="57D2F10E"/>
    <w:multiLevelType w:val="hybridMultilevel"/>
    <w:lvl w:ilvl="0">
      <w:lvlJc w:val="left"/>
      <w:lvlText w:val="(%1)"/>
      <w:numFmt w:val="lowerLetter"/>
      <w:start w:val="1"/>
    </w:lvl>
  </w:abstractNum>
  <w:abstractNum w:abstractNumId="88">
    <w:nsid w:val="BFFAE18"/>
    <w:multiLevelType w:val="hybridMultilevel"/>
    <w:lvl w:ilvl="0">
      <w:lvlJc w:val="left"/>
      <w:lvlText w:val="(%1)"/>
      <w:numFmt w:val="lowerLetter"/>
      <w:start w:val="1"/>
    </w:lvl>
  </w:abstractNum>
  <w:abstractNum w:abstractNumId="89">
    <w:nsid w:val="E3E47A8"/>
    <w:multiLevelType w:val="hybridMultilevel"/>
    <w:lvl w:ilvl="0">
      <w:lvlJc w:val="left"/>
      <w:lvlText w:val="\endash "/>
      <w:numFmt w:val="bullet"/>
      <w:start w:val="1"/>
    </w:lvl>
  </w:abstractNum>
  <w:abstractNum w:abstractNumId="90">
    <w:nsid w:val="2E48F044"/>
    <w:multiLevelType w:val="hybridMultilevel"/>
    <w:lvl w:ilvl="0">
      <w:lvlJc w:val="left"/>
      <w:lvlText w:val="•"/>
      <w:numFmt w:val="bullet"/>
      <w:start w:val="1"/>
    </w:lvl>
  </w:abstractNum>
  <w:abstractNum w:abstractNumId="91">
    <w:nsid w:val="49D0FEAC"/>
    <w:multiLevelType w:val="hybridMultilevel"/>
    <w:lvl w:ilvl="0">
      <w:lvlJc w:val="left"/>
      <w:lvlText w:val="•"/>
      <w:numFmt w:val="bullet"/>
      <w:start w:val="1"/>
    </w:lvl>
  </w:abstractNum>
  <w:abstractNum w:abstractNumId="92">
    <w:nsid w:val="4BEE5A5B"/>
    <w:multiLevelType w:val="hybridMultilevel"/>
    <w:lvl w:ilvl="0">
      <w:lvlJc w:val="left"/>
      <w:lvlText w:val="•"/>
      <w:numFmt w:val="bullet"/>
      <w:start w:val="1"/>
    </w:lvl>
  </w:abstractNum>
  <w:abstractNum w:abstractNumId="93">
    <w:nsid w:val="5551B9F3"/>
    <w:multiLevelType w:val="hybridMultilevel"/>
    <w:lvl w:ilvl="0">
      <w:lvlJc w:val="left"/>
      <w:lvlText w:val="(%1)"/>
      <w:numFmt w:val="lowerLetter"/>
      <w:start w:val="1"/>
    </w:lvl>
  </w:abstractNum>
  <w:abstractNum w:abstractNumId="94">
    <w:nsid w:val="24F6AB8E"/>
    <w:multiLevelType w:val="hybridMultilevel"/>
    <w:lvl w:ilvl="0">
      <w:lvlJc w:val="left"/>
      <w:lvlText w:val="(%1)"/>
      <w:numFmt w:val="lowerLetter"/>
      <w:start w:val="1"/>
    </w:lvl>
  </w:abstractNum>
  <w:abstractNum w:abstractNumId="95">
    <w:nsid w:val="634C574C"/>
    <w:multiLevelType w:val="hybridMultilevel"/>
    <w:lvl w:ilvl="0">
      <w:lvlJc w:val="left"/>
      <w:lvlText w:val="(%1)"/>
      <w:numFmt w:val="lowerLetter"/>
      <w:start w:val="4"/>
    </w:lvl>
  </w:abstractNum>
  <w:abstractNum w:abstractNumId="96">
    <w:nsid w:val="24E99DD7"/>
    <w:multiLevelType w:val="hybridMultilevel"/>
    <w:lvl w:ilvl="0">
      <w:lvlJc w:val="left"/>
      <w:lvlText w:val="(%1)"/>
      <w:numFmt w:val="decimal"/>
      <w:start w:val="1"/>
    </w:lvl>
  </w:abstractNum>
  <w:abstractNum w:abstractNumId="97">
    <w:nsid w:val="2A31B62D"/>
    <w:multiLevelType w:val="hybridMultilevel"/>
    <w:lvl w:ilvl="0">
      <w:lvlJc w:val="left"/>
      <w:lvlText w:val="•"/>
      <w:numFmt w:val="bullet"/>
      <w:start w:val="1"/>
    </w:lvl>
  </w:abstractNum>
  <w:abstractNum w:abstractNumId="98">
    <w:nsid w:val="1849C29B"/>
    <w:multiLevelType w:val="hybridMultilevel"/>
    <w:lvl w:ilvl="0">
      <w:lvlJc w:val="left"/>
      <w:lvlText w:val="•"/>
      <w:numFmt w:val="bullet"/>
      <w:start w:val="1"/>
    </w:lvl>
  </w:abstractNum>
  <w:abstractNum w:abstractNumId="99">
    <w:nsid w:val="7DFF9D09"/>
    <w:multiLevelType w:val="hybridMultilevel"/>
    <w:lvl w:ilvl="0">
      <w:lvlJc w:val="left"/>
      <w:lvlText w:val="•"/>
      <w:numFmt w:val="bullet"/>
      <w:start w:val="1"/>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decimal"/>
      <w:start w:val="1"/>
    </w:lvl>
  </w:abstractNum>
  <w:abstractNum w:abstractNumId="102">
    <w:nsid w:val="2A6DE806"/>
    <w:multiLevelType w:val="hybridMultilevel"/>
    <w:lvl w:ilvl="0">
      <w:lvlJc w:val="left"/>
      <w:lvlText w:val="•"/>
      <w:numFmt w:val="bullet"/>
      <w:start w:val="1"/>
    </w:lvl>
  </w:abstractNum>
  <w:abstractNum w:abstractNumId="103">
    <w:nsid w:val="1816F8C4"/>
    <w:multiLevelType w:val="hybridMultilevel"/>
    <w:lvl w:ilvl="0">
      <w:lvlJc w:val="left"/>
      <w:lvlText w:val="%1)"/>
      <w:numFmt w:val="decimal"/>
      <w:start w:val="1"/>
    </w:lvl>
  </w:abstractNum>
  <w:abstractNum w:abstractNumId="104">
    <w:nsid w:val="37DF2233"/>
    <w:multiLevelType w:val="hybridMultilevel"/>
    <w:lvl w:ilvl="0">
      <w:lvlJc w:val="left"/>
      <w:lvlText w:val="%1)"/>
      <w:numFmt w:val="decimal"/>
      <w:start w:val="2"/>
    </w:lvl>
  </w:abstractNum>
  <w:abstractNum w:abstractNumId="105">
    <w:nsid w:val="7AB49DAF"/>
    <w:multiLevelType w:val="hybridMultilevel"/>
    <w:lvl w:ilvl="0">
      <w:lvlJc w:val="left"/>
      <w:lvlText w:val="•"/>
      <w:numFmt w:val="bullet"/>
      <w:start w:val="1"/>
    </w:lvl>
  </w:abstractNum>
  <w:abstractNum w:abstractNumId="106">
    <w:nsid w:val="759F82CD"/>
    <w:multiLevelType w:val="hybridMultilevel"/>
    <w:lvl w:ilvl="0">
      <w:lvlJc w:val="left"/>
      <w:lvlText w:val="•"/>
      <w:numFmt w:val="bullet"/>
      <w:start w:val="1"/>
    </w:lvl>
  </w:abstractNum>
  <w:abstractNum w:abstractNumId="107">
    <w:nsid w:val="61E74EA3"/>
    <w:multiLevelType w:val="hybridMultilevel"/>
    <w:lvl w:ilvl="0">
      <w:lvlJc w:val="left"/>
      <w:lvlText w:val="•"/>
      <w:numFmt w:val="bullet"/>
      <w:start w:val="1"/>
    </w:lvl>
  </w:abstractNum>
  <w:abstractNum w:abstractNumId="108">
    <w:nsid w:val="597B4D84"/>
    <w:multiLevelType w:val="hybridMultilevel"/>
    <w:lvl w:ilvl="0">
      <w:lvlJc w:val="left"/>
      <w:lvlText w:val="•"/>
      <w:numFmt w:val="bullet"/>
      <w:start w:val="1"/>
    </w:lvl>
  </w:abstractNum>
  <w:abstractNum w:abstractNumId="109">
    <w:nsid w:val="F819E7F"/>
    <w:multiLevelType w:val="hybridMultilevel"/>
    <w:lvl w:ilvl="0">
      <w:lvlJc w:val="left"/>
      <w:lvlText w:val="•"/>
      <w:numFmt w:val="bullet"/>
      <w:start w:val="1"/>
    </w:lvl>
  </w:abstractNum>
  <w:abstractNum w:abstractNumId="110">
    <w:nsid w:val="57C7D42D"/>
    <w:multiLevelType w:val="hybridMultilevel"/>
    <w:lvl w:ilvl="0">
      <w:lvlJc w:val="left"/>
      <w:lvlText w:val="•"/>
      <w:numFmt w:val="bullet"/>
      <w:start w:val="1"/>
    </w:lvl>
  </w:abstractNum>
  <w:abstractNum w:abstractNumId="111">
    <w:nsid w:val="312167AD"/>
    <w:multiLevelType w:val="hybridMultilevel"/>
    <w:lvl w:ilvl="0">
      <w:lvlJc w:val="left"/>
      <w:lvlText w:val="•"/>
      <w:numFmt w:val="bullet"/>
      <w:start w:val="1"/>
    </w:lvl>
  </w:abstractNum>
  <w:abstractNum w:abstractNumId="112">
    <w:nsid w:val="631B64D4"/>
    <w:multiLevelType w:val="hybridMultilevel"/>
    <w:lvl w:ilvl="0">
      <w:lvlJc w:val="left"/>
      <w:lvlText w:val="•"/>
      <w:numFmt w:val="bullet"/>
      <w:start w:val="1"/>
    </w:lvl>
  </w:abstractNum>
  <w:abstractNum w:abstractNumId="113">
    <w:nsid w:val="78B5E776"/>
    <w:multiLevelType w:val="hybridMultilevel"/>
    <w:lvl w:ilvl="0">
      <w:lvlJc w:val="left"/>
      <w:lvlText w:val="•"/>
      <w:numFmt w:val="bullet"/>
      <w:start w:val="1"/>
    </w:lvl>
  </w:abstractNum>
  <w:abstractNum w:abstractNumId="114">
    <w:nsid w:val="75486E47"/>
    <w:multiLevelType w:val="hybridMultilevel"/>
    <w:lvl w:ilvl="0">
      <w:lvlJc w:val="left"/>
      <w:lvlText w:val="•"/>
      <w:numFmt w:val="bullet"/>
      <w:start w:val="1"/>
    </w:lvl>
  </w:abstractNum>
  <w:abstractNum w:abstractNumId="115">
    <w:nsid w:val="6E534CDE"/>
    <w:multiLevelType w:val="hybridMultilevel"/>
    <w:lvl w:ilvl="0">
      <w:lvlJc w:val="left"/>
      <w:lvlText w:val="•"/>
      <w:numFmt w:val="bullet"/>
      <w:start w:val="1"/>
    </w:lvl>
  </w:abstractNum>
  <w:abstractNum w:abstractNumId="116">
    <w:nsid w:val="1A0DDE32"/>
    <w:multiLevelType w:val="hybridMultilevel"/>
    <w:lvl w:ilvl="0">
      <w:lvlJc w:val="left"/>
      <w:lvlText w:val="•"/>
      <w:numFmt w:val="bullet"/>
      <w:start w:val="1"/>
    </w:lvl>
  </w:abstractNum>
  <w:abstractNum w:abstractNumId="117">
    <w:nsid w:val="65968C1C"/>
    <w:multiLevelType w:val="hybridMultilevel"/>
    <w:lvl w:ilvl="0">
      <w:lvlJc w:val="left"/>
      <w:lvlText w:val="•"/>
      <w:numFmt w:val="bullet"/>
      <w:start w:val="1"/>
    </w:lvl>
  </w:abstractNum>
  <w:abstractNum w:abstractNumId="118">
    <w:nsid w:val="46263DEC"/>
    <w:multiLevelType w:val="hybridMultilevel"/>
    <w:lvl w:ilvl="0">
      <w:lvlJc w:val="left"/>
      <w:lvlText w:val="•"/>
      <w:numFmt w:val="bullet"/>
      <w:start w:val="1"/>
    </w:lvl>
  </w:abstractNum>
  <w:abstractNum w:abstractNumId="119">
    <w:nsid w:val="260D8C4A"/>
    <w:multiLevelType w:val="hybridMultilevel"/>
    <w:lvl w:ilvl="0">
      <w:lvlJc w:val="left"/>
      <w:lvlText w:val="•"/>
      <w:numFmt w:val="bullet"/>
      <w:start w:val="1"/>
    </w:lvl>
  </w:abstractNum>
  <w:abstractNum w:abstractNumId="120">
    <w:nsid w:val="73D4D3C4"/>
    <w:multiLevelType w:val="hybridMultilevel"/>
    <w:lvl w:ilvl="0">
      <w:lvlJc w:val="left"/>
      <w:lvlText w:val="•"/>
      <w:numFmt w:val="bullet"/>
      <w:start w:val="1"/>
    </w:lvl>
  </w:abstractNum>
  <w:abstractNum w:abstractNumId="121">
    <w:nsid w:val="746F2E30"/>
    <w:multiLevelType w:val="hybridMultilevel"/>
    <w:lvl w:ilvl="0">
      <w:lvlJc w:val="left"/>
      <w:lvlText w:val="•"/>
      <w:numFmt w:val="bullet"/>
      <w:start w:val="1"/>
    </w:lvl>
  </w:abstractNum>
  <w:abstractNum w:abstractNumId="122">
    <w:nsid w:val="6FDE8AF6"/>
    <w:multiLevelType w:val="hybridMultilevel"/>
    <w:lvl w:ilvl="0">
      <w:lvlJc w:val="left"/>
      <w:lvlText w:val="•"/>
      <w:numFmt w:val="bullet"/>
      <w:start w:val="1"/>
    </w:lvl>
  </w:abstractNum>
  <w:abstractNum w:abstractNumId="123">
    <w:nsid w:val="3FC32E20"/>
    <w:multiLevelType w:val="hybridMultilevel"/>
    <w:lvl w:ilvl="0">
      <w:lvlJc w:val="left"/>
      <w:lvlText w:val="•"/>
      <w:numFmt w:val="bullet"/>
      <w:start w:val="1"/>
    </w:lvl>
  </w:abstractNum>
  <w:abstractNum w:abstractNumId="124">
    <w:nsid w:val="49C0E823"/>
    <w:multiLevelType w:val="hybridMultilevel"/>
    <w:lvl w:ilvl="0">
      <w:lvlJc w:val="left"/>
      <w:lvlText w:val="•"/>
      <w:numFmt w:val="bullet"/>
      <w:start w:val="1"/>
    </w:lvl>
  </w:abstractNum>
  <w:abstractNum w:abstractNumId="125">
    <w:nsid w:val="14D53685"/>
    <w:multiLevelType w:val="hybridMultilevel"/>
    <w:lvl w:ilvl="0">
      <w:lvlJc w:val="left"/>
      <w:lvlText w:val="•"/>
      <w:numFmt w:val="bullet"/>
      <w:start w:val="1"/>
    </w:lvl>
  </w:abstractNum>
  <w:abstractNum w:abstractNumId="126">
    <w:nsid w:val="230F856C"/>
    <w:multiLevelType w:val="hybridMultilevel"/>
    <w:lvl w:ilvl="0">
      <w:lvlJc w:val="left"/>
      <w:lvlText w:val="•"/>
      <w:numFmt w:val="bullet"/>
      <w:start w:val="1"/>
    </w:lvl>
  </w:abstractNum>
  <w:abstractNum w:abstractNumId="127">
    <w:nsid w:val="6EAA85FB"/>
    <w:multiLevelType w:val="hybridMultilevel"/>
    <w:lvl w:ilvl="0">
      <w:lvlJc w:val="left"/>
      <w:lvlText w:val="•"/>
      <w:numFmt w:val="bullet"/>
      <w:start w:val="1"/>
    </w:lvl>
  </w:abstractNum>
  <w:abstractNum w:abstractNumId="128">
    <w:nsid w:val="3F06ECB2"/>
    <w:multiLevelType w:val="hybridMultilevel"/>
    <w:lvl w:ilvl="0">
      <w:lvlJc w:val="left"/>
      <w:lvlText w:val="•"/>
      <w:numFmt w:val="bullet"/>
      <w:start w:val="1"/>
    </w:lvl>
  </w:abstractNum>
  <w:abstractNum w:abstractNumId="129">
    <w:nsid w:val="3B594807"/>
    <w:multiLevelType w:val="hybridMultilevel"/>
    <w:lvl w:ilvl="0">
      <w:lvlJc w:val="left"/>
      <w:lvlText w:val="•"/>
      <w:numFmt w:val="bullet"/>
      <w:start w:val="1"/>
    </w:lvl>
  </w:abstractNum>
  <w:abstractNum w:abstractNumId="130">
    <w:nsid w:val="6CAA2304"/>
    <w:multiLevelType w:val="hybridMultilevel"/>
    <w:lvl w:ilvl="0">
      <w:lvlJc w:val="left"/>
      <w:lvlText w:val="•"/>
      <w:numFmt w:val="bullet"/>
      <w:start w:val="1"/>
    </w:lvl>
  </w:abstractNum>
  <w:abstractNum w:abstractNumId="131">
    <w:nsid w:val="3F7C2FF4"/>
    <w:multiLevelType w:val="hybridMultilevel"/>
    <w:lvl w:ilvl="0">
      <w:lvlJc w:val="left"/>
      <w:lvlText w:val="•"/>
      <w:numFmt w:val="bullet"/>
      <w:start w:val="1"/>
    </w:lvl>
  </w:abstractNum>
  <w:abstractNum w:abstractNumId="132">
    <w:nsid w:val="25413BEC"/>
    <w:multiLevelType w:val="hybridMultilevel"/>
    <w:lvl w:ilvl="0">
      <w:lvlJc w:val="left"/>
      <w:lvlText w:val="•"/>
      <w:numFmt w:val="bullet"/>
      <w:start w:val="1"/>
    </w:lvl>
  </w:abstractNum>
  <w:abstractNum w:abstractNumId="133">
    <w:nsid w:val="17180B0B"/>
    <w:multiLevelType w:val="hybridMultilevel"/>
    <w:lvl w:ilvl="0">
      <w:lvlJc w:val="left"/>
      <w:lvlText w:val="•"/>
      <w:numFmt w:val="bullet"/>
      <w:start w:val="1"/>
    </w:lvl>
  </w:abstractNum>
  <w:abstractNum w:abstractNumId="134">
    <w:nsid w:val="579328B9"/>
    <w:multiLevelType w:val="hybridMultilevel"/>
    <w:lvl w:ilvl="0">
      <w:lvlJc w:val="left"/>
      <w:lvlText w:val="•"/>
      <w:numFmt w:val="bullet"/>
      <w:start w:val="1"/>
    </w:lvl>
  </w:abstractNum>
  <w:abstractNum w:abstractNumId="135">
    <w:nsid w:val="5D205E20"/>
    <w:multiLevelType w:val="hybridMultilevel"/>
    <w:lvl w:ilvl="0">
      <w:lvlJc w:val="left"/>
      <w:lvlText w:val="•"/>
      <w:numFmt w:val="bullet"/>
      <w:start w:val="1"/>
    </w:lvl>
  </w:abstractNum>
  <w:abstractNum w:abstractNumId="136">
    <w:nsid w:val="11CCA8BA"/>
    <w:multiLevelType w:val="hybridMultilevel"/>
    <w:lvl w:ilvl="0">
      <w:lvlJc w:val="left"/>
      <w:lvlText w:val="•"/>
      <w:numFmt w:val="bullet"/>
      <w:start w:val="1"/>
    </w:lvl>
  </w:abstractNum>
  <w:abstractNum w:abstractNumId="137">
    <w:nsid w:val="4D32AB86"/>
    <w:multiLevelType w:val="hybridMultilevel"/>
    <w:lvl w:ilvl="0">
      <w:lvlJc w:val="left"/>
      <w:lvlText w:val="•"/>
      <w:numFmt w:val="bullet"/>
      <w:start w:val="1"/>
    </w:lvl>
  </w:abstractNum>
  <w:abstractNum w:abstractNumId="138">
    <w:nsid w:val="3F07ACC3"/>
    <w:multiLevelType w:val="hybridMultilevel"/>
    <w:lvl w:ilvl="0">
      <w:lvlJc w:val="left"/>
      <w:lvlText w:val="(%1)"/>
      <w:numFmt w:val="decimal"/>
      <w:start w:val="1"/>
    </w:lvl>
  </w:abstractNum>
  <w:abstractNum w:abstractNumId="139">
    <w:nsid w:val="6B47F63E"/>
    <w:multiLevelType w:val="hybridMultilevel"/>
    <w:lvl w:ilvl="0">
      <w:lvlJc w:val="left"/>
      <w:lvlText w:val="(%1)"/>
      <w:numFmt w:val="decimal"/>
      <w:start w:val="1"/>
    </w:lvl>
  </w:abstractNum>
  <w:abstractNum w:abstractNumId="140">
    <w:nsid w:val="5CB44A05"/>
    <w:multiLevelType w:val="hybridMultilevel"/>
    <w:lvl w:ilvl="0">
      <w:lvlJc w:val="left"/>
      <w:lvlText w:val="(%1)"/>
      <w:numFmt w:val="upperLetter"/>
      <w:start w:val="2"/>
    </w:lvl>
  </w:abstractNum>
  <w:abstractNum w:abstractNumId="141">
    <w:nsid w:val="16CF80F1"/>
    <w:multiLevelType w:val="hybridMultilevel"/>
    <w:lvl w:ilvl="0">
      <w:lvlJc w:val="left"/>
      <w:lvlText w:val="(%1)"/>
      <w:numFmt w:val="lowerRoman"/>
      <w:start w:val="2"/>
    </w:lvl>
  </w:abstractNum>
  <w:abstractNum w:abstractNumId="142">
    <w:nsid w:val="1C695DEC"/>
    <w:multiLevelType w:val="hybridMultilevel"/>
    <w:lvl w:ilvl="0">
      <w:lvlJc w:val="left"/>
      <w:lvlText w:val="•"/>
      <w:numFmt w:val="bullet"/>
      <w:start w:val="1"/>
    </w:lvl>
  </w:abstractNum>
  <w:abstractNum w:abstractNumId="143">
    <w:nsid w:val="3FCFAED9"/>
    <w:multiLevelType w:val="hybridMultilevel"/>
    <w:lvl w:ilvl="0">
      <w:lvlJc w:val="left"/>
      <w:lvlText w:val="•"/>
      <w:numFmt w:val="bullet"/>
      <w:start w:val="1"/>
    </w:lvl>
  </w:abstractNum>
  <w:abstractNum w:abstractNumId="144">
    <w:nsid w:val="F856867"/>
    <w:multiLevelType w:val="hybridMultilevel"/>
    <w:lvl w:ilvl="0">
      <w:lvlJc w:val="left"/>
      <w:lvlText w:val="(%1)"/>
      <w:numFmt w:val="lowerRoman"/>
      <w:start w:val="5"/>
    </w:lvl>
  </w:abstractNum>
  <w:abstractNum w:abstractNumId="145">
    <w:nsid w:val="11B1CC33"/>
    <w:multiLevelType w:val="hybridMultilevel"/>
    <w:lvl w:ilvl="0">
      <w:lvlJc w:val="left"/>
      <w:lvlText w:val="*"/>
      <w:numFmt w:val="bullet"/>
      <w:start w:val="1"/>
    </w:lvl>
  </w:abstractNum>
  <w:abstractNum w:abstractNumId="146">
    <w:nsid w:val="2E22FBB7"/>
    <w:multiLevelType w:val="hybridMultilevel"/>
    <w:lvl w:ilvl="0">
      <w:lvlJc w:val="left"/>
      <w:lvlText w:val="(%1)"/>
      <w:numFmt w:val="decimal"/>
      <w:start w:val="1"/>
    </w:lvl>
  </w:abstractNum>
  <w:abstractNum w:abstractNumId="147">
    <w:nsid w:val="29934699"/>
    <w:multiLevelType w:val="hybridMultilevel"/>
    <w:lvl w:ilvl="0">
      <w:lvlJc w:val="left"/>
      <w:lvlText w:val="(%1)"/>
      <w:numFmt w:val="decimal"/>
      <w:start w:val="8"/>
    </w:lvl>
  </w:abstractNum>
  <w:abstractNum w:abstractNumId="148">
    <w:nsid w:val="77485850"/>
    <w:multiLevelType w:val="hybridMultilevel"/>
    <w:lvl w:ilvl="0">
      <w:lvlJc w:val="left"/>
      <w:lvlText w:val="•"/>
      <w:numFmt w:val="bullet"/>
      <w:start w:val="1"/>
    </w:lvl>
  </w:abstractNum>
  <w:abstractNum w:abstractNumId="149">
    <w:nsid w:val="744939A3"/>
    <w:multiLevelType w:val="hybridMultilevel"/>
    <w:lvl w:ilvl="0">
      <w:lvlJc w:val="left"/>
      <w:lvlText w:val="•"/>
      <w:numFmt w:val="bullet"/>
      <w:start w:val="1"/>
    </w:lvl>
  </w:abstractNum>
  <w:abstractNum w:abstractNumId="150">
    <w:nsid w:val="4FA0D2E3"/>
    <w:multiLevelType w:val="hybridMultilevel"/>
    <w:lvl w:ilvl="0">
      <w:lvlJc w:val="left"/>
      <w:lvlText w:val="•"/>
      <w:numFmt w:val="bullet"/>
      <w:start w:val="1"/>
    </w:lvl>
  </w:abstractNum>
  <w:abstractNum w:abstractNumId="151">
    <w:nsid w:val="6B1D2C14"/>
    <w:multiLevelType w:val="hybridMultilevel"/>
    <w:lvl w:ilvl="0">
      <w:lvlJc w:val="left"/>
      <w:lvlText w:val="•"/>
      <w:numFmt w:val="bullet"/>
      <w:start w:val="1"/>
    </w:lvl>
  </w:abstractNum>
  <w:abstractNum w:abstractNumId="152">
    <w:nsid w:val="68B867D3"/>
    <w:multiLevelType w:val="hybridMultilevel"/>
    <w:lvl w:ilvl="0">
      <w:lvlJc w:val="left"/>
      <w:lvlText w:val="•"/>
      <w:numFmt w:val="bullet"/>
      <w:start w:val="1"/>
    </w:lvl>
  </w:abstractNum>
  <w:abstractNum w:abstractNumId="153">
    <w:nsid w:val="3F7F5DD9"/>
    <w:multiLevelType w:val="hybridMultilevel"/>
    <w:lvl w:ilvl="0">
      <w:lvlJc w:val="left"/>
      <w:lvlText w:val="•"/>
      <w:numFmt w:val="bullet"/>
      <w:start w:val="1"/>
    </w:lvl>
  </w:abstractNum>
  <w:abstractNum w:abstractNumId="154">
    <w:nsid w:val="2AE05A34"/>
    <w:multiLevelType w:val="hybridMultilevel"/>
    <w:lvl w:ilvl="0">
      <w:lvlJc w:val="left"/>
      <w:lvlText w:val="•"/>
      <w:numFmt w:val="bullet"/>
      <w:start w:val="1"/>
    </w:lvl>
  </w:abstractNum>
  <w:abstractNum w:abstractNumId="155">
    <w:nsid w:val="32794FF7"/>
    <w:multiLevelType w:val="hybridMultilevel"/>
    <w:lvl w:ilvl="0">
      <w:lvlJc w:val="left"/>
      <w:lvlText w:val="•"/>
      <w:numFmt w:val="bullet"/>
      <w:start w:val="1"/>
    </w:lvl>
  </w:abstractNum>
  <w:abstractNum w:abstractNumId="156">
    <w:nsid w:val="5454945E"/>
    <w:multiLevelType w:val="hybridMultilevel"/>
    <w:lvl w:ilvl="0">
      <w:lvlJc w:val="left"/>
      <w:lvlText w:val="•"/>
      <w:numFmt w:val="bullet"/>
      <w:start w:val="1"/>
    </w:lvl>
  </w:abstractNum>
  <w:abstractNum w:abstractNumId="157">
    <w:nsid w:val="4DEFDFA0"/>
    <w:multiLevelType w:val="hybridMultilevel"/>
    <w:lvl w:ilvl="0">
      <w:lvlJc w:val="left"/>
      <w:lvlText w:val="•"/>
      <w:numFmt w:val="bullet"/>
      <w:start w:val="1"/>
    </w:lvl>
  </w:abstractNum>
  <w:abstractNum w:abstractNumId="158">
    <w:nsid w:val="2123D5F2"/>
    <w:multiLevelType w:val="hybridMultilevel"/>
    <w:lvl w:ilvl="0">
      <w:lvlJc w:val="left"/>
      <w:lvlText w:val="•"/>
      <w:numFmt w:val="bullet"/>
      <w:start w:val="1"/>
    </w:lvl>
  </w:abstractNum>
  <w:abstractNum w:abstractNumId="159">
    <w:nsid w:val="135B8110"/>
    <w:multiLevelType w:val="hybridMultilevel"/>
    <w:lvl w:ilvl="0">
      <w:lvlJc w:val="left"/>
      <w:lvlText w:val="•"/>
      <w:numFmt w:val="bullet"/>
      <w:start w:val="1"/>
    </w:lvl>
  </w:abstractNum>
  <w:abstractNum w:abstractNumId="160">
    <w:nsid w:val="94927A8"/>
    <w:multiLevelType w:val="hybridMultilevel"/>
    <w:lvl w:ilvl="0">
      <w:lvlJc w:val="left"/>
      <w:lvlText w:val="%1."/>
      <w:numFmt w:val="decimal"/>
      <w:start w:val="144"/>
    </w:lvl>
  </w:abstractNum>
  <w:abstractNum w:abstractNumId="161">
    <w:nsid w:val="DCDF8F6"/>
    <w:multiLevelType w:val="hybridMultilevel"/>
    <w:lvl w:ilvl="0">
      <w:lvlJc w:val="left"/>
      <w:lvlText w:val="•"/>
      <w:numFmt w:val="bullet"/>
      <w:start w:val="1"/>
    </w:lvl>
  </w:abstractNum>
  <w:abstractNum w:abstractNumId="162">
    <w:nsid w:val="52D7B105"/>
    <w:multiLevelType w:val="hybridMultilevel"/>
    <w:lvl w:ilvl="0">
      <w:lvlJc w:val="left"/>
      <w:lvlText w:val="(%1)"/>
      <w:numFmt w:val="lowerLetter"/>
      <w:start w:val="1"/>
    </w:lvl>
  </w:abstractNum>
  <w:abstractNum w:abstractNumId="163">
    <w:nsid w:val="2E8A6394"/>
    <w:multiLevelType w:val="hybridMultilevel"/>
    <w:lvl w:ilvl="0">
      <w:lvlJc w:val="left"/>
      <w:lvlText w:val="(%1)"/>
      <w:numFmt w:val="lowerLetter"/>
      <w:start w:val="1"/>
    </w:lvl>
  </w:abstractNum>
  <w:abstractNum w:abstractNumId="164">
    <w:nsid w:val="24E60401"/>
    <w:multiLevelType w:val="hybridMultilevel"/>
    <w:lvl w:ilvl="0">
      <w:lvlJc w:val="left"/>
      <w:lvlText w:val="(%1)"/>
      <w:numFmt w:val="lowerLetter"/>
      <w:start w:val="2"/>
    </w:lvl>
  </w:abstractNum>
  <w:abstractNum w:abstractNumId="165">
    <w:nsid w:val="2A6AD9BE"/>
    <w:multiLevelType w:val="hybridMultilevel"/>
    <w:lvl w:ilvl="0">
      <w:lvlJc w:val="left"/>
      <w:lvlText w:val="(%1)"/>
      <w:numFmt w:val="lowerLetter"/>
      <w:start w:val="1"/>
    </w:lvl>
  </w:abstractNum>
  <w:abstractNum w:abstractNumId="166">
    <w:nsid w:val="BAAC1B4"/>
    <w:multiLevelType w:val="hybridMultilevel"/>
    <w:lvl w:ilvl="0">
      <w:lvlJc w:val="left"/>
      <w:lvlText w:val="(%1)"/>
      <w:numFmt w:val="decimal"/>
      <w:start w:val="1"/>
    </w:lvl>
  </w:abstractNum>
  <w:abstractNum w:abstractNumId="167">
    <w:nsid w:val="36B2ACBC"/>
    <w:multiLevelType w:val="hybridMultilevel"/>
    <w:lvl w:ilvl="0">
      <w:lvlJc w:val="left"/>
      <w:lvlText w:val="(%1)"/>
      <w:numFmt w:val="decimal"/>
      <w:start w:val="1"/>
    </w:lvl>
  </w:abstractNum>
  <w:abstractNum w:abstractNumId="168">
    <w:nsid w:val="779D8544"/>
    <w:multiLevelType w:val="hybridMultilevel"/>
    <w:lvl w:ilvl="0">
      <w:lvlJc w:val="left"/>
      <w:lvlText w:val="(%1)"/>
      <w:numFmt w:val="decimal"/>
      <w:start w:val="1"/>
    </w:lvl>
  </w:abstractNum>
  <w:abstractNum w:abstractNumId="169">
    <w:nsid w:val="4AB26E78"/>
    <w:multiLevelType w:val="hybridMultilevel"/>
    <w:lvl w:ilvl="0">
      <w:lvlJc w:val="left"/>
      <w:lvlText w:val="(%1)"/>
      <w:numFmt w:val="decimal"/>
      <w:start w:val="1"/>
    </w:lvl>
  </w:abstractNum>
  <w:abstractNum w:abstractNumId="170">
    <w:nsid w:val="21FAA2FA"/>
    <w:multiLevelType w:val="hybridMultilevel"/>
    <w:lvl w:ilvl="0">
      <w:lvlJc w:val="left"/>
      <w:lvlText w:val="•"/>
      <w:numFmt w:val="bullet"/>
      <w:start w:val="1"/>
    </w:lvl>
  </w:abstractNum>
  <w:abstractNum w:abstractNumId="171">
    <w:nsid w:val="5451CF49"/>
    <w:multiLevelType w:val="hybridMultilevel"/>
    <w:lvl w:ilvl="0">
      <w:lvlJc w:val="left"/>
      <w:lvlText w:val="$"/>
      <w:numFmt w:val="bullet"/>
      <w:start w:val="1"/>
    </w:lvl>
  </w:abstractNum>
  <w:abstractNum w:abstractNumId="172">
    <w:nsid w:val="6181EF69"/>
    <w:multiLevelType w:val="hybridMultilevel"/>
    <w:lvl w:ilvl="0">
      <w:lvlJc w:val="left"/>
      <w:lvlText w:val="$"/>
      <w:numFmt w:val="bullet"/>
      <w:start w:val="1"/>
    </w:lvl>
  </w:abstractNum>
  <w:abstractNum w:abstractNumId="173">
    <w:nsid w:val="3E6400E6"/>
    <w:multiLevelType w:val="hybridMultilevel"/>
    <w:lvl w:ilvl="0">
      <w:lvlJc w:val="left"/>
      <w:lvlText w:val="$"/>
      <w:numFmt w:val="bullet"/>
      <w:start w:val="1"/>
    </w:lvl>
  </w:abstractNum>
  <w:abstractNum w:abstractNumId="174">
    <w:nsid w:val="14217E23"/>
    <w:multiLevelType w:val="hybridMultilevel"/>
    <w:lvl w:ilvl="0">
      <w:lvlJc w:val="left"/>
      <w:lvlText w:val="(%1)"/>
      <w:numFmt w:val="decimal"/>
      <w:start w:val="1"/>
    </w:lvl>
  </w:abstractNum>
  <w:abstractNum w:abstractNumId="175">
    <w:nsid w:val="710757D0"/>
    <w:multiLevelType w:val="hybridMultilevel"/>
    <w:lvl w:ilvl="0">
      <w:lvlJc w:val="left"/>
      <w:lvlText w:val="(%1)"/>
      <w:numFmt w:val="decimal"/>
      <w:start w:val="1"/>
    </w:lvl>
  </w:abstractNum>
  <w:abstractNum w:abstractNumId="176">
    <w:nsid w:val="5015CD1A"/>
    <w:multiLevelType w:val="hybridMultilevel"/>
    <w:lvl w:ilvl="0">
      <w:lvlJc w:val="left"/>
      <w:lvlText w:val="(%1)"/>
      <w:numFmt w:val="upperLetter"/>
      <w:start w:val="1"/>
    </w:lvl>
  </w:abstractNum>
  <w:abstractNum w:abstractNumId="177">
    <w:nsid w:val="424479DA"/>
    <w:multiLevelType w:val="hybridMultilevel"/>
    <w:lvl w:ilvl="0">
      <w:lvlJc w:val="left"/>
      <w:lvlText w:val="(%1)"/>
      <w:numFmt w:val="decimal"/>
      <w:start w:val="1"/>
    </w:lvl>
  </w:abstractNum>
  <w:abstractNum w:abstractNumId="178">
    <w:nsid w:val="1A9A9E69"/>
    <w:multiLevelType w:val="hybridMultilevel"/>
    <w:lvl w:ilvl="0">
      <w:lvlJc w:val="left"/>
      <w:lvlText w:val="(%1)"/>
      <w:numFmt w:val="decimal"/>
      <w:start w:val="1"/>
    </w:lvl>
  </w:abstractNum>
  <w:abstractNum w:abstractNumId="179">
    <w:nsid w:val="475E256A"/>
    <w:multiLevelType w:val="hybridMultilevel"/>
    <w:lvl w:ilvl="0">
      <w:lvlJc w:val="left"/>
      <w:lvlText w:val="•"/>
      <w:numFmt w:val="bullet"/>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2020-06-05T15:44:49Z</dcterms:created>
  <dcterms:modified xsi:type="dcterms:W3CDTF">2020-06-05T15:44:49Z</dcterms:modified>
</cp:coreProperties>
</file>