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SCHEDULE 13G</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INFORMATION STATEMENT TO BE INCLUDED IN STATEMENTS FILED PURSUANT TO RULES 13d-1 (b)</w:t>
      </w:r>
    </w:p>
    <w:p>
      <w:pPr>
        <w:spacing w:after="0" w:line="16" w:lineRule="exact"/>
        <w:rPr>
          <w:sz w:val="24"/>
          <w:szCs w:val="24"/>
          <w:color w:val="auto"/>
        </w:rPr>
      </w:pPr>
    </w:p>
    <w:p>
      <w:pPr>
        <w:jc w:val="center"/>
        <w:ind w:left="4720" w:right="2000" w:hanging="2706"/>
        <w:spacing w:after="0" w:line="469" w:lineRule="auto"/>
        <w:tabs>
          <w:tab w:leader="none" w:pos="2278" w:val="left"/>
        </w:tabs>
        <w:numPr>
          <w:ilvl w:val="0"/>
          <w:numId w:val="1"/>
        </w:numPr>
        <w:rPr>
          <w:rFonts w:ascii="Arial" w:cs="Arial" w:eastAsia="Arial" w:hAnsi="Arial"/>
          <w:sz w:val="20"/>
          <w:szCs w:val="20"/>
          <w:color w:val="auto"/>
        </w:rPr>
      </w:pPr>
      <w:r>
        <w:rPr>
          <w:rFonts w:ascii="Arial" w:cs="Arial" w:eastAsia="Arial" w:hAnsi="Arial"/>
          <w:sz w:val="20"/>
          <w:szCs w:val="20"/>
          <w:color w:val="auto"/>
        </w:rPr>
        <w:t>AND (d) AND AMENDMENTS THERETO FILED PURSUANT TO RULE 13d-2 (b)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3911600</wp:posOffset>
            </wp:positionH>
            <wp:positionV relativeFrom="paragraph">
              <wp:posOffset>-166370</wp:posOffset>
            </wp:positionV>
            <wp:extent cx="125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0"/>
          <w:szCs w:val="20"/>
          <w:u w:val="single" w:color="auto"/>
          <w:color w:val="auto"/>
        </w:rPr>
        <w:t>ZoomInfo Technologies Inc.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u w:val="single" w:color="auto"/>
          <w:color w:val="auto"/>
        </w:rPr>
        <w:t>Class A Common Stock</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u w:val="single" w:color="auto"/>
          <w:color w:val="auto"/>
        </w:rPr>
        <w:t>98980F104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-14605</wp:posOffset>
            </wp:positionV>
            <wp:extent cx="1489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971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9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ind w:left="2320" w:hanging="515"/>
        <w:spacing w:after="0"/>
        <w:tabs>
          <w:tab w:leader="none" w:pos="232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229" w:lineRule="exact"/>
        <w:rPr>
          <w:sz w:val="24"/>
          <w:szCs w:val="24"/>
          <w:color w:val="auto"/>
        </w:rPr>
      </w:pPr>
    </w:p>
    <w:p>
      <w:pPr>
        <w:ind w:left="2320" w:hanging="515"/>
        <w:spacing w:after="0"/>
        <w:tabs>
          <w:tab w:leader="none" w:pos="232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Rule 13d-(c)</w:t>
      </w:r>
    </w:p>
    <w:p>
      <w:pPr>
        <w:spacing w:after="0" w:line="229" w:lineRule="exact"/>
        <w:rPr>
          <w:rFonts w:ascii="MS PGothic" w:cs="MS PGothic" w:eastAsia="MS PGothic" w:hAnsi="MS PGothic"/>
          <w:sz w:val="20"/>
          <w:szCs w:val="20"/>
          <w:color w:val="auto"/>
        </w:rPr>
      </w:pPr>
    </w:p>
    <w:p>
      <w:pPr>
        <w:ind w:left="2320" w:hanging="515"/>
        <w:spacing w:after="0"/>
        <w:tabs>
          <w:tab w:leader="none" w:pos="232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Rule 13d-1 (d)</w:t>
      </w:r>
    </w:p>
    <w:p>
      <w:pPr>
        <w:spacing w:after="0" w:line="394" w:lineRule="exact"/>
        <w:rPr>
          <w:sz w:val="24"/>
          <w:szCs w:val="24"/>
          <w:color w:val="auto"/>
        </w:rPr>
      </w:pPr>
    </w:p>
    <w:p>
      <w:pPr>
        <w:jc w:val="both"/>
        <w:ind w:firstLine="898"/>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9" w:lineRule="exact"/>
        <w:rPr>
          <w:sz w:val="24"/>
          <w:szCs w:val="24"/>
          <w:color w:val="auto"/>
        </w:rPr>
      </w:pPr>
    </w:p>
    <w:p>
      <w:pPr>
        <w:jc w:val="both"/>
        <w:ind w:firstLine="89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2366010"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20"/>
          </w:cols>
          <w:pgMar w:left="320" w:top="334" w:right="319" w:bottom="1440" w:gutter="0" w:footer="0" w:header="0"/>
        </w:sectPr>
      </w:pP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40" w:type="dxa"/>
            <w:vAlign w:val="bottom"/>
            <w:tcBorders>
              <w:top w:val="single" w:sz="8" w:color="auto"/>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1</w:t>
            </w:r>
          </w:p>
        </w:tc>
        <w:tc>
          <w:tcPr>
            <w:tcW w:w="200" w:type="dxa"/>
            <w:vAlign w:val="bottom"/>
            <w:tcBorders>
              <w:top w:val="single" w:sz="8" w:color="auto"/>
              <w:right w:val="single" w:sz="8" w:color="auto"/>
            </w:tcBorders>
          </w:tcPr>
          <w:p>
            <w:pPr>
              <w:spacing w:after="0"/>
              <w:rPr>
                <w:sz w:val="24"/>
                <w:szCs w:val="24"/>
                <w:color w:val="auto"/>
              </w:rPr>
            </w:pPr>
          </w:p>
        </w:tc>
        <w:tc>
          <w:tcPr>
            <w:tcW w:w="78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6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800" w:type="dxa"/>
            <w:vAlign w:val="bottom"/>
            <w:gridSpan w:val="3"/>
            <w:vMerge w:val="restart"/>
          </w:tcPr>
          <w:p>
            <w:pPr>
              <w:ind w:left="80"/>
              <w:spacing w:after="0"/>
              <w:rPr>
                <w:sz w:val="20"/>
                <w:szCs w:val="20"/>
                <w:color w:val="auto"/>
              </w:rPr>
            </w:pPr>
            <w:r>
              <w:rPr>
                <w:rFonts w:ascii="Arial" w:cs="Arial" w:eastAsia="Arial" w:hAnsi="Arial"/>
                <w:sz w:val="18"/>
                <w:szCs w:val="18"/>
                <w:color w:val="auto"/>
              </w:rPr>
              <w:t>ALLIANZ GLOBAL INVESTORS U.S. HOLDINGS LLC</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4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800" w:type="dxa"/>
            <w:vAlign w:val="bottom"/>
            <w:tcBorders>
              <w:bottom w:val="single" w:sz="8" w:color="auto"/>
            </w:tcBorders>
            <w:gridSpan w:val="3"/>
            <w:vMerge w:val="continue"/>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2</w:t>
            </w:r>
          </w:p>
        </w:tc>
        <w:tc>
          <w:tcPr>
            <w:tcW w:w="200" w:type="dxa"/>
            <w:vAlign w:val="bottom"/>
            <w:tcBorders>
              <w:right w:val="single" w:sz="8" w:color="auto"/>
            </w:tcBorders>
          </w:tcPr>
          <w:p>
            <w:pPr>
              <w:spacing w:after="0"/>
              <w:rPr>
                <w:sz w:val="19"/>
                <w:szCs w:val="19"/>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620" w:type="dxa"/>
            <w:vAlign w:val="bottom"/>
            <w:tcBorders>
              <w:right w:val="single" w:sz="8" w:color="auto"/>
            </w:tcBorders>
          </w:tcPr>
          <w:p>
            <w:pPr>
              <w:jc w:val="center"/>
              <w:ind w:right="8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3"/>
        </w:trPr>
        <w:tc>
          <w:tcPr>
            <w:tcW w:w="640" w:type="dxa"/>
            <w:vAlign w:val="bottom"/>
            <w:tcBorders>
              <w:left w:val="single" w:sz="8" w:color="auto"/>
            </w:tcBorders>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20" w:type="dxa"/>
            <w:vAlign w:val="bottom"/>
            <w:tcBorders>
              <w:right w:val="single" w:sz="8" w:color="auto"/>
            </w:tcBorders>
          </w:tcPr>
          <w:p>
            <w:pPr>
              <w:ind w:left="8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3</w:t>
            </w:r>
          </w:p>
        </w:tc>
        <w:tc>
          <w:tcPr>
            <w:tcW w:w="200" w:type="dxa"/>
            <w:vAlign w:val="bottom"/>
            <w:tcBorders>
              <w:right w:val="single" w:sz="8" w:color="auto"/>
            </w:tcBorders>
          </w:tcPr>
          <w:p>
            <w:pPr>
              <w:spacing w:after="0"/>
              <w:rPr>
                <w:sz w:val="22"/>
                <w:szCs w:val="22"/>
                <w:color w:val="auto"/>
              </w:rPr>
            </w:pPr>
          </w:p>
        </w:tc>
        <w:tc>
          <w:tcPr>
            <w:tcW w:w="140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8"/>
                <w:szCs w:val="18"/>
                <w:color w:val="auto"/>
                <w:w w:val="96"/>
              </w:rPr>
              <w:t>SEC USE ONLY</w:t>
            </w:r>
          </w:p>
        </w:tc>
        <w:tc>
          <w:tcPr>
            <w:tcW w:w="900" w:type="dxa"/>
            <w:vAlign w:val="bottom"/>
            <w:tcBorders>
              <w:right w:val="single" w:sz="8" w:color="E5E5E5"/>
            </w:tcBorders>
            <w:shd w:val="clear" w:color="auto" w:fill="E5E5E5"/>
          </w:tcPr>
          <w:p>
            <w:pPr>
              <w:spacing w:after="0"/>
              <w:rPr>
                <w:sz w:val="22"/>
                <w:szCs w:val="22"/>
                <w:color w:val="auto"/>
              </w:rPr>
            </w:pPr>
          </w:p>
        </w:tc>
        <w:tc>
          <w:tcPr>
            <w:tcW w:w="5500" w:type="dxa"/>
            <w:vAlign w:val="bottom"/>
            <w:shd w:val="clear" w:color="auto" w:fill="E5E5E5"/>
          </w:tcPr>
          <w:p>
            <w:pPr>
              <w:spacing w:after="0"/>
              <w:rPr>
                <w:sz w:val="22"/>
                <w:szCs w:val="22"/>
                <w:color w:val="auto"/>
              </w:rPr>
            </w:pPr>
          </w:p>
        </w:tc>
        <w:tc>
          <w:tcPr>
            <w:tcW w:w="2620" w:type="dxa"/>
            <w:vAlign w:val="bottom"/>
            <w:tcBorders>
              <w:right w:val="single" w:sz="8" w:color="auto"/>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tcBorders>
              <w:right w:val="single" w:sz="8" w:color="E5E5E5"/>
            </w:tcBorders>
            <w:shd w:val="clear" w:color="auto" w:fill="E5E5E5"/>
          </w:tcPr>
          <w:p>
            <w:pPr>
              <w:spacing w:after="0"/>
              <w:rPr>
                <w:sz w:val="18"/>
                <w:szCs w:val="18"/>
                <w:color w:val="auto"/>
              </w:rPr>
            </w:pPr>
          </w:p>
        </w:tc>
        <w:tc>
          <w:tcPr>
            <w:tcW w:w="900" w:type="dxa"/>
            <w:vAlign w:val="bottom"/>
            <w:tcBorders>
              <w:right w:val="single" w:sz="8" w:color="E5E5E5"/>
            </w:tcBorders>
            <w:shd w:val="clear" w:color="auto" w:fill="E5E5E5"/>
          </w:tcPr>
          <w:p>
            <w:pPr>
              <w:spacing w:after="0"/>
              <w:rPr>
                <w:sz w:val="18"/>
                <w:szCs w:val="18"/>
                <w:color w:val="auto"/>
              </w:rPr>
            </w:pPr>
          </w:p>
        </w:tc>
        <w:tc>
          <w:tcPr>
            <w:tcW w:w="5500" w:type="dxa"/>
            <w:vAlign w:val="bottom"/>
            <w:shd w:val="clear" w:color="auto" w:fill="E5E5E5"/>
          </w:tcPr>
          <w:p>
            <w:pPr>
              <w:spacing w:after="0"/>
              <w:rPr>
                <w:sz w:val="18"/>
                <w:szCs w:val="18"/>
                <w:color w:val="auto"/>
              </w:rPr>
            </w:pPr>
          </w:p>
        </w:tc>
        <w:tc>
          <w:tcPr>
            <w:tcW w:w="262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E5E5E5"/>
            </w:tcBorders>
            <w:shd w:val="clear" w:color="auto" w:fill="E5E5E5"/>
          </w:tcPr>
          <w:p>
            <w:pPr>
              <w:spacing w:after="0"/>
              <w:rPr>
                <w:sz w:val="14"/>
                <w:szCs w:val="14"/>
                <w:color w:val="auto"/>
              </w:rPr>
            </w:pPr>
          </w:p>
        </w:tc>
        <w:tc>
          <w:tcPr>
            <w:tcW w:w="900" w:type="dxa"/>
            <w:vAlign w:val="bottom"/>
            <w:tcBorders>
              <w:bottom w:val="single" w:sz="8" w:color="auto"/>
              <w:right w:val="single" w:sz="8" w:color="E5E5E5"/>
            </w:tcBorders>
            <w:shd w:val="clear" w:color="auto" w:fill="E5E5E5"/>
          </w:tcPr>
          <w:p>
            <w:pPr>
              <w:spacing w:after="0"/>
              <w:rPr>
                <w:sz w:val="14"/>
                <w:szCs w:val="14"/>
                <w:color w:val="auto"/>
              </w:rPr>
            </w:pPr>
          </w:p>
        </w:tc>
        <w:tc>
          <w:tcPr>
            <w:tcW w:w="5500" w:type="dxa"/>
            <w:vAlign w:val="bottom"/>
            <w:tcBorders>
              <w:bottom w:val="single" w:sz="8" w:color="auto"/>
            </w:tcBorders>
            <w:shd w:val="clear" w:color="auto" w:fill="E5E5E5"/>
          </w:tcPr>
          <w:p>
            <w:pPr>
              <w:spacing w:after="0"/>
              <w:rPr>
                <w:sz w:val="14"/>
                <w:szCs w:val="14"/>
                <w:color w:val="auto"/>
              </w:rPr>
            </w:pPr>
          </w:p>
        </w:tc>
        <w:tc>
          <w:tcPr>
            <w:tcW w:w="2620" w:type="dxa"/>
            <w:vAlign w:val="bottom"/>
            <w:tcBorders>
              <w:bottom w:val="single" w:sz="8" w:color="auto"/>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4</w:t>
            </w:r>
          </w:p>
        </w:tc>
        <w:tc>
          <w:tcPr>
            <w:tcW w:w="200" w:type="dxa"/>
            <w:vAlign w:val="bottom"/>
            <w:tcBorders>
              <w:right w:val="single" w:sz="8" w:color="auto"/>
            </w:tcBorders>
          </w:tcPr>
          <w:p>
            <w:pPr>
              <w:spacing w:after="0"/>
              <w:rPr>
                <w:sz w:val="22"/>
                <w:szCs w:val="22"/>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vMerge w:val="restart"/>
          </w:tcPr>
          <w:p>
            <w:pPr>
              <w:ind w:left="80"/>
              <w:spacing w:after="0"/>
              <w:rPr>
                <w:sz w:val="20"/>
                <w:szCs w:val="20"/>
                <w:color w:val="auto"/>
              </w:rPr>
            </w:pPr>
            <w:r>
              <w:rPr>
                <w:rFonts w:ascii="Arial" w:cs="Arial" w:eastAsia="Arial" w:hAnsi="Arial"/>
                <w:sz w:val="18"/>
                <w:szCs w:val="18"/>
                <w:color w:val="auto"/>
              </w:rPr>
              <w:t>Delaware</w:t>
            </w:r>
          </w:p>
        </w:tc>
        <w:tc>
          <w:tcPr>
            <w:tcW w:w="9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24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18"/>
                <w:szCs w:val="18"/>
                <w:color w:val="auto"/>
              </w:rPr>
              <w:t>NUMBER OF SHARES</w:t>
            </w: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5</w:t>
            </w:r>
          </w:p>
        </w:tc>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SOLE VOTING POWER</w:t>
            </w:r>
          </w:p>
        </w:tc>
        <w:tc>
          <w:tcPr>
            <w:tcW w:w="26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tcBorders>
              <w:left w:val="single" w:sz="8" w:color="auto"/>
            </w:tcBorders>
          </w:tcPr>
          <w:p>
            <w:pPr>
              <w:spacing w:after="0"/>
              <w:rPr>
                <w:sz w:val="7"/>
                <w:szCs w:val="7"/>
                <w:color w:val="auto"/>
              </w:rPr>
            </w:pPr>
          </w:p>
        </w:tc>
        <w:tc>
          <w:tcPr>
            <w:tcW w:w="1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7"/>
                <w:szCs w:val="7"/>
                <w:color w:val="auto"/>
              </w:rPr>
            </w:pPr>
          </w:p>
        </w:tc>
        <w:tc>
          <w:tcPr>
            <w:tcW w:w="5500" w:type="dxa"/>
            <w:vAlign w:val="bottom"/>
            <w:vMerge w:val="continue"/>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40" w:type="dxa"/>
            <w:vAlign w:val="bottom"/>
            <w:tcBorders>
              <w:left w:val="single" w:sz="8" w:color="auto"/>
            </w:tcBorders>
          </w:tcPr>
          <w:p>
            <w:pPr>
              <w:spacing w:after="0"/>
              <w:rPr>
                <w:sz w:val="11"/>
                <w:szCs w:val="11"/>
                <w:color w:val="auto"/>
              </w:rPr>
            </w:pPr>
          </w:p>
        </w:tc>
        <w:tc>
          <w:tcPr>
            <w:tcW w:w="1600" w:type="dxa"/>
            <w:vAlign w:val="bottom"/>
            <w:tcBorders>
              <w:right w:val="single" w:sz="8" w:color="auto"/>
            </w:tcBorders>
            <w:gridSpan w:val="2"/>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550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388"/>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20"/>
                <w:szCs w:val="20"/>
                <w:color w:val="auto"/>
              </w:rPr>
            </w:pPr>
          </w:p>
        </w:tc>
        <w:tc>
          <w:tcPr>
            <w:tcW w:w="550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EACH</w:t>
            </w:r>
          </w:p>
        </w:tc>
        <w:tc>
          <w:tcPr>
            <w:tcW w:w="900" w:type="dxa"/>
            <w:vAlign w:val="bottom"/>
            <w:tcBorders>
              <w:right w:val="single" w:sz="8" w:color="auto"/>
            </w:tcBorders>
            <w:vMerge w:val="restart"/>
          </w:tcPr>
          <w:p>
            <w:pPr>
              <w:jc w:val="right"/>
              <w:ind w:right="140"/>
              <w:spacing w:after="0" w:line="318" w:lineRule="exact"/>
              <w:rPr>
                <w:sz w:val="20"/>
                <w:szCs w:val="20"/>
                <w:color w:val="auto"/>
              </w:rPr>
            </w:pPr>
            <w:r>
              <w:rPr>
                <w:rFonts w:ascii="Arial" w:cs="Arial" w:eastAsia="Arial" w:hAnsi="Arial"/>
                <w:sz w:val="36"/>
                <w:szCs w:val="36"/>
                <w:color w:val="auto"/>
              </w:rPr>
              <w:t>6</w:t>
            </w:r>
          </w:p>
        </w:tc>
        <w:tc>
          <w:tcPr>
            <w:tcW w:w="5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Borders>
              <w:lef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5500" w:type="dxa"/>
            <w:vAlign w:val="bottom"/>
          </w:tcPr>
          <w:p>
            <w:pPr>
              <w:spacing w:after="0"/>
              <w:rPr>
                <w:sz w:val="3"/>
                <w:szCs w:val="3"/>
                <w:color w:val="auto"/>
              </w:rPr>
            </w:pPr>
          </w:p>
        </w:tc>
        <w:tc>
          <w:tcPr>
            <w:tcW w:w="26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jc w:val="center"/>
              <w:ind w:right="388"/>
              <w:spacing w:after="0" w:line="201" w:lineRule="exact"/>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7"/>
                <w:szCs w:val="17"/>
                <w:color w:val="auto"/>
              </w:rPr>
            </w:pPr>
          </w:p>
        </w:tc>
        <w:tc>
          <w:tcPr>
            <w:tcW w:w="550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64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608"/>
              <w:spacing w:after="0"/>
              <w:rPr>
                <w:sz w:val="20"/>
                <w:szCs w:val="20"/>
                <w:color w:val="auto"/>
              </w:rPr>
            </w:pPr>
            <w:r>
              <w:rPr>
                <w:rFonts w:ascii="Arial" w:cs="Arial" w:eastAsia="Arial" w:hAnsi="Arial"/>
                <w:sz w:val="18"/>
                <w:szCs w:val="18"/>
                <w:color w:val="auto"/>
                <w:w w:val="92"/>
              </w:rPr>
              <w:t>PERSON</w:t>
            </w:r>
          </w:p>
        </w:tc>
        <w:tc>
          <w:tcPr>
            <w:tcW w:w="900" w:type="dxa"/>
            <w:vAlign w:val="bottom"/>
            <w:tcBorders>
              <w:bottom w:val="single" w:sz="8" w:color="auto"/>
              <w:right w:val="single" w:sz="8" w:color="auto"/>
            </w:tcBorders>
          </w:tcPr>
          <w:p>
            <w:pPr>
              <w:spacing w:after="0"/>
              <w:rPr>
                <w:sz w:val="10"/>
                <w:szCs w:val="10"/>
                <w:color w:val="auto"/>
              </w:rPr>
            </w:pPr>
          </w:p>
        </w:tc>
        <w:tc>
          <w:tcPr>
            <w:tcW w:w="5500" w:type="dxa"/>
            <w:vAlign w:val="bottom"/>
            <w:tcBorders>
              <w:bottom w:val="single" w:sz="8" w:color="auto"/>
            </w:tcBorders>
            <w:vMerge w:val="continue"/>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64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7</w:t>
            </w:r>
          </w:p>
        </w:tc>
        <w:tc>
          <w:tcPr>
            <w:tcW w:w="55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6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right w:val="single" w:sz="8" w:color="auto"/>
            </w:tcBorders>
          </w:tcPr>
          <w:p>
            <w:pPr>
              <w:jc w:val="center"/>
              <w:ind w:right="608"/>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vMerge w:val="continue"/>
          </w:tcPr>
          <w:p>
            <w:pPr>
              <w:spacing w:after="0"/>
              <w:rPr>
                <w:sz w:val="20"/>
                <w:szCs w:val="20"/>
                <w:color w:val="auto"/>
              </w:rPr>
            </w:pPr>
          </w:p>
        </w:tc>
        <w:tc>
          <w:tcPr>
            <w:tcW w:w="5500" w:type="dxa"/>
            <w:vAlign w:val="bottom"/>
            <w:vMerge w:val="continue"/>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4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550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550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8</w:t>
            </w:r>
          </w:p>
        </w:tc>
        <w:tc>
          <w:tcPr>
            <w:tcW w:w="5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550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6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5500" w:type="dxa"/>
            <w:vAlign w:val="bottom"/>
            <w:tcBorders>
              <w:bottom w:val="single" w:sz="8" w:color="auto"/>
            </w:tcBorders>
            <w:vMerge w:val="continue"/>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9</w:t>
            </w:r>
          </w:p>
        </w:tc>
        <w:tc>
          <w:tcPr>
            <w:tcW w:w="200" w:type="dxa"/>
            <w:vAlign w:val="bottom"/>
            <w:tcBorders>
              <w:right w:val="single" w:sz="8" w:color="auto"/>
            </w:tcBorders>
          </w:tcPr>
          <w:p>
            <w:pPr>
              <w:spacing w:after="0"/>
              <w:rPr>
                <w:sz w:val="24"/>
                <w:szCs w:val="24"/>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vMerge w:val="restart"/>
          </w:tcPr>
          <w:p>
            <w:pPr>
              <w:ind w:left="80"/>
              <w:spacing w:after="0"/>
              <w:rPr>
                <w:sz w:val="20"/>
                <w:szCs w:val="20"/>
                <w:color w:val="auto"/>
              </w:rPr>
            </w:pPr>
            <w:r>
              <w:rPr>
                <w:rFonts w:ascii="Arial" w:cs="Arial" w:eastAsia="Arial" w:hAnsi="Arial"/>
                <w:sz w:val="20"/>
                <w:szCs w:val="20"/>
                <w:color w:val="auto"/>
              </w:rPr>
              <w:t>7,018,200*</w:t>
            </w:r>
          </w:p>
        </w:tc>
        <w:tc>
          <w:tcPr>
            <w:tcW w:w="9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64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4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800" w:type="dxa"/>
            <w:vAlign w:val="bottom"/>
            <w:tcBorders>
              <w:bottom w:val="single" w:sz="8" w:color="auto"/>
            </w:tcBorders>
            <w:gridSpan w:val="3"/>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40" w:type="dxa"/>
            <w:vAlign w:val="bottom"/>
            <w:tcBorders>
              <w:left w:val="single" w:sz="8" w:color="auto"/>
            </w:tcBorders>
          </w:tcPr>
          <w:p>
            <w:pPr>
              <w:jc w:val="center"/>
              <w:ind w:left="70"/>
              <w:spacing w:after="0"/>
              <w:rPr>
                <w:sz w:val="20"/>
                <w:szCs w:val="20"/>
                <w:color w:val="auto"/>
              </w:rPr>
            </w:pPr>
            <w:r>
              <w:rPr>
                <w:rFonts w:ascii="Arial" w:cs="Arial" w:eastAsia="Arial" w:hAnsi="Arial"/>
                <w:sz w:val="36"/>
                <w:szCs w:val="36"/>
                <w:color w:val="auto"/>
                <w:w w:val="89"/>
              </w:rPr>
              <w:t>10</w:t>
            </w:r>
          </w:p>
        </w:tc>
        <w:tc>
          <w:tcPr>
            <w:tcW w:w="200" w:type="dxa"/>
            <w:vAlign w:val="bottom"/>
            <w:tcBorders>
              <w:right w:val="single" w:sz="8" w:color="auto"/>
            </w:tcBorders>
          </w:tcPr>
          <w:p>
            <w:pPr>
              <w:spacing w:after="0"/>
              <w:rPr>
                <w:sz w:val="24"/>
                <w:szCs w:val="24"/>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620" w:type="dxa"/>
            <w:vAlign w:val="bottom"/>
            <w:tcBorders>
              <w:right w:val="single" w:sz="8" w:color="auto"/>
            </w:tcBorders>
          </w:tcPr>
          <w:p>
            <w:pPr>
              <w:jc w:val="center"/>
              <w:ind w:right="79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4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800" w:type="dxa"/>
            <w:vAlign w:val="bottom"/>
            <w:tcBorders>
              <w:bottom w:val="single" w:sz="8" w:color="auto"/>
            </w:tcBorders>
            <w:gridSpan w:val="3"/>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5"/>
        </w:trPr>
        <w:tc>
          <w:tcPr>
            <w:tcW w:w="640" w:type="dxa"/>
            <w:vAlign w:val="bottom"/>
            <w:tcBorders>
              <w:left w:val="single" w:sz="8" w:color="auto"/>
            </w:tcBorders>
          </w:tcPr>
          <w:p>
            <w:pPr>
              <w:jc w:val="center"/>
              <w:ind w:left="70"/>
              <w:spacing w:after="0" w:line="395" w:lineRule="exact"/>
              <w:rPr>
                <w:sz w:val="20"/>
                <w:szCs w:val="20"/>
                <w:color w:val="auto"/>
              </w:rPr>
            </w:pPr>
            <w:r>
              <w:rPr>
                <w:rFonts w:ascii="Arial" w:cs="Arial" w:eastAsia="Arial" w:hAnsi="Arial"/>
                <w:sz w:val="36"/>
                <w:szCs w:val="36"/>
                <w:color w:val="auto"/>
                <w:w w:val="89"/>
              </w:rPr>
              <w:t>11</w:t>
            </w:r>
          </w:p>
        </w:tc>
        <w:tc>
          <w:tcPr>
            <w:tcW w:w="200" w:type="dxa"/>
            <w:vAlign w:val="bottom"/>
            <w:tcBorders>
              <w:right w:val="single" w:sz="8" w:color="auto"/>
            </w:tcBorders>
          </w:tcPr>
          <w:p>
            <w:pPr>
              <w:spacing w:after="0"/>
              <w:rPr>
                <w:sz w:val="24"/>
                <w:szCs w:val="24"/>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8.6%</w:t>
            </w:r>
          </w:p>
        </w:tc>
        <w:tc>
          <w:tcPr>
            <w:tcW w:w="900" w:type="dxa"/>
            <w:vAlign w:val="bottom"/>
            <w:tcBorders>
              <w:bottom w:val="single" w:sz="8" w:color="auto"/>
            </w:tcBorders>
          </w:tcPr>
          <w:p>
            <w:pPr>
              <w:spacing w:after="0"/>
              <w:rPr>
                <w:sz w:val="22"/>
                <w:szCs w:val="22"/>
                <w:color w:val="auto"/>
              </w:rPr>
            </w:pPr>
          </w:p>
        </w:tc>
        <w:tc>
          <w:tcPr>
            <w:tcW w:w="5500" w:type="dxa"/>
            <w:vAlign w:val="bottom"/>
            <w:tcBorders>
              <w:bottom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0"/>
        </w:trPr>
        <w:tc>
          <w:tcPr>
            <w:tcW w:w="640" w:type="dxa"/>
            <w:vAlign w:val="bottom"/>
            <w:tcBorders>
              <w:left w:val="single" w:sz="8" w:color="auto"/>
            </w:tcBorders>
          </w:tcPr>
          <w:p>
            <w:pPr>
              <w:jc w:val="center"/>
              <w:ind w:left="70"/>
              <w:spacing w:after="0" w:line="399" w:lineRule="exact"/>
              <w:rPr>
                <w:sz w:val="20"/>
                <w:szCs w:val="20"/>
                <w:color w:val="auto"/>
              </w:rPr>
            </w:pPr>
            <w:r>
              <w:rPr>
                <w:rFonts w:ascii="Arial" w:cs="Arial" w:eastAsia="Arial" w:hAnsi="Arial"/>
                <w:sz w:val="36"/>
                <w:szCs w:val="36"/>
                <w:color w:val="auto"/>
                <w:w w:val="89"/>
              </w:rPr>
              <w:t>12</w:t>
            </w:r>
          </w:p>
        </w:tc>
        <w:tc>
          <w:tcPr>
            <w:tcW w:w="200" w:type="dxa"/>
            <w:vAlign w:val="bottom"/>
            <w:tcBorders>
              <w:right w:val="single" w:sz="8" w:color="auto"/>
            </w:tcBorders>
          </w:tcPr>
          <w:p>
            <w:pPr>
              <w:spacing w:after="0"/>
              <w:rPr>
                <w:sz w:val="24"/>
                <w:szCs w:val="24"/>
                <w:color w:val="auto"/>
              </w:rPr>
            </w:pPr>
          </w:p>
        </w:tc>
        <w:tc>
          <w:tcPr>
            <w:tcW w:w="780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4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HC, OO</w:t>
            </w:r>
          </w:p>
        </w:tc>
        <w:tc>
          <w:tcPr>
            <w:tcW w:w="900" w:type="dxa"/>
            <w:vAlign w:val="bottom"/>
            <w:tcBorders>
              <w:bottom w:val="single" w:sz="8" w:color="auto"/>
            </w:tcBorders>
          </w:tcPr>
          <w:p>
            <w:pPr>
              <w:spacing w:after="0"/>
              <w:rPr>
                <w:sz w:val="22"/>
                <w:szCs w:val="22"/>
                <w:color w:val="auto"/>
              </w:rPr>
            </w:pPr>
          </w:p>
        </w:tc>
        <w:tc>
          <w:tcPr>
            <w:tcW w:w="5500" w:type="dxa"/>
            <w:vAlign w:val="bottom"/>
            <w:tcBorders>
              <w:bottom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*See Item 4.</w:t>
      </w:r>
    </w:p>
    <w:p>
      <w:pPr>
        <w:sectPr>
          <w:pgSz w:w="11900" w:h="16838" w:orient="portrait"/>
          <w:cols w:equalWidth="0" w:num="1">
            <w:col w:w="11260"/>
          </w:cols>
          <w:pgMar w:left="320" w:top="334" w:right="31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236601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20"/>
          </w:cols>
          <w:pgMar w:left="320" w:top="334" w:right="319" w:bottom="1440" w:gutter="0" w:footer="0" w:header="0"/>
        </w:sectPr>
      </w:pP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40" w:type="dxa"/>
            <w:vAlign w:val="bottom"/>
            <w:tcBorders>
              <w:top w:val="single" w:sz="8" w:color="auto"/>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1</w:t>
            </w:r>
          </w:p>
        </w:tc>
        <w:tc>
          <w:tcPr>
            <w:tcW w:w="200" w:type="dxa"/>
            <w:vAlign w:val="bottom"/>
            <w:tcBorders>
              <w:top w:val="single" w:sz="8" w:color="auto"/>
              <w:right w:val="single" w:sz="8" w:color="auto"/>
            </w:tcBorders>
          </w:tcPr>
          <w:p>
            <w:pPr>
              <w:spacing w:after="0"/>
              <w:rPr>
                <w:sz w:val="24"/>
                <w:szCs w:val="24"/>
                <w:color w:val="auto"/>
              </w:rPr>
            </w:pPr>
          </w:p>
        </w:tc>
        <w:tc>
          <w:tcPr>
            <w:tcW w:w="78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rPr>
              <w:t>NAME OF REPORTING PERSON</w:t>
            </w:r>
          </w:p>
        </w:tc>
        <w:tc>
          <w:tcPr>
            <w:tcW w:w="25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860" w:type="dxa"/>
            <w:vAlign w:val="bottom"/>
            <w:gridSpan w:val="3"/>
            <w:vMerge w:val="restart"/>
          </w:tcPr>
          <w:p>
            <w:pPr>
              <w:ind w:left="80"/>
              <w:spacing w:after="0"/>
              <w:rPr>
                <w:sz w:val="20"/>
                <w:szCs w:val="20"/>
                <w:color w:val="auto"/>
              </w:rPr>
            </w:pPr>
            <w:r>
              <w:rPr>
                <w:rFonts w:ascii="Arial" w:cs="Arial" w:eastAsia="Arial" w:hAnsi="Arial"/>
                <w:sz w:val="18"/>
                <w:szCs w:val="18"/>
                <w:color w:val="auto"/>
              </w:rPr>
              <w:t>ALLIANZ GLOBAL INVESTORS GMBH</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860" w:type="dxa"/>
            <w:vAlign w:val="bottom"/>
            <w:tcBorders>
              <w:bottom w:val="single" w:sz="8" w:color="auto"/>
            </w:tcBorders>
            <w:gridSpan w:val="3"/>
            <w:vMerge w:val="continue"/>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2</w:t>
            </w:r>
          </w:p>
        </w:tc>
        <w:tc>
          <w:tcPr>
            <w:tcW w:w="200" w:type="dxa"/>
            <w:vAlign w:val="bottom"/>
            <w:tcBorders>
              <w:right w:val="single" w:sz="8" w:color="auto"/>
            </w:tcBorders>
          </w:tcPr>
          <w:p>
            <w:pPr>
              <w:spacing w:after="0"/>
              <w:rPr>
                <w:sz w:val="19"/>
                <w:szCs w:val="19"/>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2560" w:type="dxa"/>
            <w:vAlign w:val="bottom"/>
            <w:tcBorders>
              <w:right w:val="single" w:sz="8" w:color="auto"/>
            </w:tcBorders>
          </w:tcPr>
          <w:p>
            <w:pPr>
              <w:ind w:left="7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40" w:type="dxa"/>
            <w:vAlign w:val="bottom"/>
            <w:tcBorders>
              <w:left w:val="single" w:sz="8" w:color="auto"/>
            </w:tcBorders>
            <w:vMerge w:val="continue"/>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560" w:type="dxa"/>
            <w:vAlign w:val="bottom"/>
            <w:tcBorders>
              <w:right w:val="single" w:sz="8" w:color="auto"/>
            </w:tcBorders>
          </w:tcPr>
          <w:p>
            <w:pPr>
              <w:ind w:left="9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4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3</w:t>
            </w:r>
          </w:p>
        </w:tc>
        <w:tc>
          <w:tcPr>
            <w:tcW w:w="200" w:type="dxa"/>
            <w:vAlign w:val="bottom"/>
            <w:tcBorders>
              <w:right w:val="single" w:sz="8" w:color="auto"/>
            </w:tcBorders>
          </w:tcPr>
          <w:p>
            <w:pPr>
              <w:spacing w:after="0"/>
              <w:rPr>
                <w:sz w:val="22"/>
                <w:szCs w:val="22"/>
                <w:color w:val="auto"/>
              </w:rPr>
            </w:pPr>
          </w:p>
        </w:tc>
        <w:tc>
          <w:tcPr>
            <w:tcW w:w="1400" w:type="dxa"/>
            <w:vAlign w:val="bottom"/>
            <w:tcBorders>
              <w:right w:val="single" w:sz="8" w:color="E5E5E5"/>
            </w:tcBorders>
            <w:shd w:val="clear" w:color="auto" w:fill="E5E5E5"/>
          </w:tcPr>
          <w:p>
            <w:pPr>
              <w:ind w:left="80"/>
              <w:spacing w:after="0"/>
              <w:rPr>
                <w:sz w:val="20"/>
                <w:szCs w:val="20"/>
                <w:color w:val="auto"/>
              </w:rPr>
            </w:pPr>
            <w:r>
              <w:rPr>
                <w:rFonts w:ascii="Arial" w:cs="Arial" w:eastAsia="Arial" w:hAnsi="Arial"/>
                <w:sz w:val="18"/>
                <w:szCs w:val="18"/>
                <w:color w:val="auto"/>
                <w:w w:val="96"/>
              </w:rPr>
              <w:t>SEC USE ONLY</w:t>
            </w:r>
          </w:p>
        </w:tc>
        <w:tc>
          <w:tcPr>
            <w:tcW w:w="900" w:type="dxa"/>
            <w:vAlign w:val="bottom"/>
            <w:tcBorders>
              <w:right w:val="single" w:sz="8" w:color="E5E5E5"/>
            </w:tcBorders>
            <w:shd w:val="clear" w:color="auto" w:fill="E5E5E5"/>
          </w:tcPr>
          <w:p>
            <w:pPr>
              <w:spacing w:after="0"/>
              <w:rPr>
                <w:sz w:val="22"/>
                <w:szCs w:val="22"/>
                <w:color w:val="auto"/>
              </w:rPr>
            </w:pPr>
          </w:p>
        </w:tc>
        <w:tc>
          <w:tcPr>
            <w:tcW w:w="5560" w:type="dxa"/>
            <w:vAlign w:val="bottom"/>
            <w:shd w:val="clear" w:color="auto" w:fill="E5E5E5"/>
          </w:tcPr>
          <w:p>
            <w:pPr>
              <w:spacing w:after="0"/>
              <w:rPr>
                <w:sz w:val="22"/>
                <w:szCs w:val="22"/>
                <w:color w:val="auto"/>
              </w:rPr>
            </w:pPr>
          </w:p>
        </w:tc>
        <w:tc>
          <w:tcPr>
            <w:tcW w:w="2560" w:type="dxa"/>
            <w:vAlign w:val="bottom"/>
            <w:tcBorders>
              <w:right w:val="single" w:sz="8" w:color="auto"/>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tcBorders>
              <w:right w:val="single" w:sz="8" w:color="E5E5E5"/>
            </w:tcBorders>
            <w:shd w:val="clear" w:color="auto" w:fill="E5E5E5"/>
          </w:tcPr>
          <w:p>
            <w:pPr>
              <w:spacing w:after="0"/>
              <w:rPr>
                <w:sz w:val="18"/>
                <w:szCs w:val="18"/>
                <w:color w:val="auto"/>
              </w:rPr>
            </w:pPr>
          </w:p>
        </w:tc>
        <w:tc>
          <w:tcPr>
            <w:tcW w:w="900" w:type="dxa"/>
            <w:vAlign w:val="bottom"/>
            <w:tcBorders>
              <w:right w:val="single" w:sz="8" w:color="E5E5E5"/>
            </w:tcBorders>
            <w:shd w:val="clear" w:color="auto" w:fill="E5E5E5"/>
          </w:tcPr>
          <w:p>
            <w:pPr>
              <w:spacing w:after="0"/>
              <w:rPr>
                <w:sz w:val="18"/>
                <w:szCs w:val="18"/>
                <w:color w:val="auto"/>
              </w:rPr>
            </w:pPr>
          </w:p>
        </w:tc>
        <w:tc>
          <w:tcPr>
            <w:tcW w:w="5560" w:type="dxa"/>
            <w:vAlign w:val="bottom"/>
            <w:shd w:val="clear" w:color="auto" w:fill="E5E5E5"/>
          </w:tcPr>
          <w:p>
            <w:pPr>
              <w:spacing w:after="0"/>
              <w:rPr>
                <w:sz w:val="18"/>
                <w:szCs w:val="18"/>
                <w:color w:val="auto"/>
              </w:rPr>
            </w:pPr>
          </w:p>
        </w:tc>
        <w:tc>
          <w:tcPr>
            <w:tcW w:w="2560" w:type="dxa"/>
            <w:vAlign w:val="bottom"/>
            <w:tcBorders>
              <w:right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E5E5E5"/>
            </w:tcBorders>
            <w:shd w:val="clear" w:color="auto" w:fill="E5E5E5"/>
          </w:tcPr>
          <w:p>
            <w:pPr>
              <w:spacing w:after="0"/>
              <w:rPr>
                <w:sz w:val="14"/>
                <w:szCs w:val="14"/>
                <w:color w:val="auto"/>
              </w:rPr>
            </w:pPr>
          </w:p>
        </w:tc>
        <w:tc>
          <w:tcPr>
            <w:tcW w:w="900" w:type="dxa"/>
            <w:vAlign w:val="bottom"/>
            <w:tcBorders>
              <w:bottom w:val="single" w:sz="8" w:color="auto"/>
              <w:right w:val="single" w:sz="8" w:color="E5E5E5"/>
            </w:tcBorders>
            <w:shd w:val="clear" w:color="auto" w:fill="E5E5E5"/>
          </w:tcPr>
          <w:p>
            <w:pPr>
              <w:spacing w:after="0"/>
              <w:rPr>
                <w:sz w:val="14"/>
                <w:szCs w:val="14"/>
                <w:color w:val="auto"/>
              </w:rPr>
            </w:pPr>
          </w:p>
        </w:tc>
        <w:tc>
          <w:tcPr>
            <w:tcW w:w="5560" w:type="dxa"/>
            <w:vAlign w:val="bottom"/>
            <w:tcBorders>
              <w:bottom w:val="single" w:sz="8" w:color="auto"/>
            </w:tcBorders>
            <w:shd w:val="clear" w:color="auto" w:fill="E5E5E5"/>
          </w:tcPr>
          <w:p>
            <w:pPr>
              <w:spacing w:after="0"/>
              <w:rPr>
                <w:sz w:val="14"/>
                <w:szCs w:val="14"/>
                <w:color w:val="auto"/>
              </w:rPr>
            </w:pPr>
          </w:p>
        </w:tc>
        <w:tc>
          <w:tcPr>
            <w:tcW w:w="2560" w:type="dxa"/>
            <w:vAlign w:val="bottom"/>
            <w:tcBorders>
              <w:bottom w:val="single" w:sz="8" w:color="auto"/>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4</w:t>
            </w:r>
          </w:p>
        </w:tc>
        <w:tc>
          <w:tcPr>
            <w:tcW w:w="200" w:type="dxa"/>
            <w:vAlign w:val="bottom"/>
            <w:tcBorders>
              <w:right w:val="single" w:sz="8" w:color="auto"/>
            </w:tcBorders>
          </w:tcPr>
          <w:p>
            <w:pPr>
              <w:spacing w:after="0"/>
              <w:rPr>
                <w:sz w:val="22"/>
                <w:szCs w:val="22"/>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vMerge w:val="restart"/>
          </w:tcPr>
          <w:p>
            <w:pPr>
              <w:ind w:left="80"/>
              <w:spacing w:after="0"/>
              <w:rPr>
                <w:sz w:val="20"/>
                <w:szCs w:val="20"/>
                <w:color w:val="auto"/>
              </w:rPr>
            </w:pPr>
            <w:r>
              <w:rPr>
                <w:rFonts w:ascii="Arial" w:cs="Arial" w:eastAsia="Arial" w:hAnsi="Arial"/>
                <w:sz w:val="18"/>
                <w:szCs w:val="18"/>
                <w:color w:val="auto"/>
              </w:rPr>
              <w:t>Germany</w:t>
            </w:r>
          </w:p>
        </w:tc>
        <w:tc>
          <w:tcPr>
            <w:tcW w:w="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64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560" w:type="dxa"/>
            <w:vAlign w:val="bottom"/>
            <w:tcBorders>
              <w:bottom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240" w:type="dxa"/>
            <w:vAlign w:val="bottom"/>
            <w:tcBorders>
              <w:left w:val="single" w:sz="8" w:color="auto"/>
              <w:right w:val="single" w:sz="8" w:color="auto"/>
            </w:tcBorders>
            <w:gridSpan w:val="3"/>
          </w:tcPr>
          <w:p>
            <w:pPr>
              <w:ind w:left="260"/>
              <w:spacing w:after="0"/>
              <w:rPr>
                <w:sz w:val="20"/>
                <w:szCs w:val="20"/>
                <w:color w:val="auto"/>
              </w:rPr>
            </w:pPr>
            <w:r>
              <w:rPr>
                <w:rFonts w:ascii="Arial" w:cs="Arial" w:eastAsia="Arial" w:hAnsi="Arial"/>
                <w:sz w:val="18"/>
                <w:szCs w:val="18"/>
                <w:color w:val="auto"/>
              </w:rPr>
              <w:t>NUMBER OF SHARES</w:t>
            </w: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5</w:t>
            </w:r>
          </w:p>
        </w:tc>
        <w:tc>
          <w:tcPr>
            <w:tcW w:w="5560" w:type="dxa"/>
            <w:vAlign w:val="bottom"/>
            <w:vMerge w:val="restart"/>
          </w:tcPr>
          <w:p>
            <w:pPr>
              <w:ind w:left="100"/>
              <w:spacing w:after="0"/>
              <w:rPr>
                <w:sz w:val="20"/>
                <w:szCs w:val="20"/>
                <w:color w:val="auto"/>
              </w:rPr>
            </w:pPr>
            <w:r>
              <w:rPr>
                <w:rFonts w:ascii="Arial" w:cs="Arial" w:eastAsia="Arial" w:hAnsi="Arial"/>
                <w:sz w:val="18"/>
                <w:szCs w:val="18"/>
                <w:color w:val="auto"/>
              </w:rPr>
              <w:t>SOLE VOTING POWER</w:t>
            </w:r>
          </w:p>
        </w:tc>
        <w:tc>
          <w:tcPr>
            <w:tcW w:w="2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82"/>
        </w:trPr>
        <w:tc>
          <w:tcPr>
            <w:tcW w:w="640" w:type="dxa"/>
            <w:vAlign w:val="bottom"/>
            <w:tcBorders>
              <w:left w:val="single" w:sz="8" w:color="auto"/>
            </w:tcBorders>
          </w:tcPr>
          <w:p>
            <w:pPr>
              <w:spacing w:after="0"/>
              <w:rPr>
                <w:sz w:val="7"/>
                <w:szCs w:val="7"/>
                <w:color w:val="auto"/>
              </w:rPr>
            </w:pPr>
          </w:p>
        </w:tc>
        <w:tc>
          <w:tcPr>
            <w:tcW w:w="16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BENEFICIALLY</w:t>
            </w:r>
          </w:p>
        </w:tc>
        <w:tc>
          <w:tcPr>
            <w:tcW w:w="900" w:type="dxa"/>
            <w:vAlign w:val="bottom"/>
            <w:tcBorders>
              <w:right w:val="single" w:sz="8" w:color="auto"/>
            </w:tcBorders>
            <w:vMerge w:val="continue"/>
          </w:tcPr>
          <w:p>
            <w:pPr>
              <w:spacing w:after="0"/>
              <w:rPr>
                <w:sz w:val="7"/>
                <w:szCs w:val="7"/>
                <w:color w:val="auto"/>
              </w:rPr>
            </w:pPr>
          </w:p>
        </w:tc>
        <w:tc>
          <w:tcPr>
            <w:tcW w:w="5560" w:type="dxa"/>
            <w:vAlign w:val="bottom"/>
            <w:vMerge w:val="continue"/>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640" w:type="dxa"/>
            <w:vAlign w:val="bottom"/>
            <w:tcBorders>
              <w:left w:val="single" w:sz="8" w:color="auto"/>
            </w:tcBorders>
          </w:tcPr>
          <w:p>
            <w:pPr>
              <w:spacing w:after="0"/>
              <w:rPr>
                <w:sz w:val="11"/>
                <w:szCs w:val="11"/>
                <w:color w:val="auto"/>
              </w:rPr>
            </w:pPr>
          </w:p>
        </w:tc>
        <w:tc>
          <w:tcPr>
            <w:tcW w:w="1600" w:type="dxa"/>
            <w:vAlign w:val="bottom"/>
            <w:tcBorders>
              <w:right w:val="single" w:sz="8" w:color="auto"/>
            </w:tcBorders>
            <w:gridSpan w:val="2"/>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5560" w:type="dxa"/>
            <w:vAlign w:val="bottom"/>
            <w:vMerge w:val="restart"/>
          </w:tcPr>
          <w:p>
            <w:pPr>
              <w:ind w:left="100"/>
              <w:spacing w:after="0"/>
              <w:rPr>
                <w:sz w:val="20"/>
                <w:szCs w:val="20"/>
                <w:color w:val="auto"/>
              </w:rPr>
            </w:pPr>
            <w:r>
              <w:rPr>
                <w:rFonts w:ascii="Arial" w:cs="Arial" w:eastAsia="Arial" w:hAnsi="Arial"/>
                <w:sz w:val="20"/>
                <w:szCs w:val="20"/>
                <w:color w:val="auto"/>
              </w:rPr>
              <w:t>4,451,240</w:t>
            </w:r>
          </w:p>
        </w:tc>
        <w:tc>
          <w:tcPr>
            <w:tcW w:w="25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1600" w:type="dxa"/>
            <w:vAlign w:val="bottom"/>
            <w:tcBorders>
              <w:right w:val="single" w:sz="8" w:color="auto"/>
            </w:tcBorders>
            <w:gridSpan w:val="2"/>
          </w:tcPr>
          <w:p>
            <w:pPr>
              <w:jc w:val="center"/>
              <w:ind w:right="388"/>
              <w:spacing w:after="0"/>
              <w:rPr>
                <w:sz w:val="20"/>
                <w:szCs w:val="20"/>
                <w:color w:val="auto"/>
              </w:rPr>
            </w:pPr>
            <w:r>
              <w:rPr>
                <w:rFonts w:ascii="Arial" w:cs="Arial" w:eastAsia="Arial" w:hAnsi="Arial"/>
                <w:sz w:val="18"/>
                <w:szCs w:val="18"/>
                <w:color w:val="auto"/>
                <w:w w:val="97"/>
              </w:rPr>
              <w:t>OWNED BY</w:t>
            </w:r>
          </w:p>
        </w:tc>
        <w:tc>
          <w:tcPr>
            <w:tcW w:w="90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tcBorders>
            <w:vMerge w:val="continue"/>
          </w:tcPr>
          <w:p>
            <w:pPr>
              <w:spacing w:after="0"/>
              <w:rPr>
                <w:sz w:val="20"/>
                <w:szCs w:val="20"/>
                <w:color w:val="auto"/>
              </w:rPr>
            </w:pPr>
          </w:p>
        </w:tc>
        <w:tc>
          <w:tcPr>
            <w:tcW w:w="2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EACH</w:t>
            </w:r>
          </w:p>
        </w:tc>
        <w:tc>
          <w:tcPr>
            <w:tcW w:w="900" w:type="dxa"/>
            <w:vAlign w:val="bottom"/>
            <w:tcBorders>
              <w:right w:val="single" w:sz="8" w:color="auto"/>
            </w:tcBorders>
            <w:vMerge w:val="restart"/>
          </w:tcPr>
          <w:p>
            <w:pPr>
              <w:jc w:val="right"/>
              <w:ind w:right="140"/>
              <w:spacing w:after="0" w:line="318" w:lineRule="exact"/>
              <w:rPr>
                <w:sz w:val="20"/>
                <w:szCs w:val="20"/>
                <w:color w:val="auto"/>
              </w:rPr>
            </w:pPr>
            <w:r>
              <w:rPr>
                <w:rFonts w:ascii="Arial" w:cs="Arial" w:eastAsia="Arial" w:hAnsi="Arial"/>
                <w:sz w:val="36"/>
                <w:szCs w:val="36"/>
                <w:color w:val="auto"/>
              </w:rPr>
              <w:t>6</w:t>
            </w:r>
          </w:p>
        </w:tc>
        <w:tc>
          <w:tcPr>
            <w:tcW w:w="556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40" w:type="dxa"/>
            <w:vAlign w:val="bottom"/>
            <w:tcBorders>
              <w:lef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5560" w:type="dxa"/>
            <w:vAlign w:val="bottom"/>
          </w:tcPr>
          <w:p>
            <w:pPr>
              <w:spacing w:after="0"/>
              <w:rPr>
                <w:sz w:val="3"/>
                <w:szCs w:val="3"/>
                <w:color w:val="auto"/>
              </w:rPr>
            </w:pPr>
          </w:p>
        </w:tc>
        <w:tc>
          <w:tcPr>
            <w:tcW w:w="25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40" w:type="dxa"/>
            <w:vAlign w:val="bottom"/>
            <w:tcBorders>
              <w:left w:val="single" w:sz="8" w:color="auto"/>
            </w:tcBorders>
          </w:tcPr>
          <w:p>
            <w:pPr>
              <w:spacing w:after="0"/>
              <w:rPr>
                <w:sz w:val="17"/>
                <w:szCs w:val="17"/>
                <w:color w:val="auto"/>
              </w:rPr>
            </w:pPr>
          </w:p>
        </w:tc>
        <w:tc>
          <w:tcPr>
            <w:tcW w:w="1600" w:type="dxa"/>
            <w:vAlign w:val="bottom"/>
            <w:tcBorders>
              <w:right w:val="single" w:sz="8" w:color="auto"/>
            </w:tcBorders>
            <w:gridSpan w:val="2"/>
          </w:tcPr>
          <w:p>
            <w:pPr>
              <w:jc w:val="center"/>
              <w:ind w:right="388"/>
              <w:spacing w:after="0" w:line="201" w:lineRule="exact"/>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7"/>
                <w:szCs w:val="17"/>
                <w:color w:val="auto"/>
              </w:rPr>
            </w:pPr>
          </w:p>
        </w:tc>
        <w:tc>
          <w:tcPr>
            <w:tcW w:w="556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64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Borders>
              <w:right w:val="single" w:sz="8" w:color="auto"/>
            </w:tcBorders>
            <w:vMerge w:val="restart"/>
          </w:tcPr>
          <w:p>
            <w:pPr>
              <w:jc w:val="center"/>
              <w:ind w:right="608"/>
              <w:spacing w:after="0"/>
              <w:rPr>
                <w:sz w:val="20"/>
                <w:szCs w:val="20"/>
                <w:color w:val="auto"/>
              </w:rPr>
            </w:pPr>
            <w:r>
              <w:rPr>
                <w:rFonts w:ascii="Arial" w:cs="Arial" w:eastAsia="Arial" w:hAnsi="Arial"/>
                <w:sz w:val="18"/>
                <w:szCs w:val="18"/>
                <w:color w:val="auto"/>
                <w:w w:val="92"/>
              </w:rPr>
              <w:t>PERSON</w:t>
            </w:r>
          </w:p>
        </w:tc>
        <w:tc>
          <w:tcPr>
            <w:tcW w:w="900" w:type="dxa"/>
            <w:vAlign w:val="bottom"/>
            <w:tcBorders>
              <w:bottom w:val="single" w:sz="8" w:color="auto"/>
              <w:right w:val="single" w:sz="8" w:color="auto"/>
            </w:tcBorders>
          </w:tcPr>
          <w:p>
            <w:pPr>
              <w:spacing w:after="0"/>
              <w:rPr>
                <w:sz w:val="10"/>
                <w:szCs w:val="10"/>
                <w:color w:val="auto"/>
              </w:rPr>
            </w:pPr>
          </w:p>
        </w:tc>
        <w:tc>
          <w:tcPr>
            <w:tcW w:w="5560" w:type="dxa"/>
            <w:vAlign w:val="bottom"/>
            <w:tcBorders>
              <w:bottom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640" w:type="dxa"/>
            <w:vAlign w:val="bottom"/>
            <w:tcBorders>
              <w:lef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7</w:t>
            </w:r>
          </w:p>
        </w:tc>
        <w:tc>
          <w:tcPr>
            <w:tcW w:w="5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4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Borders>
              <w:right w:val="single" w:sz="8" w:color="auto"/>
            </w:tcBorders>
          </w:tcPr>
          <w:p>
            <w:pPr>
              <w:jc w:val="center"/>
              <w:ind w:right="608"/>
              <w:spacing w:after="0"/>
              <w:rPr>
                <w:sz w:val="20"/>
                <w:szCs w:val="20"/>
                <w:color w:val="auto"/>
              </w:rPr>
            </w:pPr>
            <w:r>
              <w:rPr>
                <w:rFonts w:ascii="Arial" w:cs="Arial" w:eastAsia="Arial" w:hAnsi="Arial"/>
                <w:sz w:val="18"/>
                <w:szCs w:val="18"/>
                <w:color w:val="auto"/>
                <w:w w:val="99"/>
              </w:rPr>
              <w:t>WITH</w:t>
            </w:r>
          </w:p>
        </w:tc>
        <w:tc>
          <w:tcPr>
            <w:tcW w:w="900" w:type="dxa"/>
            <w:vAlign w:val="bottom"/>
            <w:tcBorders>
              <w:right w:val="single" w:sz="8" w:color="auto"/>
            </w:tcBorders>
            <w:vMerge w:val="continue"/>
          </w:tcPr>
          <w:p>
            <w:pPr>
              <w:spacing w:after="0"/>
              <w:rPr>
                <w:sz w:val="20"/>
                <w:szCs w:val="20"/>
                <w:color w:val="auto"/>
              </w:rPr>
            </w:pPr>
          </w:p>
        </w:tc>
        <w:tc>
          <w:tcPr>
            <w:tcW w:w="5560" w:type="dxa"/>
            <w:vAlign w:val="bottom"/>
            <w:vMerge w:val="continue"/>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64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5560" w:type="dxa"/>
            <w:vAlign w:val="bottom"/>
            <w:vMerge w:val="restart"/>
          </w:tcPr>
          <w:p>
            <w:pPr>
              <w:ind w:left="100"/>
              <w:spacing w:after="0"/>
              <w:rPr>
                <w:sz w:val="20"/>
                <w:szCs w:val="20"/>
                <w:color w:val="auto"/>
              </w:rPr>
            </w:pPr>
            <w:r>
              <w:rPr>
                <w:rFonts w:ascii="Arial" w:cs="Arial" w:eastAsia="Arial" w:hAnsi="Arial"/>
                <w:sz w:val="20"/>
                <w:szCs w:val="20"/>
                <w:color w:val="auto"/>
              </w:rPr>
              <w:t>4,451,240</w:t>
            </w:r>
          </w:p>
        </w:tc>
        <w:tc>
          <w:tcPr>
            <w:tcW w:w="25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right"/>
              <w:ind w:right="140"/>
              <w:spacing w:after="0"/>
              <w:rPr>
                <w:sz w:val="20"/>
                <w:szCs w:val="20"/>
                <w:color w:val="auto"/>
              </w:rPr>
            </w:pPr>
            <w:r>
              <w:rPr>
                <w:rFonts w:ascii="Arial" w:cs="Arial" w:eastAsia="Arial" w:hAnsi="Arial"/>
                <w:sz w:val="36"/>
                <w:szCs w:val="36"/>
                <w:color w:val="auto"/>
              </w:rPr>
              <w:t>8</w:t>
            </w:r>
          </w:p>
        </w:tc>
        <w:tc>
          <w:tcPr>
            <w:tcW w:w="5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4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continue"/>
          </w:tcPr>
          <w:p>
            <w:pPr>
              <w:spacing w:after="0"/>
              <w:rPr>
                <w:sz w:val="15"/>
                <w:szCs w:val="15"/>
                <w:color w:val="auto"/>
              </w:rPr>
            </w:pPr>
          </w:p>
        </w:tc>
        <w:tc>
          <w:tcPr>
            <w:tcW w:w="5560" w:type="dxa"/>
            <w:vAlign w:val="bottom"/>
            <w:vMerge w:val="restart"/>
          </w:tcPr>
          <w:p>
            <w:pPr>
              <w:ind w:left="100"/>
              <w:spacing w:after="0"/>
              <w:rPr>
                <w:sz w:val="20"/>
                <w:szCs w:val="20"/>
                <w:color w:val="auto"/>
              </w:rPr>
            </w:pPr>
            <w:r>
              <w:rPr>
                <w:rFonts w:ascii="Arial" w:cs="Arial" w:eastAsia="Arial" w:hAnsi="Arial"/>
                <w:sz w:val="20"/>
                <w:szCs w:val="20"/>
                <w:color w:val="auto"/>
              </w:rPr>
              <w:t>0</w:t>
            </w:r>
          </w:p>
        </w:tc>
        <w:tc>
          <w:tcPr>
            <w:tcW w:w="2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2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640" w:type="dxa"/>
            <w:vAlign w:val="bottom"/>
            <w:tcBorders>
              <w:left w:val="single" w:sz="8" w:color="auto"/>
            </w:tcBorders>
            <w:vMerge w:val="restart"/>
          </w:tcPr>
          <w:p>
            <w:pPr>
              <w:jc w:val="center"/>
              <w:ind w:left="90"/>
              <w:spacing w:after="0"/>
              <w:rPr>
                <w:sz w:val="20"/>
                <w:szCs w:val="20"/>
                <w:color w:val="auto"/>
              </w:rPr>
            </w:pPr>
            <w:r>
              <w:rPr>
                <w:rFonts w:ascii="Arial" w:cs="Arial" w:eastAsia="Arial" w:hAnsi="Arial"/>
                <w:sz w:val="36"/>
                <w:szCs w:val="36"/>
                <w:color w:val="auto"/>
                <w:w w:val="89"/>
              </w:rPr>
              <w:t>9</w:t>
            </w:r>
          </w:p>
        </w:tc>
        <w:tc>
          <w:tcPr>
            <w:tcW w:w="200" w:type="dxa"/>
            <w:vAlign w:val="bottom"/>
            <w:tcBorders>
              <w:right w:val="single" w:sz="8" w:color="auto"/>
            </w:tcBorders>
          </w:tcPr>
          <w:p>
            <w:pPr>
              <w:spacing w:after="0"/>
              <w:rPr>
                <w:sz w:val="24"/>
                <w:szCs w:val="24"/>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tcBorders>
            <w:vMerge w:val="continue"/>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0" w:type="dxa"/>
            <w:vAlign w:val="bottom"/>
            <w:vMerge w:val="restart"/>
          </w:tcPr>
          <w:p>
            <w:pPr>
              <w:ind w:left="80"/>
              <w:spacing w:after="0"/>
              <w:rPr>
                <w:sz w:val="20"/>
                <w:szCs w:val="20"/>
                <w:color w:val="auto"/>
              </w:rPr>
            </w:pPr>
            <w:r>
              <w:rPr>
                <w:rFonts w:ascii="Arial" w:cs="Arial" w:eastAsia="Arial" w:hAnsi="Arial"/>
                <w:sz w:val="20"/>
                <w:szCs w:val="20"/>
                <w:color w:val="auto"/>
              </w:rPr>
              <w:t>4,451,240</w:t>
            </w:r>
          </w:p>
        </w:tc>
        <w:tc>
          <w:tcPr>
            <w:tcW w:w="9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640" w:type="dxa"/>
            <w:vAlign w:val="bottom"/>
            <w:tcBorders>
              <w:left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4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7860" w:type="dxa"/>
            <w:vAlign w:val="bottom"/>
            <w:tcBorders>
              <w:bottom w:val="single" w:sz="8" w:color="auto"/>
            </w:tcBorders>
            <w:gridSpan w:val="3"/>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640" w:type="dxa"/>
            <w:vAlign w:val="bottom"/>
            <w:tcBorders>
              <w:left w:val="single" w:sz="8" w:color="auto"/>
            </w:tcBorders>
          </w:tcPr>
          <w:p>
            <w:pPr>
              <w:jc w:val="center"/>
              <w:ind w:left="70"/>
              <w:spacing w:after="0"/>
              <w:rPr>
                <w:sz w:val="20"/>
                <w:szCs w:val="20"/>
                <w:color w:val="auto"/>
              </w:rPr>
            </w:pPr>
            <w:r>
              <w:rPr>
                <w:rFonts w:ascii="Arial" w:cs="Arial" w:eastAsia="Arial" w:hAnsi="Arial"/>
                <w:sz w:val="36"/>
                <w:szCs w:val="36"/>
                <w:color w:val="auto"/>
                <w:w w:val="89"/>
              </w:rPr>
              <w:t>10</w:t>
            </w:r>
          </w:p>
        </w:tc>
        <w:tc>
          <w:tcPr>
            <w:tcW w:w="200" w:type="dxa"/>
            <w:vAlign w:val="bottom"/>
            <w:tcBorders>
              <w:right w:val="single" w:sz="8" w:color="auto"/>
            </w:tcBorders>
          </w:tcPr>
          <w:p>
            <w:pPr>
              <w:spacing w:after="0"/>
              <w:rPr>
                <w:sz w:val="24"/>
                <w:szCs w:val="24"/>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60" w:type="dxa"/>
            <w:vAlign w:val="bottom"/>
            <w:tcBorders>
              <w:right w:val="single" w:sz="8" w:color="auto"/>
            </w:tcBorders>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640" w:type="dxa"/>
            <w:vAlign w:val="bottom"/>
            <w:tcBorders>
              <w:left w:val="single" w:sz="8" w:color="auto"/>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7860" w:type="dxa"/>
            <w:vAlign w:val="bottom"/>
            <w:tcBorders>
              <w:bottom w:val="single" w:sz="8" w:color="auto"/>
            </w:tcBorders>
            <w:gridSpan w:val="3"/>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640" w:type="dxa"/>
            <w:vAlign w:val="bottom"/>
            <w:tcBorders>
              <w:left w:val="single" w:sz="8" w:color="auto"/>
            </w:tcBorders>
          </w:tcPr>
          <w:p>
            <w:pPr>
              <w:jc w:val="center"/>
              <w:ind w:left="70"/>
              <w:spacing w:after="0" w:line="371" w:lineRule="exact"/>
              <w:rPr>
                <w:sz w:val="20"/>
                <w:szCs w:val="20"/>
                <w:color w:val="auto"/>
              </w:rPr>
            </w:pPr>
            <w:r>
              <w:rPr>
                <w:rFonts w:ascii="Arial" w:cs="Arial" w:eastAsia="Arial" w:hAnsi="Arial"/>
                <w:sz w:val="36"/>
                <w:szCs w:val="36"/>
                <w:color w:val="auto"/>
                <w:w w:val="89"/>
              </w:rPr>
              <w:t>11</w:t>
            </w:r>
          </w:p>
        </w:tc>
        <w:tc>
          <w:tcPr>
            <w:tcW w:w="200" w:type="dxa"/>
            <w:vAlign w:val="bottom"/>
            <w:tcBorders>
              <w:right w:val="single" w:sz="8" w:color="auto"/>
            </w:tcBorders>
          </w:tcPr>
          <w:p>
            <w:pPr>
              <w:spacing w:after="0"/>
              <w:rPr>
                <w:sz w:val="24"/>
                <w:szCs w:val="24"/>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5.5%</w:t>
            </w:r>
          </w:p>
        </w:tc>
        <w:tc>
          <w:tcPr>
            <w:tcW w:w="900" w:type="dxa"/>
            <w:vAlign w:val="bottom"/>
            <w:tcBorders>
              <w:bottom w:val="single" w:sz="8" w:color="auto"/>
            </w:tcBorders>
          </w:tcPr>
          <w:p>
            <w:pPr>
              <w:spacing w:after="0"/>
              <w:rPr>
                <w:sz w:val="22"/>
                <w:szCs w:val="22"/>
                <w:color w:val="auto"/>
              </w:rPr>
            </w:pPr>
          </w:p>
        </w:tc>
        <w:tc>
          <w:tcPr>
            <w:tcW w:w="556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640" w:type="dxa"/>
            <w:vAlign w:val="bottom"/>
            <w:tcBorders>
              <w:left w:val="single" w:sz="8" w:color="auto"/>
            </w:tcBorders>
          </w:tcPr>
          <w:p>
            <w:pPr>
              <w:jc w:val="center"/>
              <w:ind w:left="70"/>
              <w:spacing w:after="0" w:line="375" w:lineRule="exact"/>
              <w:rPr>
                <w:sz w:val="20"/>
                <w:szCs w:val="20"/>
                <w:color w:val="auto"/>
              </w:rPr>
            </w:pPr>
            <w:r>
              <w:rPr>
                <w:rFonts w:ascii="Arial" w:cs="Arial" w:eastAsia="Arial" w:hAnsi="Arial"/>
                <w:sz w:val="36"/>
                <w:szCs w:val="36"/>
                <w:color w:val="auto"/>
                <w:w w:val="89"/>
              </w:rPr>
              <w:t>12</w:t>
            </w:r>
          </w:p>
        </w:tc>
        <w:tc>
          <w:tcPr>
            <w:tcW w:w="200" w:type="dxa"/>
            <w:vAlign w:val="bottom"/>
            <w:tcBorders>
              <w:right w:val="single" w:sz="8" w:color="auto"/>
            </w:tcBorders>
          </w:tcPr>
          <w:p>
            <w:pPr>
              <w:spacing w:after="0"/>
              <w:rPr>
                <w:sz w:val="24"/>
                <w:szCs w:val="24"/>
                <w:color w:val="auto"/>
              </w:rPr>
            </w:pPr>
          </w:p>
        </w:tc>
        <w:tc>
          <w:tcPr>
            <w:tcW w:w="786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FI, OO</w:t>
            </w:r>
          </w:p>
        </w:tc>
        <w:tc>
          <w:tcPr>
            <w:tcW w:w="900" w:type="dxa"/>
            <w:vAlign w:val="bottom"/>
            <w:tcBorders>
              <w:bottom w:val="single" w:sz="8" w:color="auto"/>
            </w:tcBorders>
          </w:tcPr>
          <w:p>
            <w:pPr>
              <w:spacing w:after="0"/>
              <w:rPr>
                <w:sz w:val="22"/>
                <w:szCs w:val="22"/>
                <w:color w:val="auto"/>
              </w:rPr>
            </w:pPr>
          </w:p>
        </w:tc>
        <w:tc>
          <w:tcPr>
            <w:tcW w:w="5560" w:type="dxa"/>
            <w:vAlign w:val="bottom"/>
            <w:tcBorders>
              <w:bottom w:val="single" w:sz="8" w:color="auto"/>
            </w:tcBorders>
          </w:tcPr>
          <w:p>
            <w:pPr>
              <w:spacing w:after="0"/>
              <w:rPr>
                <w:sz w:val="22"/>
                <w:szCs w:val="22"/>
                <w:color w:val="auto"/>
              </w:rPr>
            </w:pPr>
          </w:p>
        </w:tc>
        <w:tc>
          <w:tcPr>
            <w:tcW w:w="25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34" w:right="31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2366010"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Item 1</w:t>
            </w:r>
          </w:p>
        </w:tc>
        <w:tc>
          <w:tcPr>
            <w:tcW w:w="1340" w:type="dxa"/>
            <w:vAlign w:val="bottom"/>
          </w:tcPr>
          <w:p>
            <w:pPr>
              <w:ind w:left="660"/>
              <w:spacing w:after="0"/>
              <w:rPr>
                <w:sz w:val="20"/>
                <w:szCs w:val="20"/>
                <w:color w:val="auto"/>
              </w:rPr>
            </w:pPr>
            <w:r>
              <w:rPr>
                <w:rFonts w:ascii="Arial" w:cs="Arial" w:eastAsia="Arial" w:hAnsi="Arial"/>
                <w:sz w:val="20"/>
                <w:szCs w:val="20"/>
                <w:color w:val="auto"/>
              </w:rPr>
              <w:t>(a)</w:t>
            </w:r>
          </w:p>
        </w:tc>
        <w:tc>
          <w:tcPr>
            <w:tcW w:w="6240" w:type="dxa"/>
            <w:vAlign w:val="bottom"/>
            <w:gridSpan w:val="7"/>
          </w:tcPr>
          <w:p>
            <w:pPr>
              <w:spacing w:after="0"/>
              <w:rPr>
                <w:sz w:val="20"/>
                <w:szCs w:val="20"/>
                <w:color w:val="auto"/>
              </w:rPr>
            </w:pPr>
            <w:r>
              <w:rPr>
                <w:rFonts w:ascii="Arial" w:cs="Arial" w:eastAsia="Arial" w:hAnsi="Arial"/>
                <w:sz w:val="20"/>
                <w:szCs w:val="20"/>
                <w:color w:val="auto"/>
              </w:rPr>
              <w:t>Name of Issuer:</w:t>
            </w:r>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54"/>
        </w:trPr>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ZoomInfo Technologies Inc.</w:t>
            </w:r>
          </w:p>
        </w:tc>
      </w:tr>
      <w:tr>
        <w:trPr>
          <w:trHeight w:val="401"/>
        </w:trPr>
        <w:tc>
          <w:tcPr>
            <w:tcW w:w="116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0"/>
                <w:szCs w:val="20"/>
                <w:color w:val="auto"/>
              </w:rPr>
              <w:t>(b)</w:t>
            </w:r>
          </w:p>
        </w:tc>
        <w:tc>
          <w:tcPr>
            <w:tcW w:w="6240" w:type="dxa"/>
            <w:vAlign w:val="bottom"/>
            <w:gridSpan w:val="7"/>
          </w:tcPr>
          <w:p>
            <w:pPr>
              <w:spacing w:after="0"/>
              <w:rPr>
                <w:sz w:val="20"/>
                <w:szCs w:val="20"/>
                <w:color w:val="auto"/>
              </w:rPr>
            </w:pPr>
            <w:r>
              <w:rPr>
                <w:rFonts w:ascii="Arial" w:cs="Arial" w:eastAsia="Arial" w:hAnsi="Arial"/>
                <w:sz w:val="20"/>
                <w:szCs w:val="20"/>
                <w:color w:val="auto"/>
              </w:rPr>
              <w:t>Address of Issuer’s Principal Executive Offices:</w:t>
            </w:r>
          </w:p>
        </w:tc>
      </w:tr>
      <w:tr>
        <w:trPr>
          <w:trHeight w:val="233"/>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40" w:type="dxa"/>
            <w:vAlign w:val="bottom"/>
            <w:tcBorders>
              <w:top w:val="single" w:sz="8" w:color="auto"/>
            </w:tcBorders>
            <w:gridSpan w:val="6"/>
          </w:tcPr>
          <w:p>
            <w:pPr>
              <w:spacing w:after="0"/>
              <w:rPr>
                <w:sz w:val="20"/>
                <w:szCs w:val="20"/>
                <w:color w:val="auto"/>
              </w:rPr>
            </w:pPr>
            <w:r>
              <w:rPr>
                <w:rFonts w:ascii="Arial" w:cs="Arial" w:eastAsia="Arial" w:hAnsi="Arial"/>
                <w:sz w:val="20"/>
                <w:szCs w:val="20"/>
                <w:color w:val="auto"/>
              </w:rPr>
              <w:t>805 Broadway Street, Suite 900</w:t>
            </w:r>
          </w:p>
        </w:tc>
        <w:tc>
          <w:tcPr>
            <w:tcW w:w="2500" w:type="dxa"/>
            <w:vAlign w:val="bottom"/>
          </w:tcPr>
          <w:p>
            <w:pPr>
              <w:spacing w:after="0"/>
              <w:rPr>
                <w:sz w:val="20"/>
                <w:szCs w:val="20"/>
                <w:color w:val="auto"/>
              </w:rPr>
            </w:pPr>
          </w:p>
        </w:tc>
      </w:tr>
      <w:tr>
        <w:trPr>
          <w:trHeight w:val="250"/>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Vancouver, WA 98660</w:t>
            </w:r>
          </w:p>
        </w:tc>
      </w:tr>
      <w:tr>
        <w:trPr>
          <w:trHeight w:val="401"/>
        </w:trPr>
        <w:tc>
          <w:tcPr>
            <w:tcW w:w="1160" w:type="dxa"/>
            <w:vAlign w:val="bottom"/>
          </w:tcPr>
          <w:p>
            <w:pPr>
              <w:spacing w:after="0"/>
              <w:rPr>
                <w:sz w:val="20"/>
                <w:szCs w:val="20"/>
                <w:color w:val="auto"/>
              </w:rPr>
            </w:pPr>
            <w:r>
              <w:rPr>
                <w:rFonts w:ascii="Arial" w:cs="Arial" w:eastAsia="Arial" w:hAnsi="Arial"/>
                <w:sz w:val="20"/>
                <w:szCs w:val="20"/>
                <w:color w:val="auto"/>
              </w:rPr>
              <w:t>Item 2</w:t>
            </w:r>
          </w:p>
        </w:tc>
        <w:tc>
          <w:tcPr>
            <w:tcW w:w="1340" w:type="dxa"/>
            <w:vAlign w:val="bottom"/>
          </w:tcPr>
          <w:p>
            <w:pPr>
              <w:ind w:left="660"/>
              <w:spacing w:after="0"/>
              <w:rPr>
                <w:sz w:val="20"/>
                <w:szCs w:val="20"/>
                <w:color w:val="auto"/>
              </w:rPr>
            </w:pPr>
            <w:r>
              <w:rPr>
                <w:rFonts w:ascii="Arial" w:cs="Arial" w:eastAsia="Arial" w:hAnsi="Arial"/>
                <w:sz w:val="20"/>
                <w:szCs w:val="20"/>
                <w:color w:val="auto"/>
              </w:rPr>
              <w:t>(a)</w:t>
            </w:r>
          </w:p>
        </w:tc>
        <w:tc>
          <w:tcPr>
            <w:tcW w:w="6240" w:type="dxa"/>
            <w:vAlign w:val="bottom"/>
            <w:gridSpan w:val="7"/>
          </w:tcPr>
          <w:p>
            <w:pPr>
              <w:spacing w:after="0"/>
              <w:rPr>
                <w:sz w:val="20"/>
                <w:szCs w:val="20"/>
                <w:color w:val="auto"/>
              </w:rPr>
            </w:pPr>
            <w:r>
              <w:rPr>
                <w:rFonts w:ascii="Arial" w:cs="Arial" w:eastAsia="Arial" w:hAnsi="Arial"/>
                <w:sz w:val="20"/>
                <w:szCs w:val="20"/>
                <w:color w:val="auto"/>
              </w:rPr>
              <w:t>Name of Filers:</w:t>
            </w:r>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Allianz Global Investors U.S. Holdings LLC (“AGI US Holdings”)</w:t>
            </w:r>
          </w:p>
        </w:tc>
      </w:tr>
      <w:tr>
        <w:trPr>
          <w:trHeight w:val="250"/>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Allianz Global Investors GmbH (“AGI GmbH”)</w:t>
            </w:r>
          </w:p>
        </w:tc>
      </w:tr>
      <w:tr>
        <w:trPr>
          <w:trHeight w:val="401"/>
        </w:trPr>
        <w:tc>
          <w:tcPr>
            <w:tcW w:w="116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0"/>
                <w:szCs w:val="20"/>
                <w:color w:val="auto"/>
              </w:rPr>
              <w:t>(b)</w:t>
            </w:r>
          </w:p>
        </w:tc>
        <w:tc>
          <w:tcPr>
            <w:tcW w:w="6240" w:type="dxa"/>
            <w:vAlign w:val="bottom"/>
            <w:gridSpan w:val="7"/>
          </w:tcPr>
          <w:p>
            <w:pPr>
              <w:spacing w:after="0"/>
              <w:rPr>
                <w:sz w:val="20"/>
                <w:szCs w:val="20"/>
                <w:color w:val="auto"/>
              </w:rPr>
            </w:pPr>
            <w:r>
              <w:rPr>
                <w:rFonts w:ascii="Arial" w:cs="Arial" w:eastAsia="Arial" w:hAnsi="Arial"/>
                <w:sz w:val="20"/>
                <w:szCs w:val="20"/>
                <w:color w:val="auto"/>
              </w:rPr>
              <w:t>Filers’ Address of Principal Business Office:</w:t>
            </w:r>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AGI US Holdings: 1633 Broadway, New York, NY 10019</w:t>
            </w:r>
          </w:p>
        </w:tc>
      </w:tr>
      <w:tr>
        <w:trPr>
          <w:trHeight w:val="250"/>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w w:val="90"/>
              </w:rPr>
              <w:t>AGI GmbH: Bockenheimer Landstrasse 42-44, Frankfurt, 2M 60323 Germany</w:t>
            </w:r>
          </w:p>
        </w:tc>
      </w:tr>
      <w:tr>
        <w:trPr>
          <w:trHeight w:val="401"/>
        </w:trPr>
        <w:tc>
          <w:tcPr>
            <w:tcW w:w="116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0"/>
                <w:szCs w:val="20"/>
                <w:color w:val="auto"/>
              </w:rPr>
              <w:t>(c)</w:t>
            </w:r>
          </w:p>
        </w:tc>
        <w:tc>
          <w:tcPr>
            <w:tcW w:w="6240" w:type="dxa"/>
            <w:vAlign w:val="bottom"/>
            <w:gridSpan w:val="7"/>
          </w:tcPr>
          <w:p>
            <w:pPr>
              <w:spacing w:after="0"/>
              <w:rPr>
                <w:sz w:val="20"/>
                <w:szCs w:val="20"/>
                <w:color w:val="auto"/>
              </w:rPr>
            </w:pPr>
            <w:r>
              <w:rPr>
                <w:rFonts w:ascii="Arial" w:cs="Arial" w:eastAsia="Arial" w:hAnsi="Arial"/>
                <w:sz w:val="20"/>
                <w:szCs w:val="20"/>
                <w:color w:val="auto"/>
              </w:rPr>
              <w:t>Filers’ Citizenship:</w:t>
            </w:r>
          </w:p>
        </w:tc>
      </w:tr>
      <w:tr>
        <w:trPr>
          <w:trHeight w:val="20"/>
        </w:trPr>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AGI US Holdings: Delaware</w:t>
            </w:r>
          </w:p>
        </w:tc>
      </w:tr>
      <w:tr>
        <w:trPr>
          <w:trHeight w:val="250"/>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240" w:type="dxa"/>
            <w:vAlign w:val="bottom"/>
            <w:gridSpan w:val="7"/>
          </w:tcPr>
          <w:p>
            <w:pPr>
              <w:spacing w:after="0"/>
              <w:rPr>
                <w:sz w:val="20"/>
                <w:szCs w:val="20"/>
                <w:color w:val="auto"/>
              </w:rPr>
            </w:pPr>
            <w:r>
              <w:rPr>
                <w:rFonts w:ascii="Arial" w:cs="Arial" w:eastAsia="Arial" w:hAnsi="Arial"/>
                <w:sz w:val="20"/>
                <w:szCs w:val="20"/>
                <w:color w:val="auto"/>
              </w:rPr>
              <w:t>AGI GmbH: Germany</w:t>
            </w:r>
          </w:p>
        </w:tc>
      </w:tr>
      <w:tr>
        <w:trPr>
          <w:trHeight w:val="401"/>
        </w:trPr>
        <w:tc>
          <w:tcPr>
            <w:tcW w:w="116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0"/>
                <w:szCs w:val="20"/>
                <w:color w:val="auto"/>
              </w:rPr>
              <w:t>(d)</w:t>
            </w:r>
          </w:p>
        </w:tc>
        <w:tc>
          <w:tcPr>
            <w:tcW w:w="6240" w:type="dxa"/>
            <w:vAlign w:val="bottom"/>
            <w:gridSpan w:val="7"/>
          </w:tcPr>
          <w:p>
            <w:pPr>
              <w:spacing w:after="0"/>
              <w:rPr>
                <w:sz w:val="20"/>
                <w:szCs w:val="20"/>
                <w:color w:val="auto"/>
              </w:rPr>
            </w:pPr>
            <w:r>
              <w:rPr>
                <w:rFonts w:ascii="Arial" w:cs="Arial" w:eastAsia="Arial" w:hAnsi="Arial"/>
                <w:sz w:val="20"/>
                <w:szCs w:val="20"/>
                <w:color w:val="auto"/>
              </w:rPr>
              <w:t>Title of Class of Securities:</w:t>
            </w:r>
          </w:p>
        </w:tc>
      </w:tr>
      <w:tr>
        <w:trPr>
          <w:trHeight w:val="254"/>
        </w:trPr>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100" w:type="dxa"/>
            <w:vAlign w:val="bottom"/>
            <w:tcBorders>
              <w:top w:val="single" w:sz="8" w:color="auto"/>
            </w:tcBorders>
            <w:gridSpan w:val="4"/>
          </w:tcPr>
          <w:p>
            <w:pPr>
              <w:spacing w:after="0"/>
              <w:rPr>
                <w:sz w:val="20"/>
                <w:szCs w:val="20"/>
                <w:color w:val="auto"/>
              </w:rPr>
            </w:pPr>
            <w:r>
              <w:rPr>
                <w:rFonts w:ascii="Arial" w:cs="Arial" w:eastAsia="Arial" w:hAnsi="Arial"/>
                <w:sz w:val="20"/>
                <w:szCs w:val="20"/>
                <w:color w:val="auto"/>
                <w:w w:val="98"/>
              </w:rPr>
              <w:t>Class A Common Stock</w:t>
            </w:r>
          </w:p>
        </w:tc>
        <w:tc>
          <w:tcPr>
            <w:tcW w:w="4140" w:type="dxa"/>
            <w:vAlign w:val="bottom"/>
            <w:gridSpan w:val="3"/>
          </w:tcPr>
          <w:p>
            <w:pPr>
              <w:spacing w:after="0"/>
              <w:rPr>
                <w:sz w:val="22"/>
                <w:szCs w:val="22"/>
                <w:color w:val="auto"/>
              </w:rPr>
            </w:pPr>
          </w:p>
        </w:tc>
      </w:tr>
      <w:tr>
        <w:trPr>
          <w:trHeight w:val="401"/>
        </w:trPr>
        <w:tc>
          <w:tcPr>
            <w:tcW w:w="1160" w:type="dxa"/>
            <w:vAlign w:val="bottom"/>
          </w:tcPr>
          <w:p>
            <w:pPr>
              <w:spacing w:after="0"/>
              <w:rPr>
                <w:sz w:val="24"/>
                <w:szCs w:val="24"/>
                <w:color w:val="auto"/>
              </w:rPr>
            </w:pPr>
          </w:p>
        </w:tc>
        <w:tc>
          <w:tcPr>
            <w:tcW w:w="1340" w:type="dxa"/>
            <w:vAlign w:val="bottom"/>
          </w:tcPr>
          <w:p>
            <w:pPr>
              <w:ind w:left="660"/>
              <w:spacing w:after="0"/>
              <w:rPr>
                <w:sz w:val="20"/>
                <w:szCs w:val="20"/>
                <w:color w:val="auto"/>
              </w:rPr>
            </w:pPr>
            <w:r>
              <w:rPr>
                <w:rFonts w:ascii="Arial" w:cs="Arial" w:eastAsia="Arial" w:hAnsi="Arial"/>
                <w:sz w:val="20"/>
                <w:szCs w:val="20"/>
                <w:color w:val="auto"/>
              </w:rPr>
              <w:t>(e)</w:t>
            </w:r>
          </w:p>
        </w:tc>
        <w:tc>
          <w:tcPr>
            <w:tcW w:w="6240" w:type="dxa"/>
            <w:vAlign w:val="bottom"/>
            <w:gridSpan w:val="7"/>
          </w:tcPr>
          <w:p>
            <w:pPr>
              <w:spacing w:after="0"/>
              <w:rPr>
                <w:sz w:val="20"/>
                <w:szCs w:val="20"/>
                <w:color w:val="auto"/>
              </w:rPr>
            </w:pPr>
            <w:r>
              <w:rPr>
                <w:rFonts w:ascii="Arial" w:cs="Arial" w:eastAsia="Arial" w:hAnsi="Arial"/>
                <w:sz w:val="20"/>
                <w:szCs w:val="20"/>
                <w:color w:val="auto"/>
              </w:rPr>
              <w:t>CUSIP Number:</w:t>
            </w:r>
          </w:p>
        </w:tc>
      </w:tr>
      <w:tr>
        <w:trPr>
          <w:trHeight w:val="254"/>
        </w:trPr>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98980F104</w:t>
            </w:r>
          </w:p>
        </w:tc>
        <w:tc>
          <w:tcPr>
            <w:tcW w:w="4980" w:type="dxa"/>
            <w:vAlign w:val="bottom"/>
            <w:gridSpan w:val="5"/>
          </w:tcPr>
          <w:p>
            <w:pPr>
              <w:spacing w:after="0"/>
              <w:rPr>
                <w:sz w:val="22"/>
                <w:szCs w:val="22"/>
                <w:color w:val="auto"/>
              </w:rPr>
            </w:pPr>
          </w:p>
        </w:tc>
      </w:tr>
    </w:tbl>
    <w:p>
      <w:pPr>
        <w:spacing w:after="0" w:line="19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18"/>
          <w:szCs w:val="18"/>
          <w:u w:val="single" w:color="auto"/>
          <w:color w:val="auto"/>
        </w:rPr>
        <w:t>If this statement is filed pursuant to Rule 13d-1(b), or 13d-2(b), check whether the person filing is a</w:t>
      </w:r>
      <w:r>
        <w:rPr>
          <w:rFonts w:ascii="Arial" w:cs="Arial" w:eastAsia="Arial" w:hAnsi="Arial"/>
          <w:sz w:val="18"/>
          <w:szCs w:val="18"/>
          <w:color w:val="auto"/>
        </w:rPr>
        <w:t>:</w:t>
      </w:r>
    </w:p>
    <w:p>
      <w:pPr>
        <w:spacing w:after="0" w:line="219" w:lineRule="exact"/>
        <w:rPr>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56" w:lineRule="exact"/>
        <w:rPr>
          <w:rFonts w:ascii="Arial" w:cs="Arial" w:eastAsia="Arial" w:hAnsi="Arial"/>
          <w:sz w:val="20"/>
          <w:szCs w:val="20"/>
          <w:color w:val="auto"/>
        </w:rPr>
      </w:pPr>
    </w:p>
    <w:p>
      <w:pPr>
        <w:ind w:left="1800" w:hanging="901"/>
        <w:spacing w:after="0" w:line="258"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as amended (the “Investment Company Act”);</w:t>
      </w:r>
    </w:p>
    <w:p>
      <w:pPr>
        <w:spacing w:after="0" w:line="199"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 Rule 13d-1(b)(1)(ii)(F);</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13d-1(b)(ii)(G);</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w:t>
      </w:r>
    </w:p>
    <w:p>
      <w:pPr>
        <w:spacing w:after="0" w:line="256" w:lineRule="exact"/>
        <w:rPr>
          <w:rFonts w:ascii="Arial" w:cs="Arial" w:eastAsia="Arial" w:hAnsi="Arial"/>
          <w:sz w:val="20"/>
          <w:szCs w:val="20"/>
          <w:color w:val="auto"/>
        </w:rPr>
      </w:pPr>
    </w:p>
    <w:p>
      <w:pPr>
        <w:ind w:left="1800" w:hanging="901"/>
        <w:spacing w:after="0" w:line="258"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w:t>
      </w:r>
    </w:p>
    <w:p>
      <w:pPr>
        <w:spacing w:after="0" w:line="199"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§240.13d-1(b)(1)(ii)(J); or</w:t>
      </w:r>
    </w:p>
    <w:p>
      <w:pPr>
        <w:spacing w:after="0" w:line="256" w:lineRule="exact"/>
        <w:rPr>
          <w:rFonts w:ascii="Arial" w:cs="Arial" w:eastAsia="Arial" w:hAnsi="Arial"/>
          <w:sz w:val="20"/>
          <w:szCs w:val="20"/>
          <w:color w:val="auto"/>
        </w:rPr>
      </w:pPr>
    </w:p>
    <w:p>
      <w:pPr>
        <w:ind w:left="1800" w:hanging="901"/>
        <w:spacing w:after="0" w:line="230" w:lineRule="exact"/>
        <w:tabs>
          <w:tab w:leader="none" w:pos="1800" w:val="left"/>
        </w:tabs>
        <w:numPr>
          <w:ilvl w:val="0"/>
          <w:numId w:val="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Rule13d-1(b)(1)(ii)(K);</w:t>
      </w:r>
    </w:p>
    <w:p>
      <w:pPr>
        <w:spacing w:after="0" w:line="252" w:lineRule="exact"/>
        <w:rPr>
          <w:rFonts w:ascii="Arial" w:cs="Arial" w:eastAsia="Arial" w:hAnsi="Arial"/>
          <w:sz w:val="20"/>
          <w:szCs w:val="20"/>
          <w:color w:val="auto"/>
        </w:rPr>
      </w:pPr>
    </w:p>
    <w:p>
      <w:pPr>
        <w:ind w:left="1800" w:right="20"/>
        <w:spacing w:after="0" w:line="260" w:lineRule="auto"/>
        <w:rPr>
          <w:rFonts w:ascii="Arial" w:cs="Arial" w:eastAsia="Arial" w:hAnsi="Arial"/>
          <w:sz w:val="20"/>
          <w:szCs w:val="20"/>
          <w:color w:val="auto"/>
        </w:rPr>
      </w:pPr>
      <w:r>
        <w:rPr>
          <w:rFonts w:ascii="Arial" w:cs="Arial" w:eastAsia="Arial" w:hAnsi="Arial"/>
          <w:sz w:val="20"/>
          <w:szCs w:val="20"/>
          <w:color w:val="auto"/>
        </w:rPr>
        <w:t>If filing as a non-U.S. institution in accordance with §240.13d-1(b)(1)(ii)(J), please specify the type of institution: German investment adviser.</w:t>
      </w:r>
    </w:p>
    <w:p>
      <w:pPr>
        <w:sectPr>
          <w:pgSz w:w="11900" w:h="16838" w:orient="portrait"/>
          <w:cols w:equalWidth="0" w:num="1">
            <w:col w:w="11240"/>
          </w:cols>
          <w:pgMar w:left="320" w:top="334" w:right="33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236601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w:t>
      </w:r>
    </w:p>
    <w:p>
      <w:pPr>
        <w:spacing w:after="0" w:line="243" w:lineRule="exact"/>
        <w:rPr>
          <w:sz w:val="20"/>
          <w:szCs w:val="20"/>
          <w:color w:val="auto"/>
        </w:rPr>
      </w:pPr>
    </w:p>
    <w:p>
      <w:pPr>
        <w:ind w:left="1800" w:hanging="901"/>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Amount beneficially owned: 7,018,200</w:t>
      </w:r>
    </w:p>
    <w:p>
      <w:pPr>
        <w:spacing w:after="0" w:line="242" w:lineRule="exact"/>
        <w:rPr>
          <w:rFonts w:ascii="Arial" w:cs="Arial" w:eastAsia="Arial" w:hAnsi="Arial"/>
          <w:sz w:val="20"/>
          <w:szCs w:val="20"/>
          <w:color w:val="auto"/>
        </w:rPr>
      </w:pPr>
    </w:p>
    <w:p>
      <w:pPr>
        <w:ind w:left="1800" w:hanging="901"/>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8.6%</w:t>
      </w:r>
    </w:p>
    <w:p>
      <w:pPr>
        <w:spacing w:after="0" w:line="242" w:lineRule="exact"/>
        <w:rPr>
          <w:rFonts w:ascii="Arial" w:cs="Arial" w:eastAsia="Arial" w:hAnsi="Arial"/>
          <w:sz w:val="20"/>
          <w:szCs w:val="20"/>
          <w:color w:val="auto"/>
        </w:rPr>
      </w:pPr>
    </w:p>
    <w:p>
      <w:pPr>
        <w:ind w:left="1800" w:hanging="901"/>
        <w:spacing w:after="0"/>
        <w:tabs>
          <w:tab w:leader="none" w:pos="18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Number of shares as to which such person has:</w:t>
      </w:r>
    </w:p>
    <w:p>
      <w:pPr>
        <w:spacing w:after="0" w:line="242" w:lineRule="exact"/>
        <w:rPr>
          <w:rFonts w:ascii="Arial" w:cs="Arial" w:eastAsia="Arial" w:hAnsi="Arial"/>
          <w:sz w:val="20"/>
          <w:szCs w:val="20"/>
          <w:color w:val="auto"/>
        </w:rPr>
      </w:pPr>
    </w:p>
    <w:p>
      <w:pPr>
        <w:ind w:left="2700" w:hanging="897"/>
        <w:spacing w:after="0"/>
        <w:tabs>
          <w:tab w:leader="none" w:pos="2700" w:val="left"/>
        </w:tabs>
        <w:numPr>
          <w:ilvl w:val="1"/>
          <w:numId w:val="5"/>
        </w:numPr>
        <w:rPr>
          <w:rFonts w:ascii="Arial" w:cs="Arial" w:eastAsia="Arial" w:hAnsi="Arial"/>
          <w:sz w:val="20"/>
          <w:szCs w:val="20"/>
          <w:color w:val="auto"/>
        </w:rPr>
      </w:pPr>
      <w:r>
        <w:rPr>
          <w:rFonts w:ascii="Arial" w:cs="Arial" w:eastAsia="Arial" w:hAnsi="Arial"/>
          <w:sz w:val="20"/>
          <w:szCs w:val="20"/>
          <w:color w:val="auto"/>
        </w:rPr>
        <w:t>Sole power to vote or direct the vote:</w:t>
      </w:r>
    </w:p>
    <w:p>
      <w:pPr>
        <w:spacing w:after="0" w:line="215" w:lineRule="exact"/>
        <w:rPr>
          <w:rFonts w:ascii="Arial" w:cs="Arial" w:eastAsia="Arial" w:hAnsi="Arial"/>
          <w:sz w:val="20"/>
          <w:szCs w:val="20"/>
          <w:color w:val="auto"/>
        </w:rPr>
      </w:pPr>
    </w:p>
    <w:p>
      <w:pPr>
        <w:ind w:left="2700"/>
        <w:spacing w:after="0"/>
        <w:rPr>
          <w:rFonts w:ascii="Arial" w:cs="Arial" w:eastAsia="Arial" w:hAnsi="Arial"/>
          <w:sz w:val="20"/>
          <w:szCs w:val="20"/>
          <w:color w:val="auto"/>
        </w:rPr>
      </w:pPr>
      <w:r>
        <w:rPr>
          <w:rFonts w:ascii="Arial" w:cs="Arial" w:eastAsia="Arial" w:hAnsi="Arial"/>
          <w:sz w:val="20"/>
          <w:szCs w:val="20"/>
          <w:color w:val="auto"/>
        </w:rPr>
        <w:t>Allianz Global Investors U.S. LLC (“AGI US”): 2,495,015</w:t>
      </w:r>
    </w:p>
    <w:p>
      <w:pPr>
        <w:spacing w:after="0" w:line="15" w:lineRule="exact"/>
        <w:rPr>
          <w:rFonts w:ascii="Arial" w:cs="Arial" w:eastAsia="Arial" w:hAnsi="Arial"/>
          <w:sz w:val="20"/>
          <w:szCs w:val="20"/>
          <w:color w:val="auto"/>
        </w:rPr>
      </w:pPr>
    </w:p>
    <w:p>
      <w:pPr>
        <w:ind w:left="2700"/>
        <w:spacing w:after="0"/>
        <w:rPr>
          <w:rFonts w:ascii="Arial" w:cs="Arial" w:eastAsia="Arial" w:hAnsi="Arial"/>
          <w:sz w:val="20"/>
          <w:szCs w:val="20"/>
          <w:color w:val="auto"/>
        </w:rPr>
      </w:pPr>
      <w:r>
        <w:rPr>
          <w:rFonts w:ascii="Arial" w:cs="Arial" w:eastAsia="Arial" w:hAnsi="Arial"/>
          <w:sz w:val="20"/>
          <w:szCs w:val="20"/>
          <w:color w:val="auto"/>
        </w:rPr>
        <w:t>AGI GmbH: 4,451,240</w:t>
      </w:r>
    </w:p>
    <w:p>
      <w:pPr>
        <w:spacing w:after="0" w:line="226" w:lineRule="exact"/>
        <w:rPr>
          <w:rFonts w:ascii="Arial" w:cs="Arial" w:eastAsia="Arial" w:hAnsi="Arial"/>
          <w:sz w:val="20"/>
          <w:szCs w:val="20"/>
          <w:color w:val="auto"/>
        </w:rPr>
      </w:pPr>
    </w:p>
    <w:p>
      <w:pPr>
        <w:ind w:left="2700" w:right="6800" w:hanging="897"/>
        <w:spacing w:after="0" w:line="532" w:lineRule="auto"/>
        <w:tabs>
          <w:tab w:leader="none" w:pos="2691"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AGI US: 71,945</w:t>
      </w:r>
    </w:p>
    <w:p>
      <w:pPr>
        <w:ind w:left="2700" w:hanging="897"/>
        <w:spacing w:after="0"/>
        <w:tabs>
          <w:tab w:leader="none" w:pos="2700" w:val="left"/>
        </w:tabs>
        <w:numPr>
          <w:ilvl w:val="1"/>
          <w:numId w:val="5"/>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w:t>
      </w:r>
    </w:p>
    <w:p>
      <w:pPr>
        <w:spacing w:after="0" w:line="215" w:lineRule="exact"/>
        <w:rPr>
          <w:rFonts w:ascii="Arial" w:cs="Arial" w:eastAsia="Arial" w:hAnsi="Arial"/>
          <w:sz w:val="20"/>
          <w:szCs w:val="20"/>
          <w:color w:val="auto"/>
        </w:rPr>
      </w:pPr>
    </w:p>
    <w:p>
      <w:pPr>
        <w:ind w:left="2700"/>
        <w:spacing w:after="0"/>
        <w:rPr>
          <w:rFonts w:ascii="Arial" w:cs="Arial" w:eastAsia="Arial" w:hAnsi="Arial"/>
          <w:sz w:val="20"/>
          <w:szCs w:val="20"/>
          <w:color w:val="auto"/>
        </w:rPr>
      </w:pPr>
      <w:r>
        <w:rPr>
          <w:rFonts w:ascii="Arial" w:cs="Arial" w:eastAsia="Arial" w:hAnsi="Arial"/>
          <w:sz w:val="20"/>
          <w:szCs w:val="20"/>
          <w:color w:val="auto"/>
        </w:rPr>
        <w:t>AGI US: 2,566,960</w:t>
      </w:r>
    </w:p>
    <w:p>
      <w:pPr>
        <w:spacing w:after="0" w:line="15" w:lineRule="exact"/>
        <w:rPr>
          <w:rFonts w:ascii="Arial" w:cs="Arial" w:eastAsia="Arial" w:hAnsi="Arial"/>
          <w:sz w:val="20"/>
          <w:szCs w:val="20"/>
          <w:color w:val="auto"/>
        </w:rPr>
      </w:pPr>
    </w:p>
    <w:p>
      <w:pPr>
        <w:ind w:left="2700"/>
        <w:spacing w:after="0"/>
        <w:rPr>
          <w:rFonts w:ascii="Arial" w:cs="Arial" w:eastAsia="Arial" w:hAnsi="Arial"/>
          <w:sz w:val="20"/>
          <w:szCs w:val="20"/>
          <w:color w:val="auto"/>
        </w:rPr>
      </w:pPr>
      <w:r>
        <w:rPr>
          <w:rFonts w:ascii="Arial" w:cs="Arial" w:eastAsia="Arial" w:hAnsi="Arial"/>
          <w:sz w:val="20"/>
          <w:szCs w:val="20"/>
          <w:color w:val="auto"/>
        </w:rPr>
        <w:t>AGI GmbH: 4,451,240</w:t>
      </w:r>
    </w:p>
    <w:p>
      <w:pPr>
        <w:spacing w:after="0" w:line="226" w:lineRule="exact"/>
        <w:rPr>
          <w:rFonts w:ascii="Arial" w:cs="Arial" w:eastAsia="Arial" w:hAnsi="Arial"/>
          <w:sz w:val="20"/>
          <w:szCs w:val="20"/>
          <w:color w:val="auto"/>
        </w:rPr>
      </w:pPr>
    </w:p>
    <w:p>
      <w:pPr>
        <w:ind w:left="2700" w:hanging="897"/>
        <w:spacing w:after="0"/>
        <w:tabs>
          <w:tab w:leader="none" w:pos="2700" w:val="left"/>
        </w:tabs>
        <w:numPr>
          <w:ilvl w:val="1"/>
          <w:numId w:val="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0</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Each of the entities named in this Item 4 (collectively, the “AGI Advisers”) is an investment adviser registered under Section 203 of the Investment Advisers Act of 1940, as amended, and a directly or indirectly wholly-owned subsidiary of AGI US Holdings except that AGI GmbH, an affiliate (but not a subsidiary) of AGI US Holdings, is a non-U.S. institution as described in Item 3(j).</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securities reported in this Schedule 13G are held by investment advisory clients or discretionary accounts of which an AGI Adviser is the investment adviser. When an investment management contract (including a sub-advisory agreement) delegates to an AGI Adviser investment discretion or voting power over the securities held in the investment advisory accounts that are subject to that agreement, AGI US Holdings treats the AGI Adviser as having sole investment discretion or voting authority, as the case may be, for purposes of Schedule 13G filings unless the agreement specifies otherwise. Accordingly, this Schedule 13G reports that each AGI Adviser has sole investment discretion and voting authority over the securities covered by any such investment management agreement. Each AGI Adviser may be deemed to beneficially own the securities held by its clients or accounts within the meaning of rule 13d-3 under the Act. Because AGI US Holdings is the parent holding company of the AGI Advisers that are its subsidiaries, it may be deemed to beneficially own the securities held by those AGI Advisers’ clients or accounts.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accordance with SEC Release No. 34-39538 (January 12, 1998), this Schedule 13G reports the securities beneficially owned, or deemed to be beneficially owned, by certain subsidiaries and affiliates of AGI US Holdings. It does not include securities, if any, beneficially owned by affiliates of AGI US Holdings whose ownership of securities is disaggregated from that of AGI US Holdings and the AGI Advisers in accordance with that release.</w:t>
      </w:r>
    </w:p>
    <w:p>
      <w:pPr>
        <w:spacing w:after="0" w:line="19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AGI US Holdings and the AGI Advisers believe that they do not constitute a “group” within the meaning of Rule 13d-5 under the Act and that they are not otherwise required to attribute to each other the beneficial ownership of the securities reported in this Schedule 13G held by any of them or by any persons or entities for whom or for which any AGI Adviser provides investment management services. Each of AGI US Holdings and the AGI Advisers also disclaims beneficial ownership of these securities except to the extent of that filer’s pecuniary interest therein.</w:t>
      </w:r>
    </w:p>
    <w:p>
      <w:pPr>
        <w:sectPr>
          <w:pgSz w:w="11900" w:h="16838" w:orient="portrait"/>
          <w:cols w:equalWidth="0" w:num="1">
            <w:col w:w="11240"/>
          </w:cols>
          <w:pgMar w:left="320" w:top="334"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236601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16" w:lineRule="exact"/>
        <w:rPr>
          <w:sz w:val="20"/>
          <w:szCs w:val="20"/>
          <w:color w:val="auto"/>
        </w:rPr>
      </w:pPr>
    </w:p>
    <w:p>
      <w:pPr>
        <w:ind w:right="460" w:firstLine="1797"/>
        <w:spacing w:after="0" w:line="257" w:lineRule="exact"/>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0"/>
          <w:szCs w:val="20"/>
          <w:color w:val="auto"/>
        </w:rPr>
        <w:t>☐</w:t>
      </w:r>
      <w:r>
        <w:rPr>
          <w:rFonts w:ascii="Arial" w:cs="Arial" w:eastAsia="Arial" w:hAnsi="Arial"/>
          <w:sz w:val="20"/>
          <w:szCs w:val="20"/>
          <w:color w:val="auto"/>
        </w:rPr>
        <w:t>.</w:t>
      </w:r>
    </w:p>
    <w:p>
      <w:pPr>
        <w:spacing w:after="0" w:line="202" w:lineRule="exact"/>
        <w:rPr>
          <w:sz w:val="20"/>
          <w:szCs w:val="20"/>
          <w:color w:val="auto"/>
        </w:rPr>
      </w:pPr>
    </w:p>
    <w:p>
      <w:pPr>
        <w:spacing w:after="0"/>
        <w:tabs>
          <w:tab w:leader="none" w:pos="178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u w:val="single" w:color="auto"/>
          <w:color w:val="auto"/>
        </w:rPr>
        <w:t>Ownership of More than Five Percent on Behalf of Another Person</w:t>
      </w:r>
      <w:r>
        <w:rPr>
          <w:rFonts w:ascii="Arial" w:cs="Arial" w:eastAsia="Arial" w:hAnsi="Arial"/>
          <w:sz w:val="18"/>
          <w:szCs w:val="18"/>
          <w:color w:val="auto"/>
        </w:rPr>
        <w:t>.</w:t>
      </w:r>
    </w:p>
    <w:p>
      <w:pPr>
        <w:spacing w:after="0" w:line="216" w:lineRule="exact"/>
        <w:rPr>
          <w:sz w:val="20"/>
          <w:szCs w:val="20"/>
          <w:color w:val="auto"/>
        </w:rPr>
      </w:pPr>
    </w:p>
    <w:p>
      <w:pPr>
        <w:ind w:right="200" w:firstLine="1797"/>
        <w:spacing w:after="0" w:line="291" w:lineRule="auto"/>
        <w:rPr>
          <w:sz w:val="20"/>
          <w:szCs w:val="20"/>
          <w:color w:val="auto"/>
        </w:rPr>
      </w:pPr>
      <w:r>
        <w:rPr>
          <w:rFonts w:ascii="Arial" w:cs="Arial" w:eastAsia="Arial" w:hAnsi="Arial"/>
          <w:sz w:val="18"/>
          <w:szCs w:val="18"/>
          <w:color w:val="auto"/>
        </w:rPr>
        <w:t>See Item 4. Each client of an AGI Adviser named in this Schedule 13G has the right to receive or the power to direct the receipt of dividends from, or the proceeds from the sale of the securities reported herein. No one client holds more than five percent of such securities other than Allianz Global Artificial Intelligence which holds 4,201,735 shares, or 5.1% of the class of such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Item 7</w:t>
            </w:r>
          </w:p>
        </w:tc>
        <w:tc>
          <w:tcPr>
            <w:tcW w:w="680" w:type="dxa"/>
            <w:vAlign w:val="bottom"/>
          </w:tcPr>
          <w:p>
            <w:pPr>
              <w:spacing w:after="0"/>
              <w:rPr>
                <w:sz w:val="19"/>
                <w:szCs w:val="19"/>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0"/>
              </w:rPr>
              <w:t>Identification and Classification of the Subsidiary Which Acquired the Security Being Reported on By the Parent</w:t>
            </w:r>
          </w:p>
        </w:tc>
      </w:tr>
      <w:tr>
        <w:trPr>
          <w:trHeight w:val="209"/>
        </w:trPr>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980" w:type="dxa"/>
            <w:vAlign w:val="bottom"/>
            <w:gridSpan w:val="2"/>
          </w:tcPr>
          <w:p>
            <w:pPr>
              <w:spacing w:after="0" w:line="209" w:lineRule="exact"/>
              <w:rPr>
                <w:sz w:val="20"/>
                <w:szCs w:val="20"/>
                <w:color w:val="auto"/>
              </w:rPr>
            </w:pPr>
            <w:r>
              <w:rPr>
                <w:rFonts w:ascii="Arial" w:cs="Arial" w:eastAsia="Arial" w:hAnsi="Arial"/>
                <w:sz w:val="20"/>
                <w:szCs w:val="20"/>
                <w:color w:val="auto"/>
              </w:rPr>
              <w:t>Holding Company.</w:t>
            </w:r>
          </w:p>
        </w:tc>
      </w:tr>
      <w:tr>
        <w:trPr>
          <w:trHeight w:val="20"/>
        </w:trPr>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70"/>
        </w:trPr>
        <w:tc>
          <w:tcPr>
            <w:tcW w:w="1120" w:type="dxa"/>
            <w:vAlign w:val="bottom"/>
          </w:tcPr>
          <w:p>
            <w:pPr>
              <w:spacing w:after="0"/>
              <w:rPr>
                <w:sz w:val="24"/>
                <w:szCs w:val="24"/>
                <w:color w:val="auto"/>
              </w:rPr>
            </w:pPr>
          </w:p>
        </w:tc>
        <w:tc>
          <w:tcPr>
            <w:tcW w:w="9660" w:type="dxa"/>
            <w:vAlign w:val="bottom"/>
            <w:gridSpan w:val="3"/>
          </w:tcPr>
          <w:p>
            <w:pPr>
              <w:ind w:left="620"/>
              <w:spacing w:after="0"/>
              <w:rPr>
                <w:sz w:val="20"/>
                <w:szCs w:val="20"/>
                <w:color w:val="auto"/>
              </w:rPr>
            </w:pPr>
            <w:r>
              <w:rPr>
                <w:rFonts w:ascii="Arial" w:cs="Arial" w:eastAsia="Arial" w:hAnsi="Arial"/>
                <w:sz w:val="20"/>
                <w:szCs w:val="20"/>
                <w:color w:val="auto"/>
              </w:rPr>
              <w:t>See Items 3 and 4.</w:t>
            </w:r>
          </w:p>
        </w:tc>
      </w:tr>
    </w:tbl>
    <w:p>
      <w:pPr>
        <w:spacing w:after="0" w:line="195" w:lineRule="exact"/>
        <w:rPr>
          <w:sz w:val="20"/>
          <w:szCs w:val="20"/>
          <w:color w:val="auto"/>
        </w:rPr>
      </w:pPr>
    </w:p>
    <w:p>
      <w:pPr>
        <w:ind w:right="340" w:firstLine="1797"/>
        <w:spacing w:after="0" w:line="316" w:lineRule="auto"/>
        <w:rPr>
          <w:sz w:val="20"/>
          <w:szCs w:val="20"/>
          <w:color w:val="auto"/>
        </w:rPr>
      </w:pPr>
      <w:r>
        <w:rPr>
          <w:rFonts w:ascii="Arial" w:cs="Arial" w:eastAsia="Arial" w:hAnsi="Arial"/>
          <w:sz w:val="18"/>
          <w:szCs w:val="18"/>
          <w:color w:val="auto"/>
        </w:rPr>
        <w:t>Additionally, AGI US is an investment adviser as described in Item 3(e), and is registered under Section 203 of the Investment Advisers Act of 1940. AGI GmbH is non-U.S. institution as described in Item 3(j) and is a German investment adviser.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20"/>
                <w:szCs w:val="20"/>
                <w:color w:val="auto"/>
              </w:rPr>
              <w:t>Item 8</w:t>
            </w:r>
          </w:p>
        </w:tc>
        <w:tc>
          <w:tcPr>
            <w:tcW w:w="620" w:type="dxa"/>
            <w:vAlign w:val="bottom"/>
          </w:tcPr>
          <w:p>
            <w:pPr>
              <w:spacing w:after="0"/>
              <w:rPr>
                <w:sz w:val="19"/>
                <w:szCs w:val="19"/>
                <w:color w:val="auto"/>
              </w:rPr>
            </w:pPr>
          </w:p>
        </w:tc>
        <w:tc>
          <w:tcPr>
            <w:tcW w:w="4660" w:type="dxa"/>
            <w:vAlign w:val="bottom"/>
            <w:gridSpan w:val="4"/>
          </w:tcPr>
          <w:p>
            <w:pPr>
              <w:spacing w:after="0"/>
              <w:rPr>
                <w:sz w:val="20"/>
                <w:szCs w:val="20"/>
                <w:color w:val="auto"/>
              </w:rPr>
            </w:pPr>
            <w:r>
              <w:rPr>
                <w:rFonts w:ascii="Arial" w:cs="Arial" w:eastAsia="Arial" w:hAnsi="Arial"/>
                <w:sz w:val="20"/>
                <w:szCs w:val="20"/>
                <w:color w:val="auto"/>
                <w:w w:val="91"/>
              </w:rPr>
              <w:t>Identification and Classification of Members of the Group.</w:t>
            </w:r>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0"/>
        </w:trPr>
        <w:tc>
          <w:tcPr>
            <w:tcW w:w="1180" w:type="dxa"/>
            <w:vAlign w:val="bottom"/>
          </w:tcPr>
          <w:p>
            <w:pPr>
              <w:spacing w:after="0"/>
              <w:rPr>
                <w:sz w:val="24"/>
                <w:szCs w:val="24"/>
                <w:color w:val="auto"/>
              </w:rPr>
            </w:pPr>
          </w:p>
        </w:tc>
        <w:tc>
          <w:tcPr>
            <w:tcW w:w="5280" w:type="dxa"/>
            <w:vAlign w:val="bottom"/>
            <w:gridSpan w:val="5"/>
          </w:tcPr>
          <w:p>
            <w:pPr>
              <w:ind w:left="560"/>
              <w:spacing w:after="0"/>
              <w:rPr>
                <w:sz w:val="20"/>
                <w:szCs w:val="20"/>
                <w:color w:val="auto"/>
              </w:rPr>
            </w:pPr>
            <w:r>
              <w:rPr>
                <w:rFonts w:ascii="Arial" w:cs="Arial" w:eastAsia="Arial" w:hAnsi="Arial"/>
                <w:sz w:val="20"/>
                <w:szCs w:val="20"/>
                <w:color w:val="auto"/>
              </w:rPr>
              <w:t>Not Applicable.</w:t>
            </w:r>
          </w:p>
        </w:tc>
      </w:tr>
      <w:tr>
        <w:trPr>
          <w:trHeight w:val="428"/>
        </w:trPr>
        <w:tc>
          <w:tcPr>
            <w:tcW w:w="1180" w:type="dxa"/>
            <w:vAlign w:val="bottom"/>
          </w:tcPr>
          <w:p>
            <w:pPr>
              <w:spacing w:after="0"/>
              <w:rPr>
                <w:sz w:val="20"/>
                <w:szCs w:val="20"/>
                <w:color w:val="auto"/>
              </w:rPr>
            </w:pPr>
            <w:r>
              <w:rPr>
                <w:rFonts w:ascii="Arial" w:cs="Arial" w:eastAsia="Arial" w:hAnsi="Arial"/>
                <w:sz w:val="20"/>
                <w:szCs w:val="20"/>
                <w:color w:val="auto"/>
              </w:rPr>
              <w:t>Item 9</w:t>
            </w:r>
          </w:p>
        </w:tc>
        <w:tc>
          <w:tcPr>
            <w:tcW w:w="620" w:type="dxa"/>
            <w:vAlign w:val="bottom"/>
          </w:tcPr>
          <w:p>
            <w:pPr>
              <w:spacing w:after="0"/>
              <w:rPr>
                <w:sz w:val="24"/>
                <w:szCs w:val="24"/>
                <w:color w:val="auto"/>
              </w:rPr>
            </w:pPr>
          </w:p>
        </w:tc>
        <w:tc>
          <w:tcPr>
            <w:tcW w:w="4660" w:type="dxa"/>
            <w:vAlign w:val="bottom"/>
            <w:gridSpan w:val="4"/>
          </w:tcPr>
          <w:p>
            <w:pPr>
              <w:spacing w:after="0"/>
              <w:rPr>
                <w:sz w:val="20"/>
                <w:szCs w:val="20"/>
                <w:color w:val="auto"/>
              </w:rPr>
            </w:pPr>
            <w:r>
              <w:rPr>
                <w:rFonts w:ascii="Arial" w:cs="Arial" w:eastAsia="Arial" w:hAnsi="Arial"/>
                <w:sz w:val="20"/>
                <w:szCs w:val="20"/>
                <w:color w:val="auto"/>
              </w:rPr>
              <w:t>Notice of Dissolution of Group.</w:t>
            </w:r>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70"/>
        </w:trPr>
        <w:tc>
          <w:tcPr>
            <w:tcW w:w="1180" w:type="dxa"/>
            <w:vAlign w:val="bottom"/>
          </w:tcPr>
          <w:p>
            <w:pPr>
              <w:spacing w:after="0"/>
              <w:rPr>
                <w:sz w:val="24"/>
                <w:szCs w:val="24"/>
                <w:color w:val="auto"/>
              </w:rPr>
            </w:pPr>
          </w:p>
        </w:tc>
        <w:tc>
          <w:tcPr>
            <w:tcW w:w="5280" w:type="dxa"/>
            <w:vAlign w:val="bottom"/>
            <w:gridSpan w:val="5"/>
          </w:tcPr>
          <w:p>
            <w:pPr>
              <w:ind w:left="560"/>
              <w:spacing w:after="0"/>
              <w:rPr>
                <w:sz w:val="20"/>
                <w:szCs w:val="20"/>
                <w:color w:val="auto"/>
              </w:rPr>
            </w:pPr>
            <w:r>
              <w:rPr>
                <w:rFonts w:ascii="Arial" w:cs="Arial" w:eastAsia="Arial" w:hAnsi="Arial"/>
                <w:sz w:val="20"/>
                <w:szCs w:val="20"/>
                <w:color w:val="auto"/>
              </w:rPr>
              <w:t>Not Applicable.</w:t>
            </w:r>
          </w:p>
        </w:tc>
      </w:tr>
      <w:tr>
        <w:trPr>
          <w:trHeight w:val="428"/>
        </w:trPr>
        <w:tc>
          <w:tcPr>
            <w:tcW w:w="1180" w:type="dxa"/>
            <w:vAlign w:val="bottom"/>
          </w:tcPr>
          <w:p>
            <w:pPr>
              <w:spacing w:after="0"/>
              <w:rPr>
                <w:sz w:val="20"/>
                <w:szCs w:val="20"/>
                <w:color w:val="auto"/>
              </w:rPr>
            </w:pPr>
            <w:r>
              <w:rPr>
                <w:rFonts w:ascii="Arial" w:cs="Arial" w:eastAsia="Arial" w:hAnsi="Arial"/>
                <w:sz w:val="20"/>
                <w:szCs w:val="20"/>
                <w:color w:val="auto"/>
              </w:rPr>
              <w:t>Item 10</w:t>
            </w:r>
          </w:p>
        </w:tc>
        <w:tc>
          <w:tcPr>
            <w:tcW w:w="620" w:type="dxa"/>
            <w:vAlign w:val="bottom"/>
          </w:tcPr>
          <w:p>
            <w:pPr>
              <w:spacing w:after="0"/>
              <w:rPr>
                <w:sz w:val="24"/>
                <w:szCs w:val="24"/>
                <w:color w:val="auto"/>
              </w:rPr>
            </w:pPr>
          </w:p>
        </w:tc>
        <w:tc>
          <w:tcPr>
            <w:tcW w:w="4660" w:type="dxa"/>
            <w:vAlign w:val="bottom"/>
            <w:gridSpan w:val="4"/>
          </w:tcPr>
          <w:p>
            <w:pPr>
              <w:spacing w:after="0"/>
              <w:rPr>
                <w:sz w:val="20"/>
                <w:szCs w:val="20"/>
                <w:color w:val="auto"/>
              </w:rPr>
            </w:pPr>
            <w:r>
              <w:rPr>
                <w:rFonts w:ascii="Arial" w:cs="Arial" w:eastAsia="Arial" w:hAnsi="Arial"/>
                <w:sz w:val="20"/>
                <w:szCs w:val="20"/>
                <w:color w:val="auto"/>
              </w:rPr>
              <w:t>Certification.</w:t>
            </w:r>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1797"/>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61" w:lineRule="exact"/>
        <w:rPr>
          <w:sz w:val="20"/>
          <w:szCs w:val="20"/>
          <w:color w:val="auto"/>
        </w:rPr>
      </w:pPr>
    </w:p>
    <w:p>
      <w:pPr>
        <w:jc w:val="both"/>
        <w:ind w:firstLine="1797"/>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foreign regulatory scheme applicable to AGI GmbH is substantially comparable to the regulatory scheme applicable to the functionally equivalent U.S. institution(s). I also undertake to furnish to the Commission staff, upon request, information that would otherwise be disclosed in a Schedule 13D.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Exhibit A - Joint Filing Agreement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Exhibit B - Limited Power of Attorney for U.S. Regulatory Reporting Obligations</w:t>
      </w:r>
    </w:p>
    <w:p>
      <w:pPr>
        <w:sectPr>
          <w:pgSz w:w="11900" w:h="16838" w:orient="portrait"/>
          <w:cols w:equalWidth="0" w:num="1">
            <w:col w:w="11240"/>
          </w:cols>
          <w:pgMar w:left="320" w:top="334"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236601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ind w:left="5360"/>
        <w:spacing w:after="0"/>
        <w:rPr>
          <w:sz w:val="20"/>
          <w:szCs w:val="20"/>
          <w:color w:val="auto"/>
        </w:rPr>
      </w:pPr>
      <w:r>
        <w:rPr>
          <w:rFonts w:ascii="Arial" w:cs="Arial" w:eastAsia="Arial" w:hAnsi="Arial"/>
          <w:sz w:val="20"/>
          <w:szCs w:val="20"/>
          <w:u w:val="single" w:color="auto"/>
          <w:color w:val="auto"/>
        </w:rPr>
        <w:t>SIGNATURE</w:t>
      </w:r>
    </w:p>
    <w:p>
      <w:pPr>
        <w:spacing w:after="0" w:line="200" w:lineRule="exact"/>
        <w:rPr>
          <w:sz w:val="20"/>
          <w:szCs w:val="20"/>
          <w:color w:val="auto"/>
        </w:rPr>
      </w:pPr>
    </w:p>
    <w:p>
      <w:pPr>
        <w:spacing w:after="0" w:line="232" w:lineRule="exact"/>
        <w:rPr>
          <w:sz w:val="20"/>
          <w:szCs w:val="20"/>
          <w:color w:val="auto"/>
        </w:rPr>
      </w:pPr>
    </w:p>
    <w:p>
      <w:pPr>
        <w:ind w:firstLine="1797"/>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Date: February 10,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ALLIANZ GLOBAL INVESTORS U.S. HOLDINGS LLC</w:t>
      </w:r>
    </w:p>
    <w:p>
      <w:pPr>
        <w:spacing w:after="0" w:line="2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Paul Koo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032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Director and US Head of Business and Regulatory Compliance</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ALLIANZ GLOBAL INVESTORS GmbH</w:t>
      </w:r>
    </w:p>
    <w:p>
      <w:pPr>
        <w:spacing w:after="0" w:line="200" w:lineRule="exact"/>
        <w:rPr>
          <w:sz w:val="20"/>
          <w:szCs w:val="20"/>
          <w:color w:val="auto"/>
        </w:rPr>
      </w:pP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Paul Koo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Authorized Signatory</w:t>
      </w:r>
    </w:p>
    <w:p>
      <w:pPr>
        <w:sectPr>
          <w:pgSz w:w="11900" w:h="16838" w:orient="portrait"/>
          <w:cols w:equalWidth="0" w:num="1">
            <w:col w:w="11240"/>
          </w:cols>
          <w:pgMar w:left="320" w:top="334" w:right="339" w:bottom="1440" w:gutter="0" w:footer="0" w:header="0"/>
          <w:type w:val="continuous"/>
        </w:sectPr>
      </w:pPr>
    </w:p>
    <w:bookmarkStart w:id="7" w:name="page8"/>
    <w:bookmarkEnd w:id="7"/>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236601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or Schedule 13G (and any amendments or supplements thereto) required under section 13(d) of the Securities Exchange Act of 1934, as amended, in connection with transactions by the undersigned in the securities of any issuer. For that purpose, Allianz Global Investors GmbH, a German corporation (“AGI GmbH”) hereby constitutes and appoints Allianz Global Investors U.S. Holdings LLC, a Delaware limited liability company, as its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transactions, and to do and perform every act necessary and proper to be done incident to the exercise of the foregoing power, as fully as AGI GmbH might or could do if personally present.</w:t>
      </w:r>
    </w:p>
    <w:p>
      <w:pPr>
        <w:spacing w:after="0" w:line="40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Date: February 10, 2021</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ALLIANZ GLOBAL INVESTORS U.S. HOLDINGS LLC</w:t>
      </w:r>
    </w:p>
    <w:p>
      <w:pPr>
        <w:spacing w:after="0" w:line="2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Paul Koo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032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Director and US Head of Business and Regulatory Compliance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ALLIANZ GLOBAL INVESTORS GmbH</w:t>
      </w:r>
    </w:p>
    <w:p>
      <w:pPr>
        <w:spacing w:after="0" w:line="2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Paul Koo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0325"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20"/>
          <w:szCs w:val="20"/>
          <w:color w:val="auto"/>
        </w:rPr>
        <w:t>Authorized Signatory</w:t>
      </w:r>
    </w:p>
    <w:p>
      <w:pPr>
        <w:sectPr>
          <w:pgSz w:w="11900" w:h="16838" w:orient="portrait"/>
          <w:cols w:equalWidth="0" w:num="1">
            <w:col w:w="11240"/>
          </w:cols>
          <w:pgMar w:left="320" w:top="334" w:right="339" w:bottom="1440" w:gutter="0" w:footer="0" w:header="0"/>
          <w:type w:val="continuous"/>
        </w:sectPr>
      </w:pPr>
    </w:p>
    <w:bookmarkStart w:id="8" w:name="page9"/>
    <w:bookmarkEnd w:id="8"/>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2366010"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LIMITED 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w:t>
      </w:r>
    </w:p>
    <w:p>
      <w:pPr>
        <w:jc w:val="center"/>
        <w:spacing w:after="0"/>
        <w:rPr>
          <w:sz w:val="20"/>
          <w:szCs w:val="20"/>
          <w:color w:val="auto"/>
        </w:rPr>
      </w:pPr>
      <w:r>
        <w:rPr>
          <w:rFonts w:ascii="Arial" w:cs="Arial" w:eastAsia="Arial" w:hAnsi="Arial"/>
          <w:sz w:val="20"/>
          <w:szCs w:val="20"/>
          <w:color w:val="auto"/>
        </w:rPr>
        <w:t>U.S. REGULATORY REPORTING OBLIGATIONS</w:t>
      </w:r>
    </w:p>
    <w:p>
      <w:pPr>
        <w:spacing w:after="0" w:line="200" w:lineRule="exact"/>
        <w:rPr>
          <w:sz w:val="20"/>
          <w:szCs w:val="20"/>
          <w:color w:val="auto"/>
        </w:rPr>
      </w:pPr>
    </w:p>
    <w:p>
      <w:pPr>
        <w:jc w:val="both"/>
        <w:ind w:firstLine="674"/>
        <w:spacing w:after="0" w:line="250" w:lineRule="auto"/>
        <w:rPr>
          <w:sz w:val="20"/>
          <w:szCs w:val="20"/>
          <w:color w:val="auto"/>
        </w:rPr>
      </w:pPr>
      <w:r>
        <w:rPr>
          <w:rFonts w:ascii="Arial" w:cs="Arial" w:eastAsia="Arial" w:hAnsi="Arial"/>
          <w:sz w:val="20"/>
          <w:szCs w:val="20"/>
          <w:color w:val="auto"/>
        </w:rPr>
        <w:t>Know all by these presents, that the undersigned hereby makes, constitutes and appoints Paul Koo as the undersigned’s true and lawful attorney-in-fact, with full power and authority as hereinafter described on behalf of and in the name, place and stead of the undersigned to:</w:t>
      </w:r>
    </w:p>
    <w:p>
      <w:pPr>
        <w:spacing w:after="0" w:line="186" w:lineRule="exact"/>
        <w:rPr>
          <w:sz w:val="20"/>
          <w:szCs w:val="20"/>
          <w:color w:val="auto"/>
        </w:rPr>
      </w:pPr>
    </w:p>
    <w:p>
      <w:pPr>
        <w:jc w:val="both"/>
        <w:ind w:firstLine="8"/>
        <w:spacing w:after="0" w:line="244" w:lineRule="auto"/>
        <w:tabs>
          <w:tab w:leader="none" w:pos="53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prepare, execute, acknowledge, deliver and file all U.S. regulatory reporting documentation (including any amendments thereto or any related documentation) with any regulatory agency, including but not limited to the United States Securities and Exchange Commission or any national securities exchanges as considered necessary or advisable under Sections 13 and 16 of the Securities Exchange Act of 1934 and the rules and regulations promulgated thereunder, as amended from time to time (the “Exchange Act”), and the Federal Reserve Bank of New York; and</w:t>
      </w:r>
    </w:p>
    <w:p>
      <w:pPr>
        <w:spacing w:after="0" w:line="194" w:lineRule="exact"/>
        <w:rPr>
          <w:rFonts w:ascii="Arial" w:cs="Arial" w:eastAsia="Arial" w:hAnsi="Arial"/>
          <w:sz w:val="20"/>
          <w:szCs w:val="20"/>
          <w:color w:val="auto"/>
        </w:rPr>
      </w:pPr>
    </w:p>
    <w:p>
      <w:pPr>
        <w:ind w:firstLine="8"/>
        <w:spacing w:after="0" w:line="260" w:lineRule="auto"/>
        <w:tabs>
          <w:tab w:leader="none" w:pos="618"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perform any and all other acts which in the discretion of such attorney-in-fact are necessary or desirable for and on behalf of the undersigned in connection with the foregoing.</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The undersigned acknowledges that:</w:t>
      </w:r>
    </w:p>
    <w:p>
      <w:pPr>
        <w:spacing w:after="0" w:line="216" w:lineRule="exact"/>
        <w:rPr>
          <w:sz w:val="20"/>
          <w:szCs w:val="20"/>
          <w:color w:val="auto"/>
        </w:rPr>
      </w:pPr>
    </w:p>
    <w:p>
      <w:pPr>
        <w:ind w:right="20" w:firstLine="8"/>
        <w:spacing w:after="0" w:line="247" w:lineRule="auto"/>
        <w:tabs>
          <w:tab w:leader="none" w:pos="566"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Limited Power of Attorney authorizes, but does not require, such attorney-in-fact to act in his discretion on information provided to him without independent verification of such information;</w:t>
      </w:r>
    </w:p>
    <w:p>
      <w:pPr>
        <w:spacing w:after="0" w:line="1" w:lineRule="exact"/>
        <w:rPr>
          <w:rFonts w:ascii="Arial" w:cs="Arial" w:eastAsia="Arial" w:hAnsi="Arial"/>
          <w:sz w:val="20"/>
          <w:szCs w:val="20"/>
          <w:color w:val="auto"/>
        </w:rPr>
      </w:pPr>
    </w:p>
    <w:p>
      <w:pPr>
        <w:jc w:val="both"/>
        <w:ind w:firstLine="8"/>
        <w:spacing w:after="0" w:line="239" w:lineRule="auto"/>
        <w:tabs>
          <w:tab w:leader="none" w:pos="546" w:val="left"/>
        </w:tabs>
        <w:numPr>
          <w:ilvl w:val="0"/>
          <w:numId w:val="7"/>
        </w:numPr>
        <w:rPr>
          <w:rFonts w:ascii="Arial" w:cs="Arial" w:eastAsia="Arial" w:hAnsi="Arial"/>
          <w:sz w:val="20"/>
          <w:szCs w:val="20"/>
          <w:color w:val="auto"/>
        </w:rPr>
      </w:pPr>
      <w:r>
        <w:rPr>
          <w:rFonts w:ascii="Arial" w:cs="Arial" w:eastAsia="Arial" w:hAnsi="Arial"/>
          <w:sz w:val="20"/>
          <w:szCs w:val="20"/>
          <w:color w:val="auto"/>
        </w:rPr>
        <w:t>any documents prepared or executed by such attorney-in-fact on behalf of the undersigned pursuant to this Limited Power of Attorney will be in such form and will contain such information and disclosure as such attorney-in -fact, in his discretion, deems necessary or desirable;</w:t>
      </w:r>
    </w:p>
    <w:p>
      <w:pPr>
        <w:spacing w:after="0" w:line="1" w:lineRule="exact"/>
        <w:rPr>
          <w:rFonts w:ascii="Arial" w:cs="Arial" w:eastAsia="Arial" w:hAnsi="Arial"/>
          <w:sz w:val="20"/>
          <w:szCs w:val="20"/>
          <w:color w:val="auto"/>
        </w:rPr>
      </w:pPr>
    </w:p>
    <w:p>
      <w:pPr>
        <w:ind w:firstLine="8"/>
        <w:spacing w:after="0" w:line="252" w:lineRule="auto"/>
        <w:tabs>
          <w:tab w:leader="none" w:pos="554" w:val="left"/>
        </w:tabs>
        <w:numPr>
          <w:ilvl w:val="0"/>
          <w:numId w:val="7"/>
        </w:numPr>
        <w:rPr>
          <w:rFonts w:ascii="Arial" w:cs="Arial" w:eastAsia="Arial" w:hAnsi="Arial"/>
          <w:sz w:val="19"/>
          <w:szCs w:val="19"/>
          <w:color w:val="auto"/>
        </w:rPr>
      </w:pPr>
      <w:r>
        <w:rPr>
          <w:rFonts w:ascii="Arial" w:cs="Arial" w:eastAsia="Arial" w:hAnsi="Arial"/>
          <w:sz w:val="19"/>
          <w:szCs w:val="19"/>
          <w:color w:val="auto"/>
        </w:rPr>
        <w:t>neither the Reporting Entity nor such attorney-in-fact assumes (a) any liability for the undersigned’s responsibility to comply with the requirements of the Exchange Act or (b) any liability of the undersigned for any failure to comply with such requirements; and</w:t>
      </w:r>
    </w:p>
    <w:p>
      <w:pPr>
        <w:ind w:firstLine="8"/>
        <w:spacing w:after="0" w:line="297" w:lineRule="auto"/>
        <w:tabs>
          <w:tab w:leader="none" w:pos="53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Limited Power of Attorney does not relieve the undersigned from responsibility for compliance with the undersigned’s obligations under the Exchange Act, including without limitation the reporting requirements under Sections 13 and 16 of the Exchange Act.</w:t>
      </w:r>
    </w:p>
    <w:p>
      <w:pPr>
        <w:spacing w:after="0" w:line="147"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91" w:lineRule="exact"/>
        <w:rPr>
          <w:sz w:val="20"/>
          <w:szCs w:val="20"/>
          <w:color w:val="auto"/>
        </w:rPr>
      </w:pPr>
    </w:p>
    <w:p>
      <w:pPr>
        <w:jc w:val="both"/>
        <w:ind w:firstLine="562"/>
        <w:spacing w:after="0" w:line="260" w:lineRule="auto"/>
        <w:rPr>
          <w:sz w:val="20"/>
          <w:szCs w:val="20"/>
          <w:color w:val="auto"/>
        </w:rPr>
      </w:pPr>
      <w:r>
        <w:rPr>
          <w:rFonts w:ascii="Arial" w:cs="Arial" w:eastAsia="Arial" w:hAnsi="Arial"/>
          <w:sz w:val="20"/>
          <w:szCs w:val="20"/>
          <w:color w:val="auto"/>
        </w:rPr>
        <w:t>This Limited Power of Attorney shall remain in full force and effect until revoked by the undersigned in a signed writing delivered to each such attorney-in-fact.</w:t>
      </w:r>
    </w:p>
    <w:p>
      <w:pPr>
        <w:sectPr>
          <w:pgSz w:w="11900" w:h="16838" w:orient="portrait"/>
          <w:cols w:equalWidth="0" w:num="1">
            <w:col w:w="11240"/>
          </w:cols>
          <w:pgMar w:left="320" w:top="334" w:right="339" w:bottom="1440" w:gutter="0" w:footer="0" w:header="0"/>
          <w:type w:val="continuous"/>
        </w:sectPr>
      </w:pPr>
    </w:p>
    <w:bookmarkStart w:id="9" w:name="page10"/>
    <w:bookmarkEnd w:id="9"/>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236601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66010" cy="25717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9"/>
          <w:szCs w:val="19"/>
          <w:color w:val="auto"/>
        </w:rPr>
        <w:t>CUSIP NO. 98980F104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-261620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-177165</wp:posOffset>
            </wp:positionV>
            <wp:extent cx="2425700" cy="257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5700" cy="25717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740" w:space="720"/>
            <w:col w:w="1360" w:space="720"/>
            <w:col w:w="3700"/>
          </w:cols>
          <w:pgMar w:left="320" w:top="334" w:right="339" w:bottom="1440" w:gutter="0" w:footer="0" w:header="0"/>
        </w:sectPr>
      </w:pPr>
    </w:p>
    <w:p>
      <w:pPr>
        <w:spacing w:after="0" w:line="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has caused this Limited Power of Attorney to be executed as of this 13th day of October,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2014.</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Joon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33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333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Joon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08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Print Name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European Head of Compliance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Print Title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Allianz Global Investors Europe GmbH (now known as Allianz Global Investors GmbH)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of Institutional Investment Manager</w:t>
      </w:r>
    </w:p>
    <w:sectPr>
      <w:pgSz w:w="11900" w:h="16838" w:orient="portrait"/>
      <w:cols w:equalWidth="0" w:num="1">
        <w:col w:w="11240"/>
      </w:cols>
      <w:pgMar w:left="320" w:top="33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upp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2021-02-12T13:54:14Z</dcterms:created>
  <dcterms:modified xsi:type="dcterms:W3CDTF">2021-02-12T13:54:14Z</dcterms:modified>
</cp:coreProperties>
</file>