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506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506345"/>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180" w:type="dxa"/>
            <w:vAlign w:val="bottom"/>
          </w:tcPr>
          <w:p>
            <w:pPr>
              <w:jc w:val="right"/>
              <w:ind w:right="104"/>
              <w:spacing w:after="0"/>
              <w:rPr>
                <w:sz w:val="20"/>
                <w:szCs w:val="20"/>
                <w:color w:val="auto"/>
              </w:rPr>
            </w:pPr>
            <w:r>
              <w:rPr>
                <w:rFonts w:ascii="Arial" w:cs="Arial" w:eastAsia="Arial" w:hAnsi="Arial"/>
                <w:sz w:val="7"/>
                <w:szCs w:val="7"/>
                <w:color w:val="auto"/>
                <w:w w:val="71"/>
              </w:rPr>
              <w:t>*</w:t>
            </w:r>
          </w:p>
        </w:tc>
        <w:tc>
          <w:tcPr>
            <w:tcW w:w="140" w:type="dxa"/>
            <w:vAlign w:val="bottom"/>
          </w:tcPr>
          <w:p>
            <w:pPr>
              <w:spacing w:after="0"/>
              <w:rPr>
                <w:sz w:val="14"/>
                <w:szCs w:val="14"/>
                <w:color w:val="auto"/>
              </w:rPr>
            </w:pPr>
          </w:p>
        </w:tc>
        <w:tc>
          <w:tcPr>
            <w:tcW w:w="1480" w:type="dxa"/>
            <w:vAlign w:val="bottom"/>
          </w:tcPr>
          <w:p>
            <w:pPr>
              <w:ind w:left="12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80" w:type="dxa"/>
            <w:vAlign w:val="bottom"/>
            <w:vMerge w:val="restart"/>
          </w:tcPr>
          <w:p>
            <w:pPr>
              <w:ind w:left="12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100" w:type="dxa"/>
            <w:vAlign w:val="bottom"/>
            <w:gridSpan w:val="4"/>
            <w:vMerge w:val="restart"/>
          </w:tcPr>
          <w:p>
            <w:pPr>
              <w:spacing w:after="0" w:line="256" w:lineRule="exact"/>
              <w:rPr>
                <w:rFonts w:ascii="Arial" w:cs="Arial" w:eastAsia="Arial" w:hAnsi="Arial"/>
                <w:sz w:val="24"/>
                <w:szCs w:val="24"/>
                <w:color w:val="0000EE"/>
                <w:w w:val="94"/>
              </w:rPr>
            </w:pPr>
            <w:hyperlink r:id="rId10">
              <w:r>
                <w:rPr>
                  <w:rFonts w:ascii="Arial" w:cs="Arial" w:eastAsia="Arial" w:hAnsi="Arial"/>
                  <w:sz w:val="24"/>
                  <w:szCs w:val="24"/>
                  <w:color w:val="0000EE"/>
                  <w:w w:val="94"/>
                </w:rPr>
                <w:t>TC Group Cayman Investment</w:t>
              </w:r>
            </w:hyperlink>
          </w:p>
        </w:tc>
        <w:tc>
          <w:tcPr>
            <w:tcW w:w="1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3100" w:type="dxa"/>
            <w:vAlign w:val="bottom"/>
            <w:gridSpan w:val="4"/>
            <w:vMerge w:val="continue"/>
          </w:tcPr>
          <w:p>
            <w:pPr>
              <w:spacing w:after="0"/>
              <w:rPr>
                <w:sz w:val="13"/>
                <w:szCs w:val="13"/>
                <w:color w:val="auto"/>
              </w:rPr>
            </w:pPr>
          </w:p>
        </w:tc>
        <w:tc>
          <w:tcPr>
            <w:tcW w:w="1480" w:type="dxa"/>
            <w:vAlign w:val="bottom"/>
          </w:tcPr>
          <w:p>
            <w:pPr>
              <w:ind w:left="12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78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Holdings, L.P.</w:t>
              </w:r>
            </w:hyperlink>
          </w:p>
        </w:tc>
        <w:tc>
          <w:tcPr>
            <w:tcW w:w="18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ind w:left="120"/>
              <w:spacing w:after="0"/>
              <w:rPr>
                <w:sz w:val="20"/>
                <w:szCs w:val="20"/>
                <w:color w:val="auto"/>
              </w:rPr>
            </w:pPr>
            <w:r>
              <w:rPr>
                <w:rFonts w:ascii="Arial" w:cs="Arial" w:eastAsia="Arial" w:hAnsi="Arial"/>
                <w:sz w:val="20"/>
                <w:szCs w:val="20"/>
                <w:color w:val="0000FF"/>
              </w:rPr>
              <w:t>06/04/2020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ZoomInfo Technologies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ZI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545" w:lineRule="exact"/>
        <w:rPr>
          <w:sz w:val="20"/>
          <w:szCs w:val="20"/>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9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18"/>
          <w:szCs w:val="18"/>
          <w:color w:val="0000FF"/>
        </w:rPr>
        <w:t>C/O THE CARLYLE GROUP, 1001</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PENNSYLVANIA AVE., N.W.,</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SUITE 220 SOUTH</w:t>
      </w:r>
    </w:p>
    <w:p>
      <w:pPr>
        <w:spacing w:after="0" w:line="32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94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1940" w:type="dxa"/>
            <w:vAlign w:val="bottom"/>
            <w:vMerge w:val="restart"/>
          </w:tcPr>
          <w:p>
            <w:pPr>
              <w:ind w:left="40"/>
              <w:spacing w:after="0"/>
              <w:rPr>
                <w:sz w:val="20"/>
                <w:szCs w:val="20"/>
                <w:color w:val="auto"/>
              </w:rPr>
            </w:pPr>
            <w:r>
              <w:rPr>
                <w:rFonts w:ascii="Arial" w:cs="Arial" w:eastAsia="Arial" w:hAnsi="Arial"/>
                <w:sz w:val="20"/>
                <w:szCs w:val="20"/>
                <w:color w:val="0000FF"/>
              </w:rPr>
              <w:t>WASHINGTON DC</w:t>
            </w:r>
          </w:p>
        </w:tc>
        <w:tc>
          <w:tcPr>
            <w:tcW w:w="820" w:type="dxa"/>
            <w:vAlign w:val="bottom"/>
          </w:tcPr>
          <w:p>
            <w:pPr>
              <w:ind w:left="280"/>
              <w:spacing w:after="0"/>
              <w:rPr>
                <w:sz w:val="20"/>
                <w:szCs w:val="20"/>
                <w:color w:val="auto"/>
              </w:rPr>
            </w:pPr>
            <w:r>
              <w:rPr>
                <w:rFonts w:ascii="Arial" w:cs="Arial" w:eastAsia="Arial" w:hAnsi="Arial"/>
                <w:sz w:val="20"/>
                <w:szCs w:val="20"/>
                <w:color w:val="0000FF"/>
                <w:w w:val="83"/>
              </w:rPr>
              <w:t>20004-</w:t>
            </w:r>
          </w:p>
        </w:tc>
        <w:tc>
          <w:tcPr>
            <w:tcW w:w="0" w:type="dxa"/>
            <w:vAlign w:val="bottom"/>
          </w:tcPr>
          <w:p>
            <w:pPr>
              <w:spacing w:after="0"/>
              <w:rPr>
                <w:sz w:val="1"/>
                <w:szCs w:val="1"/>
                <w:color w:val="auto"/>
              </w:rPr>
            </w:pPr>
          </w:p>
        </w:tc>
      </w:tr>
      <w:tr>
        <w:trPr>
          <w:trHeight w:val="128"/>
        </w:trPr>
        <w:tc>
          <w:tcPr>
            <w:tcW w:w="1940" w:type="dxa"/>
            <w:vAlign w:val="bottom"/>
            <w:vMerge w:val="continue"/>
          </w:tcPr>
          <w:p>
            <w:pPr>
              <w:spacing w:after="0"/>
              <w:rPr>
                <w:sz w:val="11"/>
                <w:szCs w:val="11"/>
                <w:color w:val="auto"/>
              </w:rPr>
            </w:pPr>
          </w:p>
        </w:tc>
        <w:tc>
          <w:tcPr>
            <w:tcW w:w="820" w:type="dxa"/>
            <w:vAlign w:val="bottom"/>
            <w:vMerge w:val="restart"/>
          </w:tcPr>
          <w:p>
            <w:pPr>
              <w:ind w:left="280"/>
              <w:spacing w:after="0"/>
              <w:rPr>
                <w:sz w:val="20"/>
                <w:szCs w:val="20"/>
                <w:color w:val="auto"/>
              </w:rPr>
            </w:pPr>
            <w:r>
              <w:rPr>
                <w:rFonts w:ascii="Arial" w:cs="Arial" w:eastAsia="Arial" w:hAnsi="Arial"/>
                <w:sz w:val="20"/>
                <w:szCs w:val="20"/>
                <w:color w:val="0000FF"/>
              </w:rPr>
              <w:t>2505</w:t>
            </w:r>
          </w:p>
        </w:tc>
        <w:tc>
          <w:tcPr>
            <w:tcW w:w="0" w:type="dxa"/>
            <w:vAlign w:val="bottom"/>
          </w:tcPr>
          <w:p>
            <w:pPr>
              <w:spacing w:after="0"/>
              <w:rPr>
                <w:sz w:val="1"/>
                <w:szCs w:val="1"/>
                <w:color w:val="auto"/>
              </w:rPr>
            </w:pPr>
          </w:p>
        </w:tc>
      </w:tr>
      <w:tr>
        <w:trPr>
          <w:trHeight w:val="120"/>
        </w:trPr>
        <w:tc>
          <w:tcPr>
            <w:tcW w:w="19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6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515" w:lineRule="exact"/>
        <w:rPr>
          <w:sz w:val="20"/>
          <w:szCs w:val="20"/>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1019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1981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20" w:type="dxa"/>
            <w:vAlign w:val="bottom"/>
            <w:tcBorders>
              <w:bottom w:val="single" w:sz="8" w:color="2C2C2C"/>
            </w:tcBorders>
          </w:tcPr>
          <w:p>
            <w:pPr>
              <w:spacing w:after="0"/>
              <w:rPr>
                <w:sz w:val="24"/>
                <w:szCs w:val="24"/>
                <w:color w:val="auto"/>
              </w:rPr>
            </w:pPr>
          </w:p>
        </w:tc>
        <w:tc>
          <w:tcPr>
            <w:tcW w:w="274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B Common Stock</w:t>
            </w:r>
          </w:p>
        </w:tc>
        <w:tc>
          <w:tcPr>
            <w:tcW w:w="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ind w:left="720"/>
              <w:spacing w:after="0"/>
              <w:rPr>
                <w:sz w:val="20"/>
                <w:szCs w:val="20"/>
                <w:color w:val="auto"/>
              </w:rPr>
            </w:pPr>
            <w:r>
              <w:rPr>
                <w:rFonts w:ascii="Arial" w:cs="Arial" w:eastAsia="Arial" w:hAnsi="Arial"/>
                <w:sz w:val="20"/>
                <w:szCs w:val="20"/>
                <w:color w:val="0000FF"/>
                <w:w w:val="95"/>
              </w:rPr>
              <w:t>44,943,347</w:t>
            </w:r>
          </w:p>
        </w:tc>
        <w:tc>
          <w:tcPr>
            <w:tcW w:w="10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gridSpan w:val="2"/>
          </w:tcPr>
          <w:p>
            <w:pPr>
              <w:ind w:left="40"/>
              <w:spacing w:after="0"/>
              <w:rPr>
                <w:sz w:val="20"/>
                <w:szCs w:val="20"/>
                <w:color w:val="auto"/>
              </w:rPr>
            </w:pPr>
            <w:r>
              <w:rPr>
                <w:rFonts w:ascii="Arial" w:cs="Arial" w:eastAsia="Arial" w:hAnsi="Arial"/>
                <w:sz w:val="20"/>
                <w:szCs w:val="20"/>
                <w:color w:val="0000FF"/>
              </w:rPr>
              <w:t>I</w:t>
            </w:r>
          </w:p>
        </w:tc>
        <w:tc>
          <w:tcPr>
            <w:tcW w:w="3400" w:type="dxa"/>
            <w:vAlign w:val="bottom"/>
            <w:tcBorders>
              <w:bottom w:val="single" w:sz="8" w:color="2C2C2C"/>
            </w:tcBorders>
            <w:gridSpan w:val="4"/>
          </w:tcPr>
          <w:p>
            <w:pPr>
              <w:ind w:left="620"/>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(1)(2)(3)</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5640" w:type="dxa"/>
            <w:vAlign w:val="bottom"/>
            <w:tcBorders>
              <w:top w:val="single" w:sz="8" w:color="2C2C2C"/>
            </w:tcBorders>
            <w:gridSpan w:val="8"/>
          </w:tcPr>
          <w:p>
            <w:pPr>
              <w:ind w:left="3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5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5700" w:type="dxa"/>
            <w:vAlign w:val="bottom"/>
            <w:gridSpan w:val="9"/>
          </w:tcPr>
          <w:p>
            <w:pPr>
              <w:ind w:left="2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60" w:type="dxa"/>
            <w:vAlign w:val="bottom"/>
          </w:tcPr>
          <w:p>
            <w:pPr>
              <w:spacing w:after="0"/>
              <w:rPr>
                <w:sz w:val="17"/>
                <w:szCs w:val="17"/>
                <w:color w:val="auto"/>
              </w:rPr>
            </w:pP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76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4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40" w:type="dxa"/>
            <w:vAlign w:val="bottom"/>
          </w:tcPr>
          <w:p>
            <w:pPr>
              <w:spacing w:after="0"/>
              <w:rPr>
                <w:sz w:val="4"/>
                <w:szCs w:val="4"/>
                <w:color w:val="auto"/>
              </w:rPr>
            </w:pPr>
          </w:p>
        </w:tc>
        <w:tc>
          <w:tcPr>
            <w:tcW w:w="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2"/>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7"/>
                <w:szCs w:val="17"/>
                <w:color w:val="auto"/>
              </w:rPr>
            </w:pPr>
          </w:p>
        </w:tc>
        <w:tc>
          <w:tcPr>
            <w:tcW w:w="102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tcPr>
          <w:p>
            <w:pPr>
              <w:ind w:left="80"/>
              <w:spacing w:after="0"/>
              <w:rPr>
                <w:sz w:val="20"/>
                <w:szCs w:val="20"/>
                <w:color w:val="auto"/>
              </w:rPr>
            </w:pPr>
            <w:r>
              <w:rPr>
                <w:rFonts w:ascii="Arial" w:cs="Arial" w:eastAsia="Arial" w:hAnsi="Arial"/>
                <w:sz w:val="20"/>
                <w:szCs w:val="20"/>
                <w:color w:val="0000FF"/>
                <w:w w:val="93"/>
              </w:rPr>
              <w:t>LLC Units of ZoomInfo Holdings</w:t>
            </w:r>
          </w:p>
        </w:tc>
        <w:tc>
          <w:tcPr>
            <w:tcW w:w="10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(4)</w:t>
            </w:r>
          </w:p>
        </w:tc>
        <w:tc>
          <w:tcPr>
            <w:tcW w:w="560" w:type="dxa"/>
            <w:vAlign w:val="bottom"/>
            <w:vMerge w:val="restart"/>
          </w:tcPr>
          <w:p>
            <w:pPr>
              <w:jc w:val="center"/>
              <w:ind w:left="271"/>
              <w:spacing w:after="0"/>
              <w:rPr>
                <w:sz w:val="20"/>
                <w:szCs w:val="20"/>
                <w:color w:val="auto"/>
              </w:rPr>
            </w:pPr>
            <w:r>
              <w:rPr>
                <w:rFonts w:ascii="Arial" w:cs="Arial" w:eastAsia="Arial" w:hAnsi="Arial"/>
                <w:sz w:val="13"/>
                <w:szCs w:val="13"/>
                <w:color w:val="008000"/>
                <w:w w:val="87"/>
              </w:rPr>
              <w:t>(4)</w:t>
            </w: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20" w:type="dxa"/>
            <w:vAlign w:val="bottom"/>
            <w:vMerge w:val="restart"/>
          </w:tcPr>
          <w:p>
            <w:pPr>
              <w:ind w:left="120"/>
              <w:spacing w:after="0"/>
              <w:rPr>
                <w:sz w:val="20"/>
                <w:szCs w:val="20"/>
                <w:color w:val="auto"/>
              </w:rPr>
            </w:pPr>
            <w:r>
              <w:rPr>
                <w:rFonts w:ascii="Arial" w:cs="Arial" w:eastAsia="Arial" w:hAnsi="Arial"/>
                <w:sz w:val="20"/>
                <w:szCs w:val="20"/>
                <w:color w:val="0000FF"/>
                <w:w w:val="87"/>
              </w:rPr>
              <w:t>44,943,347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vMerge w:val="restart"/>
          </w:tcPr>
          <w:p>
            <w:pPr>
              <w:ind w:left="360"/>
              <w:spacing w:after="0"/>
              <w:rPr>
                <w:sz w:val="20"/>
                <w:szCs w:val="20"/>
                <w:color w:val="auto"/>
              </w:rPr>
            </w:pPr>
            <w:r>
              <w:rPr>
                <w:rFonts w:ascii="Arial" w:cs="Arial" w:eastAsia="Arial" w:hAnsi="Arial"/>
                <w:sz w:val="13"/>
                <w:szCs w:val="13"/>
                <w:color w:val="008000"/>
              </w:rPr>
              <w:t>(4)</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40" w:type="dxa"/>
            <w:vAlign w:val="bottom"/>
            <w:gridSpan w:val="2"/>
          </w:tcPr>
          <w:p>
            <w:pPr>
              <w:ind w:left="60"/>
              <w:spacing w:after="0"/>
              <w:rPr>
                <w:sz w:val="20"/>
                <w:szCs w:val="20"/>
                <w:color w:val="auto"/>
              </w:rPr>
            </w:pPr>
            <w:r>
              <w:rPr>
                <w:rFonts w:ascii="Arial" w:cs="Arial" w:eastAsia="Arial" w:hAnsi="Arial"/>
                <w:sz w:val="20"/>
                <w:szCs w:val="20"/>
                <w:color w:val="0000FF"/>
                <w:w w:val="88"/>
              </w:rPr>
              <w:t>See footnotes</w:t>
            </w:r>
            <w:r>
              <w:rPr>
                <w:rFonts w:ascii="Arial" w:cs="Arial" w:eastAsia="Arial" w:hAnsi="Arial"/>
                <w:sz w:val="25"/>
                <w:szCs w:val="25"/>
                <w:color w:val="008000"/>
                <w:w w:val="88"/>
                <w:vertAlign w:val="superscript"/>
              </w:rPr>
              <w:t>(1)(2)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LLC</w:t>
            </w:r>
          </w:p>
        </w:tc>
        <w:tc>
          <w:tcPr>
            <w:tcW w:w="10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0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70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40" w:type="dxa"/>
            <w:vAlign w:val="bottom"/>
            <w:vMerge w:val="restart"/>
          </w:tcPr>
          <w:p>
            <w:pPr>
              <w:ind w:left="80"/>
              <w:spacing w:after="0"/>
              <w:rPr>
                <w:sz w:val="20"/>
                <w:szCs w:val="20"/>
                <w:color w:val="auto"/>
              </w:rPr>
            </w:pPr>
            <w:r>
              <w:rPr>
                <w:rFonts w:ascii="Arial" w:cs="Arial" w:eastAsia="Arial" w:hAnsi="Arial"/>
                <w:sz w:val="20"/>
                <w:szCs w:val="20"/>
                <w:color w:val="0000FF"/>
              </w:rPr>
              <w:t>Class C Common Stock</w:t>
            </w:r>
          </w:p>
        </w:tc>
        <w:tc>
          <w:tcPr>
            <w:tcW w:w="1040" w:type="dxa"/>
            <w:vAlign w:val="bottom"/>
            <w:gridSpan w:val="2"/>
            <w:vMerge w:val="restart"/>
          </w:tcPr>
          <w:p>
            <w:pPr>
              <w:jc w:val="right"/>
              <w:ind w:right="341"/>
              <w:spacing w:after="0"/>
              <w:rPr>
                <w:sz w:val="20"/>
                <w:szCs w:val="20"/>
                <w:color w:val="auto"/>
              </w:rPr>
            </w:pPr>
            <w:r>
              <w:rPr>
                <w:rFonts w:ascii="Arial" w:cs="Arial" w:eastAsia="Arial" w:hAnsi="Arial"/>
                <w:sz w:val="13"/>
                <w:szCs w:val="13"/>
                <w:color w:val="008000"/>
              </w:rPr>
              <w:t>(5)</w:t>
            </w:r>
          </w:p>
        </w:tc>
        <w:tc>
          <w:tcPr>
            <w:tcW w:w="560" w:type="dxa"/>
            <w:vAlign w:val="bottom"/>
            <w:vMerge w:val="restart"/>
          </w:tcPr>
          <w:p>
            <w:pPr>
              <w:jc w:val="center"/>
              <w:ind w:left="271"/>
              <w:spacing w:after="0"/>
              <w:rPr>
                <w:sz w:val="20"/>
                <w:szCs w:val="20"/>
                <w:color w:val="auto"/>
              </w:rPr>
            </w:pPr>
            <w:r>
              <w:rPr>
                <w:rFonts w:ascii="Arial" w:cs="Arial" w:eastAsia="Arial" w:hAnsi="Arial"/>
                <w:sz w:val="13"/>
                <w:szCs w:val="13"/>
                <w:color w:val="008000"/>
                <w:w w:val="87"/>
              </w:rPr>
              <w:t>(5)</w:t>
            </w: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20"/>
                <w:szCs w:val="20"/>
                <w:color w:val="0000FF"/>
                <w:w w:val="88"/>
              </w:rPr>
              <w:t>Class A Common</w:t>
            </w:r>
          </w:p>
        </w:tc>
        <w:tc>
          <w:tcPr>
            <w:tcW w:w="1020" w:type="dxa"/>
            <w:vAlign w:val="bottom"/>
            <w:vMerge w:val="restart"/>
          </w:tcPr>
          <w:p>
            <w:pPr>
              <w:ind w:left="120"/>
              <w:spacing w:after="0"/>
              <w:rPr>
                <w:sz w:val="20"/>
                <w:szCs w:val="20"/>
                <w:color w:val="auto"/>
              </w:rPr>
            </w:pPr>
            <w:r>
              <w:rPr>
                <w:rFonts w:ascii="Arial" w:cs="Arial" w:eastAsia="Arial" w:hAnsi="Arial"/>
                <w:sz w:val="20"/>
                <w:szCs w:val="20"/>
                <w:color w:val="0000FF"/>
                <w:w w:val="87"/>
              </w:rPr>
              <w:t>61,244,198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vMerge w:val="restart"/>
          </w:tcPr>
          <w:p>
            <w:pPr>
              <w:ind w:left="360"/>
              <w:spacing w:after="0"/>
              <w:rPr>
                <w:sz w:val="20"/>
                <w:szCs w:val="20"/>
                <w:color w:val="auto"/>
              </w:rPr>
            </w:pPr>
            <w:r>
              <w:rPr>
                <w:rFonts w:ascii="Arial" w:cs="Arial" w:eastAsia="Arial" w:hAnsi="Arial"/>
                <w:sz w:val="13"/>
                <w:szCs w:val="13"/>
                <w:color w:val="008000"/>
              </w:rPr>
              <w:t>(5)</w:t>
            </w: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40" w:type="dxa"/>
            <w:vAlign w:val="bottom"/>
            <w:gridSpan w:val="2"/>
          </w:tcPr>
          <w:p>
            <w:pPr>
              <w:ind w:left="60"/>
              <w:spacing w:after="0"/>
              <w:rPr>
                <w:sz w:val="20"/>
                <w:szCs w:val="20"/>
                <w:color w:val="auto"/>
              </w:rPr>
            </w:pPr>
            <w:r>
              <w:rPr>
                <w:rFonts w:ascii="Arial" w:cs="Arial" w:eastAsia="Arial" w:hAnsi="Arial"/>
                <w:sz w:val="20"/>
                <w:szCs w:val="20"/>
                <w:color w:val="0000FF"/>
                <w:w w:val="88"/>
              </w:rPr>
              <w:t>See footnotes</w:t>
            </w:r>
            <w:r>
              <w:rPr>
                <w:rFonts w:ascii="Arial" w:cs="Arial" w:eastAsia="Arial" w:hAnsi="Arial"/>
                <w:sz w:val="25"/>
                <w:szCs w:val="25"/>
                <w:color w:val="008000"/>
                <w:w w:val="88"/>
                <w:vertAlign w:val="superscript"/>
              </w:rPr>
              <w:t>(6)(2)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40" w:type="dxa"/>
            <w:vAlign w:val="bottom"/>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700" w:type="dxa"/>
            <w:vAlign w:val="bottom"/>
            <w:vMerge w:val="restart"/>
          </w:tcPr>
          <w:p>
            <w:pPr>
              <w:jc w:val="center"/>
              <w:spacing w:after="0"/>
              <w:rPr>
                <w:sz w:val="20"/>
                <w:szCs w:val="20"/>
                <w:color w:val="auto"/>
              </w:rPr>
            </w:pPr>
            <w:r>
              <w:rPr>
                <w:rFonts w:ascii="Arial" w:cs="Arial" w:eastAsia="Arial" w:hAnsi="Arial"/>
                <w:sz w:val="20"/>
                <w:szCs w:val="20"/>
                <w:color w:val="0000FF"/>
                <w:w w:val="87"/>
              </w:rPr>
              <w:t>Stock</w:t>
            </w:r>
          </w:p>
        </w:tc>
        <w:tc>
          <w:tcPr>
            <w:tcW w:w="10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520" w:type="dxa"/>
            <w:vAlign w:val="bottom"/>
            <w:vMerge w:val="restart"/>
          </w:tcPr>
          <w:p>
            <w:pPr>
              <w:ind w:left="60"/>
              <w:spacing w:after="0"/>
              <w:rPr>
                <w:sz w:val="20"/>
                <w:szCs w:val="20"/>
                <w:color w:val="auto"/>
              </w:rPr>
            </w:pPr>
            <w:r>
              <w:rPr>
                <w:rFonts w:ascii="Arial" w:cs="Arial" w:eastAsia="Arial" w:hAnsi="Arial"/>
                <w:sz w:val="13"/>
                <w:szCs w:val="13"/>
                <w:color w:val="008000"/>
              </w:rPr>
              <w:t>(3)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5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27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5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-2038350</wp:posOffset>
            </wp:positionV>
            <wp:extent cx="6946900" cy="5327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5327015"/>
                    </a:xfrm>
                    <a:prstGeom prst="rect">
                      <a:avLst/>
                    </a:prstGeom>
                    <a:noFill/>
                  </pic:spPr>
                </pic:pic>
              </a:graphicData>
            </a:graphic>
          </wp:anchor>
        </w:drawing>
      </w:r>
    </w:p>
    <w:p>
      <w:pPr>
        <w:spacing w:after="0" w:line="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TC Group Cayman Investment Holdings,</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L.P.</w:t>
        </w:r>
      </w:hyperlink>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20"/>
          <w:szCs w:val="20"/>
          <w:color w:val="0000FF"/>
        </w:rPr>
        <w:t>SOUTH</w:t>
      </w:r>
    </w:p>
    <w:p>
      <w:pPr>
        <w:spacing w:after="0" w:line="327"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800" w:type="dxa"/>
            <w:vAlign w:val="bottom"/>
          </w:tcPr>
          <w:p>
            <w:pPr>
              <w:ind w:left="460"/>
              <w:spacing w:after="0"/>
              <w:rPr>
                <w:sz w:val="20"/>
                <w:szCs w:val="20"/>
                <w:color w:val="auto"/>
              </w:rPr>
            </w:pPr>
            <w:r>
              <w:rPr>
                <w:rFonts w:ascii="Arial" w:cs="Arial" w:eastAsia="Arial" w:hAnsi="Arial"/>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67310</wp:posOffset>
            </wp:positionV>
            <wp:extent cx="2753995" cy="962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53995" cy="962660"/>
                    </a:xfrm>
                    <a:prstGeom prst="rect">
                      <a:avLst/>
                    </a:prstGeom>
                    <a:noFill/>
                  </pic:spPr>
                </pic:pic>
              </a:graphicData>
            </a:graphic>
          </wp:anchor>
        </w:drawing>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TC Group Cayman Investment Holdings</w:t>
        </w:r>
      </w:hyperlink>
    </w:p>
    <w:p>
      <w:pPr>
        <w:spacing w:after="0" w:line="1" w:lineRule="exact"/>
        <w:rPr>
          <w:sz w:val="20"/>
          <w:szCs w:val="20"/>
          <w:color w:val="auto"/>
        </w:rPr>
      </w:pPr>
    </w:p>
    <w:p>
      <w:pPr>
        <w:ind w:left="140"/>
        <w:spacing w:after="0"/>
        <w:rPr>
          <w:rFonts w:ascii="Arial" w:cs="Arial" w:eastAsia="Arial" w:hAnsi="Arial"/>
          <w:sz w:val="24"/>
          <w:szCs w:val="24"/>
          <w:u w:val="single" w:color="auto"/>
          <w:color w:val="0000EE"/>
        </w:rPr>
      </w:pPr>
      <w:hyperlink r:id="rId15">
        <w:r>
          <w:rPr>
            <w:rFonts w:ascii="Arial" w:cs="Arial" w:eastAsia="Arial" w:hAnsi="Arial"/>
            <w:sz w:val="24"/>
            <w:szCs w:val="24"/>
            <w:u w:val="single" w:color="auto"/>
            <w:color w:val="0000EE"/>
          </w:rPr>
          <w:t>Sub L.P.</w:t>
        </w:r>
      </w:hyperlink>
    </w:p>
    <w:p>
      <w:pPr>
        <w:sectPr>
          <w:pgSz w:w="11900" w:h="16838" w:orient="portrait"/>
          <w:cols w:equalWidth="0" w:num="1">
            <w:col w:w="10940"/>
          </w:cols>
          <w:pgMar w:left="480" w:top="236" w:right="479" w:bottom="0" w:gutter="0" w:footer="0" w:header="0"/>
          <w:type w:val="continuous"/>
        </w:sectPr>
      </w:pPr>
    </w:p>
    <w:p>
      <w:pPr>
        <w:spacing w:after="0" w:line="35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20"/>
        <w:spacing w:after="0"/>
        <w:rPr>
          <w:sz w:val="20"/>
          <w:szCs w:val="20"/>
          <w:color w:val="auto"/>
        </w:rPr>
      </w:pPr>
      <w:r>
        <w:rPr>
          <w:rFonts w:ascii="Arial" w:cs="Arial" w:eastAsia="Arial" w:hAnsi="Arial"/>
          <w:sz w:val="20"/>
          <w:szCs w:val="20"/>
          <w:color w:val="0000FF"/>
        </w:rPr>
        <w:t>C/O THE CARLYLE GROUP,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-139065</wp:posOffset>
            </wp:positionV>
            <wp:extent cx="2773045" cy="105200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773045" cy="10520045"/>
                    </a:xfrm>
                    <a:prstGeom prst="rect">
                      <a:avLst/>
                    </a:prstGeom>
                    <a:noFill/>
                  </pic:spPr>
                </pic:pic>
              </a:graphicData>
            </a:graphic>
          </wp:anchor>
        </w:drawing>
      </w:r>
    </w:p>
    <w:p>
      <w:pPr>
        <w:spacing w:after="0" w:line="5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112395</wp:posOffset>
            </wp:positionV>
            <wp:extent cx="262064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6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58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540" w:type="dxa"/>
            <w:vAlign w:val="bottom"/>
          </w:tcPr>
          <w:p>
            <w:pPr>
              <w:ind w:left="200"/>
              <w:spacing w:after="0"/>
              <w:rPr>
                <w:sz w:val="20"/>
                <w:szCs w:val="20"/>
                <w:color w:val="auto"/>
              </w:rPr>
            </w:pPr>
            <w:r>
              <w:rPr>
                <w:rFonts w:ascii="Arial" w:cs="Arial" w:eastAsia="Arial" w:hAnsi="Arial"/>
                <w:sz w:val="20"/>
                <w:szCs w:val="20"/>
                <w:color w:val="0000FF"/>
              </w:rPr>
              <w:t>20004-2505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640" w:type="dxa"/>
            <w:vAlign w:val="bottom"/>
          </w:tcPr>
          <w:p>
            <w:pPr>
              <w:ind w:left="460"/>
              <w:spacing w:after="0"/>
              <w:rPr>
                <w:sz w:val="20"/>
                <w:szCs w:val="20"/>
                <w:color w:val="auto"/>
              </w:rPr>
            </w:pPr>
            <w:r>
              <w:rPr>
                <w:rFonts w:ascii="Arial" w:cs="Arial" w:eastAsia="Arial" w:hAnsi="Arial"/>
                <w:sz w:val="15"/>
                <w:szCs w:val="15"/>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580" w:type="dxa"/>
            <w:vAlign w:val="bottom"/>
            <w:gridSpan w:val="2"/>
          </w:tcPr>
          <w:p>
            <w:pPr>
              <w:ind w:left="20"/>
              <w:spacing w:after="0"/>
              <w:rPr>
                <w:rFonts w:ascii="Arial" w:cs="Arial" w:eastAsia="Arial" w:hAnsi="Arial"/>
                <w:sz w:val="24"/>
                <w:szCs w:val="24"/>
                <w:u w:val="single" w:color="auto"/>
                <w:color w:val="0000EE"/>
              </w:rPr>
            </w:pPr>
            <w:hyperlink r:id="rId18">
              <w:r>
                <w:rPr>
                  <w:rFonts w:ascii="Arial" w:cs="Arial" w:eastAsia="Arial" w:hAnsi="Arial"/>
                  <w:sz w:val="24"/>
                  <w:szCs w:val="24"/>
                  <w:u w:val="single" w:color="auto"/>
                  <w:color w:val="0000EE"/>
                </w:rPr>
                <w:t>TC Group VI S1, L.L.C.</w:t>
              </w:r>
            </w:hyperlink>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154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640" w:type="dxa"/>
            <w:vAlign w:val="bottom"/>
          </w:tcPr>
          <w:p>
            <w:pPr>
              <w:ind w:left="460"/>
              <w:spacing w:after="0"/>
              <w:rPr>
                <w:sz w:val="20"/>
                <w:szCs w:val="20"/>
                <w:color w:val="auto"/>
              </w:rPr>
            </w:pPr>
            <w:r>
              <w:rPr>
                <w:rFonts w:ascii="Arial" w:cs="Arial" w:eastAsia="Arial" w:hAnsi="Arial"/>
                <w:sz w:val="15"/>
                <w:szCs w:val="15"/>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-1018540</wp:posOffset>
            </wp:positionV>
            <wp:extent cx="952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-1028065</wp:posOffset>
            </wp:positionV>
            <wp:extent cx="952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-713105</wp:posOffset>
            </wp:positionV>
            <wp:extent cx="9525" cy="2153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9525" cy="21539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-722630</wp:posOffset>
            </wp:positionV>
            <wp:extent cx="9525" cy="2163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9525" cy="2163445"/>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-227330</wp:posOffset>
            </wp:positionV>
            <wp:extent cx="952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-236855</wp:posOffset>
            </wp:positionV>
            <wp:extent cx="952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112395</wp:posOffset>
            </wp:positionV>
            <wp:extent cx="262064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44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680" w:type="dxa"/>
            <w:vAlign w:val="bottom"/>
          </w:tcPr>
          <w:p>
            <w:pPr>
              <w:ind w:left="340"/>
              <w:spacing w:after="0"/>
              <w:rPr>
                <w:sz w:val="20"/>
                <w:szCs w:val="20"/>
                <w:color w:val="auto"/>
              </w:rPr>
            </w:pPr>
            <w:r>
              <w:rPr>
                <w:rFonts w:ascii="Arial" w:cs="Arial" w:eastAsia="Arial" w:hAnsi="Arial"/>
                <w:sz w:val="20"/>
                <w:szCs w:val="20"/>
                <w:color w:val="0000FF"/>
              </w:rPr>
              <w:t>20004-2505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68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50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440" w:type="dxa"/>
            <w:vAlign w:val="bottom"/>
            <w:gridSpan w:val="2"/>
          </w:tcPr>
          <w:p>
            <w:pPr>
              <w:ind w:left="20"/>
              <w:spacing w:after="0"/>
              <w:rPr>
                <w:rFonts w:ascii="Arial" w:cs="Arial" w:eastAsia="Arial" w:hAnsi="Arial"/>
                <w:sz w:val="24"/>
                <w:szCs w:val="24"/>
                <w:u w:val="single" w:color="auto"/>
                <w:color w:val="0000EE"/>
              </w:rPr>
            </w:pPr>
            <w:hyperlink r:id="rId26">
              <w:r>
                <w:rPr>
                  <w:rFonts w:ascii="Arial" w:cs="Arial" w:eastAsia="Arial" w:hAnsi="Arial"/>
                  <w:sz w:val="24"/>
                  <w:szCs w:val="24"/>
                  <w:u w:val="single" w:color="auto"/>
                  <w:color w:val="0000EE"/>
                </w:rPr>
                <w:t>TC Group VI S1, L.P.</w:t>
              </w:r>
            </w:hyperlink>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500" w:type="dxa"/>
            <w:vAlign w:val="bottom"/>
          </w:tcPr>
          <w:p>
            <w:pPr>
              <w:ind w:left="460"/>
              <w:spacing w:after="0"/>
              <w:rPr>
                <w:sz w:val="20"/>
                <w:szCs w:val="20"/>
                <w:color w:val="auto"/>
              </w:rPr>
            </w:pPr>
            <w:r>
              <w:rPr>
                <w:rFonts w:ascii="Arial" w:cs="Arial" w:eastAsia="Arial" w:hAnsi="Arial"/>
                <w:sz w:val="15"/>
                <w:szCs w:val="15"/>
                <w:color w:val="auto"/>
              </w:rPr>
              <w:t>(First)</w:t>
            </w:r>
          </w:p>
        </w:tc>
        <w:tc>
          <w:tcPr>
            <w:tcW w:w="1800" w:type="dxa"/>
            <w:vAlign w:val="bottom"/>
            <w:gridSpan w:val="2"/>
          </w:tcPr>
          <w:p>
            <w:pPr>
              <w:ind w:left="34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-1018540</wp:posOffset>
            </wp:positionV>
            <wp:extent cx="952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-1028065</wp:posOffset>
            </wp:positionV>
            <wp:extent cx="952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-713105</wp:posOffset>
            </wp:positionV>
            <wp:extent cx="9525" cy="2153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9525" cy="21539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-722630</wp:posOffset>
            </wp:positionV>
            <wp:extent cx="9525" cy="21634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525" cy="2163445"/>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-227330</wp:posOffset>
            </wp:positionV>
            <wp:extent cx="952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-236855</wp:posOffset>
            </wp:positionV>
            <wp:extent cx="952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112395</wp:posOffset>
            </wp:positionV>
            <wp:extent cx="262064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42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700" w:type="dxa"/>
            <w:vAlign w:val="bottom"/>
          </w:tcPr>
          <w:p>
            <w:pPr>
              <w:ind w:left="360"/>
              <w:spacing w:after="0"/>
              <w:rPr>
                <w:sz w:val="20"/>
                <w:szCs w:val="20"/>
                <w:color w:val="auto"/>
              </w:rPr>
            </w:pPr>
            <w:r>
              <w:rPr>
                <w:rFonts w:ascii="Arial" w:cs="Arial" w:eastAsia="Arial" w:hAnsi="Arial"/>
                <w:sz w:val="20"/>
                <w:szCs w:val="20"/>
                <w:color w:val="0000FF"/>
              </w:rPr>
              <w:t>20004-2505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480" w:type="dxa"/>
            <w:vAlign w:val="bottom"/>
          </w:tcPr>
          <w:p>
            <w:pPr>
              <w:ind w:left="460"/>
              <w:spacing w:after="0"/>
              <w:rPr>
                <w:sz w:val="20"/>
                <w:szCs w:val="20"/>
                <w:color w:val="auto"/>
              </w:rPr>
            </w:pPr>
            <w:r>
              <w:rPr>
                <w:rFonts w:ascii="Arial" w:cs="Arial" w:eastAsia="Arial" w:hAnsi="Arial"/>
                <w:sz w:val="15"/>
                <w:szCs w:val="15"/>
                <w:color w:val="auto"/>
              </w:rPr>
              <w:t>(State)</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420" w:type="dxa"/>
            <w:vAlign w:val="bottom"/>
            <w:gridSpan w:val="2"/>
          </w:tcPr>
          <w:p>
            <w:pPr>
              <w:ind w:left="20"/>
              <w:spacing w:after="0"/>
              <w:rPr>
                <w:rFonts w:ascii="Arial" w:cs="Arial" w:eastAsia="Arial" w:hAnsi="Arial"/>
                <w:sz w:val="24"/>
                <w:szCs w:val="24"/>
                <w:color w:val="0000EE"/>
              </w:rPr>
            </w:pPr>
            <w:hyperlink r:id="rId34">
              <w:r>
                <w:rPr>
                  <w:rFonts w:ascii="Arial" w:cs="Arial" w:eastAsia="Arial" w:hAnsi="Arial"/>
                  <w:sz w:val="24"/>
                  <w:szCs w:val="24"/>
                  <w:u w:val="single" w:color="auto"/>
                  <w:color w:val="0000EE"/>
                </w:rPr>
                <w:t>TC Group VI, L.L.C</w:t>
              </w:r>
              <w:r>
                <w:rPr>
                  <w:rFonts w:ascii="Arial" w:cs="Arial" w:eastAsia="Arial" w:hAnsi="Arial"/>
                  <w:sz w:val="24"/>
                  <w:szCs w:val="24"/>
                  <w:color w:val="0000EE"/>
                </w:rPr>
                <w:t>.</w:t>
              </w:r>
            </w:hyperlink>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48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480" w:type="dxa"/>
            <w:vAlign w:val="bottom"/>
          </w:tcPr>
          <w:p>
            <w:pPr>
              <w:ind w:left="460"/>
              <w:spacing w:after="0"/>
              <w:rPr>
                <w:sz w:val="20"/>
                <w:szCs w:val="20"/>
                <w:color w:val="auto"/>
              </w:rPr>
            </w:pPr>
            <w:r>
              <w:rPr>
                <w:rFonts w:ascii="Arial" w:cs="Arial" w:eastAsia="Arial" w:hAnsi="Arial"/>
                <w:sz w:val="15"/>
                <w:szCs w:val="15"/>
                <w:color w:val="auto"/>
              </w:rPr>
              <w:t>(First)</w:t>
            </w:r>
          </w:p>
        </w:tc>
        <w:tc>
          <w:tcPr>
            <w:tcW w:w="1820" w:type="dxa"/>
            <w:vAlign w:val="bottom"/>
            <w:gridSpan w:val="2"/>
          </w:tcPr>
          <w:p>
            <w:pPr>
              <w:ind w:left="36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-1018540</wp:posOffset>
            </wp:positionV>
            <wp:extent cx="952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-1028065</wp:posOffset>
            </wp:positionV>
            <wp:extent cx="952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2741295</wp:posOffset>
            </wp:positionH>
            <wp:positionV relativeFrom="paragraph">
              <wp:posOffset>-713105</wp:posOffset>
            </wp:positionV>
            <wp:extent cx="9525" cy="2153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9525" cy="21539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-722630</wp:posOffset>
            </wp:positionV>
            <wp:extent cx="9525" cy="21634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9525" cy="2163445"/>
                    </a:xfrm>
                    <a:prstGeom prst="rect">
                      <a:avLst/>
                    </a:prstGeom>
                    <a:noFill/>
                  </pic:spPr>
                </pic:pic>
              </a:graphicData>
            </a:graphic>
          </wp:anchor>
        </w:drawing>
        <w:drawing>
          <wp:anchor simplePos="0" relativeHeight="251657728" behindDoc="1" locked="0" layoutInCell="0" allowOverlap="1">
            <wp:simplePos x="0" y="0"/>
            <wp:positionH relativeFrom="column">
              <wp:posOffset>2674620</wp:posOffset>
            </wp:positionH>
            <wp:positionV relativeFrom="paragraph">
              <wp:posOffset>-227330</wp:posOffset>
            </wp:positionV>
            <wp:extent cx="952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-236855</wp:posOffset>
            </wp:positionV>
            <wp:extent cx="952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9525" cy="19050"/>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SOUTH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112395</wp:posOffset>
            </wp:positionV>
            <wp:extent cx="262064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2620645" cy="1905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40" w:type="dxa"/>
            <w:vAlign w:val="bottom"/>
            <w:gridSpan w:val="2"/>
          </w:tcPr>
          <w:p>
            <w:pPr>
              <w:ind w:left="80"/>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9"/>
        </w:trPr>
        <w:tc>
          <w:tcPr>
            <w:tcW w:w="10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800" w:type="dxa"/>
            <w:vAlign w:val="bottom"/>
          </w:tcPr>
          <w:p>
            <w:pPr>
              <w:ind w:left="460"/>
              <w:spacing w:after="0"/>
              <w:rPr>
                <w:sz w:val="20"/>
                <w:szCs w:val="20"/>
                <w:color w:val="auto"/>
              </w:rPr>
            </w:pPr>
            <w:r>
              <w:rPr>
                <w:rFonts w:ascii="Arial" w:cs="Arial" w:eastAsia="Arial" w:hAnsi="Arial"/>
                <w:sz w:val="20"/>
                <w:szCs w:val="20"/>
                <w:color w:val="0000FF"/>
              </w:rPr>
              <w:t>20004-2505</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101"/>
        </w:trPr>
        <w:tc>
          <w:tcPr>
            <w:tcW w:w="100" w:type="dxa"/>
            <w:vAlign w:val="bottom"/>
            <w:tcBorders>
              <w:bottom w:val="single" w:sz="8" w:color="2C2C2C"/>
            </w:tcBorders>
          </w:tcPr>
          <w:p>
            <w:pPr>
              <w:spacing w:after="0"/>
              <w:rPr>
                <w:sz w:val="8"/>
                <w:szCs w:val="8"/>
                <w:color w:val="auto"/>
              </w:rPr>
            </w:pPr>
          </w:p>
        </w:tc>
        <w:tc>
          <w:tcPr>
            <w:tcW w:w="412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91"/>
        </w:trPr>
        <w:tc>
          <w:tcPr>
            <w:tcW w:w="4340" w:type="dxa"/>
            <w:vAlign w:val="bottom"/>
            <w:gridSpan w:val="5"/>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306"/>
        </w:trPr>
        <w:tc>
          <w:tcPr>
            <w:tcW w:w="100" w:type="dxa"/>
            <w:vAlign w:val="bottom"/>
          </w:tcPr>
          <w:p>
            <w:pPr>
              <w:spacing w:after="0"/>
              <w:rPr>
                <w:sz w:val="24"/>
                <w:szCs w:val="24"/>
                <w:color w:val="auto"/>
              </w:rPr>
            </w:pPr>
          </w:p>
        </w:tc>
        <w:tc>
          <w:tcPr>
            <w:tcW w:w="2320" w:type="dxa"/>
            <w:vAlign w:val="bottom"/>
            <w:gridSpan w:val="2"/>
          </w:tcPr>
          <w:p>
            <w:pPr>
              <w:ind w:left="20"/>
              <w:spacing w:after="0"/>
              <w:rPr>
                <w:rFonts w:ascii="Arial" w:cs="Arial" w:eastAsia="Arial" w:hAnsi="Arial"/>
                <w:sz w:val="24"/>
                <w:szCs w:val="24"/>
                <w:u w:val="single" w:color="auto"/>
                <w:color w:val="0000EE"/>
              </w:rPr>
            </w:pPr>
            <w:hyperlink r:id="rId42">
              <w:r>
                <w:rPr>
                  <w:rFonts w:ascii="Arial" w:cs="Arial" w:eastAsia="Arial" w:hAnsi="Arial"/>
                  <w:sz w:val="24"/>
                  <w:szCs w:val="24"/>
                  <w:u w:val="single" w:color="auto"/>
                  <w:color w:val="0000EE"/>
                </w:rPr>
                <w:t>TC Group VI, L.P.</w:t>
              </w:r>
            </w:hyperlink>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3"/>
        </w:trPr>
        <w:tc>
          <w:tcPr>
            <w:tcW w:w="100" w:type="dxa"/>
            <w:vAlign w:val="bottom"/>
          </w:tcPr>
          <w:p>
            <w:pPr>
              <w:spacing w:after="0"/>
              <w:rPr>
                <w:sz w:val="14"/>
                <w:szCs w:val="14"/>
                <w:color w:val="auto"/>
              </w:rPr>
            </w:pPr>
          </w:p>
        </w:tc>
        <w:tc>
          <w:tcPr>
            <w:tcW w:w="940" w:type="dxa"/>
            <w:vAlign w:val="bottom"/>
            <w:tcBorders>
              <w:bottom w:val="single" w:sz="8" w:color="9A9A9A"/>
            </w:tcBorders>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1800" w:type="dxa"/>
            <w:vAlign w:val="bottom"/>
            <w:tcBorders>
              <w:bottom w:val="single" w:sz="8" w:color="9A9A9A"/>
            </w:tcBorders>
          </w:tcPr>
          <w:p>
            <w:pPr>
              <w:spacing w:after="0"/>
              <w:rPr>
                <w:sz w:val="14"/>
                <w:szCs w:val="14"/>
                <w:color w:val="auto"/>
              </w:rPr>
            </w:pPr>
          </w:p>
        </w:tc>
        <w:tc>
          <w:tcPr>
            <w:tcW w:w="120" w:type="dxa"/>
            <w:vAlign w:val="bottom"/>
          </w:tcPr>
          <w:p>
            <w:pPr>
              <w:spacing w:after="0"/>
              <w:rPr>
                <w:sz w:val="14"/>
                <w:szCs w:val="14"/>
                <w:color w:val="auto"/>
              </w:rPr>
            </w:pPr>
          </w:p>
        </w:tc>
      </w:tr>
      <w:tr>
        <w:trPr>
          <w:trHeight w:val="344"/>
        </w:trPr>
        <w:tc>
          <w:tcPr>
            <w:tcW w:w="10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(Last)</w:t>
            </w:r>
          </w:p>
        </w:tc>
        <w:tc>
          <w:tcPr>
            <w:tcW w:w="1380" w:type="dxa"/>
            <w:vAlign w:val="bottom"/>
          </w:tcPr>
          <w:p>
            <w:pPr>
              <w:ind w:left="46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2674620</wp:posOffset>
            </wp:positionH>
            <wp:positionV relativeFrom="paragraph">
              <wp:posOffset>-1018540</wp:posOffset>
            </wp:positionV>
            <wp:extent cx="952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9525" cy="952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-1028065</wp:posOffset>
            </wp:positionV>
            <wp:extent cx="9525" cy="19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9525" cy="190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-722630</wp:posOffset>
            </wp:positionV>
            <wp:extent cx="2753995" cy="21634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2753995" cy="2163445"/>
                    </a:xfrm>
                    <a:prstGeom prst="rect">
                      <a:avLst/>
                    </a:prstGeom>
                    <a:noFill/>
                  </pic:spPr>
                </pic:pic>
              </a:graphicData>
            </a:graphic>
          </wp:anchor>
        </w:drawing>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20"/>
          <w:szCs w:val="20"/>
          <w:color w:val="0000FF"/>
        </w:rPr>
        <w:t>SOUTH</w:t>
      </w:r>
    </w:p>
    <w:p>
      <w:pPr>
        <w:spacing w:after="0" w:line="327" w:lineRule="exact"/>
        <w:rPr>
          <w:sz w:val="20"/>
          <w:szCs w:val="20"/>
          <w:color w:val="auto"/>
        </w:rPr>
      </w:pPr>
    </w:p>
    <w:tbl>
      <w:tblPr>
        <w:tblLayout w:type="fixed"/>
        <w:tblInd w:w="80" w:type="dxa"/>
        <w:tblCellMar>
          <w:top w:w="0" w:type="dxa"/>
          <w:left w:w="0" w:type="dxa"/>
          <w:bottom w:w="0" w:type="dxa"/>
          <w:right w:w="0" w:type="dxa"/>
        </w:tblCellMar>
      </w:tblPr>
      <w:tr>
        <w:trPr>
          <w:trHeight w:val="180"/>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800" w:type="dxa"/>
            <w:vAlign w:val="bottom"/>
          </w:tcPr>
          <w:p>
            <w:pPr>
              <w:ind w:left="460"/>
              <w:spacing w:after="0"/>
              <w:rPr>
                <w:sz w:val="20"/>
                <w:szCs w:val="20"/>
                <w:color w:val="auto"/>
              </w:rPr>
            </w:pPr>
            <w:r>
              <w:rPr>
                <w:rFonts w:ascii="Arial" w:cs="Arial" w:eastAsia="Arial" w:hAnsi="Arial"/>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2753995" cy="4762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2753995" cy="476250"/>
                    </a:xfrm>
                    <a:prstGeom prst="rect">
                      <a:avLst/>
                    </a:prstGeom>
                    <a:noFill/>
                  </pic:spPr>
                </pic:pic>
              </a:graphicData>
            </a:graphic>
          </wp:anchor>
        </w:drawing>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9959"/>
          </w:cols>
          <w:pgMar w:left="500" w:top="130" w:right="1440" w:bottom="0" w:gutter="0" w:footer="0" w:header="0"/>
        </w:sectPr>
      </w:pPr>
    </w:p>
    <w:p>
      <w:pPr>
        <w:ind w:left="120"/>
        <w:spacing w:after="0"/>
        <w:rPr>
          <w:rFonts w:ascii="Arial" w:cs="Arial" w:eastAsia="Arial" w:hAnsi="Arial"/>
          <w:sz w:val="21"/>
          <w:szCs w:val="21"/>
          <w:u w:val="single" w:color="auto"/>
          <w:color w:val="0000EE"/>
        </w:rPr>
      </w:pPr>
      <w:hyperlink r:id="rId47">
        <w:r>
          <w:rPr>
            <w:rFonts w:ascii="Arial" w:cs="Arial" w:eastAsia="Arial" w:hAnsi="Arial"/>
            <w:sz w:val="21"/>
            <w:szCs w:val="21"/>
            <w:u w:val="single" w:color="auto"/>
            <w:color w:val="0000EE"/>
          </w:rPr>
          <w:t>Carlyle Partners VI Evergreen Holdings,</w:t>
        </w:r>
      </w:hyperlink>
    </w:p>
    <w:p>
      <w:pPr>
        <w:sectPr>
          <w:pgSz w:w="11900" w:h="16838" w:orient="portrait"/>
          <w:cols w:equalWidth="0" w:num="1">
            <w:col w:w="9959"/>
          </w:cols>
          <w:pgMar w:left="500" w:top="130" w:right="1440" w:bottom="0" w:gutter="0" w:footer="0" w:header="0"/>
          <w:type w:val="continuous"/>
        </w:sectPr>
      </w:pPr>
    </w:p>
    <w:bookmarkStart w:id="2" w:name="page3"/>
    <w:bookmarkEnd w:id="2"/>
    <w:p>
      <w:pPr>
        <w:ind w:left="100"/>
        <w:spacing w:after="0"/>
        <w:rPr>
          <w:rFonts w:ascii="Arial" w:cs="Arial" w:eastAsia="Arial" w:hAnsi="Arial"/>
          <w:sz w:val="24"/>
          <w:szCs w:val="24"/>
          <w:u w:val="single" w:color="auto"/>
          <w:color w:val="0000EE"/>
        </w:rPr>
      </w:pPr>
      <w:hyperlink r:id="rId47">
        <w:r>
          <w:rPr>
            <w:rFonts w:ascii="Arial" w:cs="Arial" w:eastAsia="Arial" w:hAnsi="Arial"/>
            <w:sz w:val="24"/>
            <w:szCs w:val="24"/>
            <w:u w:val="single" w:color="auto"/>
            <w:color w:val="0000EE"/>
          </w:rPr>
          <w:t>L.P.</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-159385</wp:posOffset>
            </wp:positionV>
            <wp:extent cx="2773045" cy="62890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2773045" cy="6289040"/>
                    </a:xfrm>
                    <a:prstGeom prst="rect">
                      <a:avLst/>
                    </a:prstGeom>
                    <a:noFill/>
                  </pic:spPr>
                </pic:pic>
              </a:graphicData>
            </a:graphic>
          </wp:anchor>
        </w:drawing>
      </w:r>
    </w:p>
    <w:p>
      <w:pPr>
        <w:spacing w:after="0" w:line="358"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SOUTH</w:t>
      </w: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800" w:type="dxa"/>
            <w:vAlign w:val="bottom"/>
          </w:tcPr>
          <w:p>
            <w:pPr>
              <w:ind w:left="460"/>
              <w:spacing w:after="0"/>
              <w:rPr>
                <w:sz w:val="20"/>
                <w:szCs w:val="20"/>
                <w:color w:val="auto"/>
              </w:rPr>
            </w:pPr>
            <w:r>
              <w:rPr>
                <w:rFonts w:ascii="Arial" w:cs="Arial" w:eastAsia="Arial" w:hAnsi="Arial"/>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color w:val="0000EE"/>
        </w:rPr>
      </w:pPr>
      <w:hyperlink r:id="rId49">
        <w:r>
          <w:rPr>
            <w:rFonts w:ascii="Arial" w:cs="Arial" w:eastAsia="Arial" w:hAnsi="Arial"/>
            <w:sz w:val="24"/>
            <w:szCs w:val="24"/>
            <w:u w:val="single" w:color="auto"/>
            <w:color w:val="0000EE"/>
          </w:rPr>
          <w:t>CP VI Evergreen Holdings, L.P</w:t>
        </w:r>
        <w:r>
          <w:rPr>
            <w:rFonts w:ascii="Arial" w:cs="Arial" w:eastAsia="Arial" w:hAnsi="Arial"/>
            <w:sz w:val="24"/>
            <w:szCs w:val="24"/>
            <w:color w:val="0000EE"/>
          </w:rPr>
          <w:t>.</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SOUTH</w:t>
      </w: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800" w:type="dxa"/>
            <w:vAlign w:val="bottom"/>
          </w:tcPr>
          <w:p>
            <w:pPr>
              <w:ind w:left="460"/>
              <w:spacing w:after="0"/>
              <w:rPr>
                <w:sz w:val="20"/>
                <w:szCs w:val="20"/>
                <w:color w:val="auto"/>
              </w:rPr>
            </w:pPr>
            <w:r>
              <w:rPr>
                <w:rFonts w:ascii="Arial" w:cs="Arial" w:eastAsia="Arial" w:hAnsi="Arial"/>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5" w:lineRule="exact"/>
        <w:rPr>
          <w:sz w:val="20"/>
          <w:szCs w:val="20"/>
          <w:color w:val="auto"/>
        </w:rPr>
      </w:pPr>
    </w:p>
    <w:p>
      <w:pPr>
        <w:ind w:left="6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50">
        <w:r>
          <w:rPr>
            <w:rFonts w:ascii="Arial" w:cs="Arial" w:eastAsia="Arial" w:hAnsi="Arial"/>
            <w:sz w:val="24"/>
            <w:szCs w:val="24"/>
            <w:u w:val="single" w:color="auto"/>
            <w:color w:val="0000EE"/>
          </w:rPr>
          <w:t>Carlyle Partners VI Dash Holdings, L.P.</w:t>
        </w:r>
      </w:hyperlink>
    </w:p>
    <w:p>
      <w:pPr>
        <w:spacing w:after="0" w:line="357"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C/O THE CARLYLE GROUP 1001</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PENNSYLVANIA AVE., N.W., SUITE 220</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20"/>
          <w:szCs w:val="20"/>
          <w:color w:val="0000FF"/>
        </w:rPr>
        <w:t>SOUTH</w:t>
      </w:r>
    </w:p>
    <w:p>
      <w:pPr>
        <w:spacing w:after="0" w:line="32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96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38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269"/>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20"/>
                <w:szCs w:val="20"/>
                <w:color w:val="0000FF"/>
              </w:rPr>
              <w:t>WASHINGTON DC</w:t>
            </w:r>
          </w:p>
        </w:tc>
        <w:tc>
          <w:tcPr>
            <w:tcW w:w="1800" w:type="dxa"/>
            <w:vAlign w:val="bottom"/>
          </w:tcPr>
          <w:p>
            <w:pPr>
              <w:ind w:left="460"/>
              <w:spacing w:after="0"/>
              <w:rPr>
                <w:sz w:val="20"/>
                <w:szCs w:val="20"/>
                <w:color w:val="auto"/>
              </w:rPr>
            </w:pPr>
            <w:r>
              <w:rPr>
                <w:rFonts w:ascii="Arial" w:cs="Arial" w:eastAsia="Arial" w:hAnsi="Arial"/>
                <w:sz w:val="20"/>
                <w:szCs w:val="20"/>
                <w:color w:val="0000FF"/>
              </w:rPr>
              <w:t>20004-2505</w:t>
            </w:r>
          </w:p>
        </w:tc>
      </w:tr>
      <w:tr>
        <w:trPr>
          <w:trHeight w:val="177"/>
        </w:trPr>
        <w:tc>
          <w:tcPr>
            <w:tcW w:w="2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5"/>
                <w:szCs w:val="15"/>
                <w:color w:val="auto"/>
              </w:rPr>
              <w:t>(City)</w:t>
            </w:r>
          </w:p>
        </w:tc>
        <w:tc>
          <w:tcPr>
            <w:tcW w:w="1380" w:type="dxa"/>
            <w:vAlign w:val="bottom"/>
          </w:tcPr>
          <w:p>
            <w:pPr>
              <w:ind w:left="46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Carlyle Partners VI Evergreen Holdings, L.P. ("Carlyle Evergreen") is the record holder of the shares reported herein.</w:t>
      </w:r>
    </w:p>
    <w:p>
      <w:pPr>
        <w:spacing w:after="0" w:line="52" w:lineRule="exact"/>
        <w:rPr>
          <w:rFonts w:ascii="Arial" w:cs="Arial" w:eastAsia="Arial" w:hAnsi="Arial"/>
          <w:sz w:val="15"/>
          <w:szCs w:val="15"/>
          <w:color w:val="008000"/>
        </w:rPr>
      </w:pPr>
    </w:p>
    <w:p>
      <w:pPr>
        <w:ind w:firstLine="5"/>
        <w:spacing w:after="0" w:line="256" w:lineRule="auto"/>
        <w:tabs>
          <w:tab w:leader="none" w:pos="15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Carlyle Group Management L.L.C. holds an irrevocable proxy to vote a majority of the shares of The Carlyle Group Inc., which is a publicly traded entity listed on the Nasdaq. The Carlyle Group Inc. is the sole shareholder of Carlyle Holdings I GP Inc., which is the sole member of Carlyle Holdings I GP Sub L.L.C., which is the general partner of Carlyle Holdings I L.P., which, with respect to the securities held of record by Carlyle Evergreen and CP VI Evergreen Holdings, L.P. ("CP VI Evergreen"), is the managing member of CG Subsidiary Holdings L.L.C., which is the managing member of TC Group, L.L.C., which is the general partner of TC Group Sub L.P., which is the managing member of TC Group VI S1, L.L.C., which is the general partner of TC Group VI S1, L.P., which is the general partner of Carlyle Evergreen and CP VI Evergreen.</w:t>
      </w:r>
    </w:p>
    <w:p>
      <w:pPr>
        <w:spacing w:after="0" w:line="26" w:lineRule="exact"/>
        <w:rPr>
          <w:rFonts w:ascii="Arial" w:cs="Arial" w:eastAsia="Arial" w:hAnsi="Arial"/>
          <w:sz w:val="14"/>
          <w:szCs w:val="14"/>
          <w:color w:val="008000"/>
        </w:rPr>
      </w:pPr>
    </w:p>
    <w:p>
      <w:pPr>
        <w:ind w:right="140" w:firstLine="5"/>
        <w:spacing w:after="0" w:line="238"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Cont'd. The Carlyle Group Inc. is also the sole member of Carlyle Holdings II GP L.L.C., which is the managing member of Carlyle Holdings II L.L.C., which, with respect to the securities held of record by Carlyle Partners VI Dash Holdings, L.P., is the managing member of CG Subsidiary Holdings L.L.C., which is the general partner of TC Group Cayman Investment Holdings, L.P., which is the general partner of TC Group Cayman Investment Holdings Sub L.P., which is the sole member of TC Group VI, L.L.C., which is the general partner of TC Group VI, L.P., which is the general partner of Carlyle Partners VI Dash Holdings, L.P.</w:t>
      </w:r>
    </w:p>
    <w:p>
      <w:pPr>
        <w:spacing w:after="0" w:line="36" w:lineRule="exact"/>
        <w:rPr>
          <w:rFonts w:ascii="Arial" w:cs="Arial" w:eastAsia="Arial" w:hAnsi="Arial"/>
          <w:sz w:val="15"/>
          <w:szCs w:val="15"/>
          <w:color w:val="008000"/>
        </w:rPr>
      </w:pPr>
    </w:p>
    <w:p>
      <w:pPr>
        <w:ind w:right="20" w:firstLine="5"/>
        <w:spacing w:after="0" w:line="288" w:lineRule="auto"/>
        <w:tabs>
          <w:tab w:leader="none" w:pos="15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LLC Units of ZoomInfo Holdings LLC ("OpCo Units") and an equal number of shares of Class B Common Stock, together are exchangeable for shares of Class A Common Stock on a one-for-one basis at the discretion of the holder, subject to certain exceptions, conditions and adjustments, and have no expiration date.</w:t>
      </w:r>
    </w:p>
    <w:p>
      <w:pPr>
        <w:spacing w:after="0" w:line="3" w:lineRule="exact"/>
        <w:rPr>
          <w:rFonts w:ascii="Arial" w:cs="Arial" w:eastAsia="Arial" w:hAnsi="Arial"/>
          <w:sz w:val="14"/>
          <w:szCs w:val="14"/>
          <w:color w:val="008000"/>
        </w:rPr>
      </w:pPr>
    </w:p>
    <w:p>
      <w:pPr>
        <w:ind w:left="160" w:hanging="155"/>
        <w:spacing w:after="0"/>
        <w:tabs>
          <w:tab w:leader="none" w:pos="160" w:val="left"/>
        </w:tabs>
        <w:numPr>
          <w:ilvl w:val="0"/>
          <w:numId w:val="4"/>
        </w:numPr>
        <w:rPr>
          <w:rFonts w:ascii="Arial" w:cs="Arial" w:eastAsia="Arial" w:hAnsi="Arial"/>
          <w:sz w:val="13"/>
          <w:szCs w:val="13"/>
          <w:color w:val="008000"/>
        </w:rPr>
      </w:pPr>
      <w:r>
        <w:rPr>
          <w:rFonts w:ascii="Arial" w:cs="Arial" w:eastAsia="Arial" w:hAnsi="Arial"/>
          <w:sz w:val="13"/>
          <w:szCs w:val="13"/>
          <w:color w:val="008000"/>
        </w:rPr>
        <w:t>The Class C Common Stock may be converted into shares of the Issuer's Class A Common Stock on a one-to-one basis at the discretion of the holder and has no expiration date.</w:t>
      </w:r>
    </w:p>
    <w:p>
      <w:pPr>
        <w:spacing w:after="0" w:line="75" w:lineRule="exact"/>
        <w:rPr>
          <w:rFonts w:ascii="Arial" w:cs="Arial" w:eastAsia="Arial" w:hAnsi="Arial"/>
          <w:sz w:val="13"/>
          <w:szCs w:val="13"/>
          <w:color w:val="008000"/>
        </w:rPr>
      </w:pPr>
    </w:p>
    <w:p>
      <w:pPr>
        <w:ind w:left="160" w:hanging="155"/>
        <w:spacing w:after="0"/>
        <w:tabs>
          <w:tab w:leader="none" w:pos="16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Includes 45,193,415 shares held of record by CP VI Evergreen Holdings, L.P. and 16,050,783 shares held of record by Carlyle Partners VI Dash Holdings, L.P.</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line="241" w:lineRule="auto"/>
        <w:rPr>
          <w:sz w:val="20"/>
          <w:szCs w:val="20"/>
          <w:color w:val="auto"/>
        </w:rPr>
      </w:pPr>
      <w:r>
        <w:rPr>
          <w:rFonts w:ascii="Arial" w:cs="Arial" w:eastAsia="Arial" w:hAnsi="Arial"/>
          <w:sz w:val="15"/>
          <w:szCs w:val="15"/>
          <w:color w:val="008000"/>
        </w:rPr>
        <w:t>Exhibit 24- Power of Attorney Due to the limitations of the electronic filing system, each of Carlyle Group Management L.L.C, The Carlyle Group Inc., Carlyle Holdings I GP Inc., Carlyle Holdings I GP Sub L.L.C., Carlyle Holdings I L.P., CG Subsidiary Holdings L.L.C., TC Group, L.L.C., TC Group Sub L.P.,Carlyle Holdings II GP L.L.C and Carlyle Holdings II L.L.C. are filing a separate Form 3.</w:t>
      </w:r>
    </w:p>
    <w:p>
      <w:pPr>
        <w:sectPr>
          <w:pgSz w:w="11900" w:h="16838" w:orient="portrait"/>
          <w:cols w:equalWidth="0" w:num="1">
            <w:col w:w="10840"/>
          </w:cols>
          <w:pgMar w:left="520" w:top="115" w:right="539" w:bottom="0" w:gutter="0" w:footer="0" w:header="0"/>
        </w:sectPr>
      </w:pPr>
    </w:p>
    <w:p>
      <w:pPr>
        <w:spacing w:after="0" w:line="67"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TC Group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49325" cy="9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9493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Investment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321435" cy="9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2143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 Anne Frederick,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62685" cy="9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1626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Attorney-in-fact for Curtis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13815" cy="95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31381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L. Buser,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0950" cy="9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25095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54965" cy="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5496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TC Group Cayman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49325" cy="9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94932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Investment Holdings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9205" cy="95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2592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L.P., By: /s/ Anne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80745" cy="95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88074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Frederick,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41120" cy="9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34112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2">
            <w:col w:w="8640" w:space="80"/>
            <w:col w:w="2120"/>
          </w:cols>
          <w:pgMar w:left="520" w:top="115" w:right="53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8"/>
          <w:szCs w:val="18"/>
          <w:color w:val="0000FF"/>
        </w:rPr>
        <w:t>for Curtis L. Buser,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68095" cy="95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26809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47090" cy="95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847090"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TC Group VI S1,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49045" cy="95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/s/ Jeremy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59205" cy="95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2592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5195" cy="95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92519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TC Group VI S1, L.P.,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63015" cy="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26301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Jeremy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11250" cy="95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11125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5195" cy="95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92519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TC Group VI,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97305" cy="95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29730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/s/ 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16660" cy="95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21666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5195" cy="9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92519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TC Group VI, L.P.,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311275" cy="95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131127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8705" cy="95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0687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5195" cy="95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92519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Carlyle Partners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963295" cy="9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96329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Evergreen Holdings,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46505" cy="95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24650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By: TC Group VI S1,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4610" cy="95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8255" cy="9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27825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8705" cy="95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10687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5195" cy="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92519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CP VI Evergreen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850900" cy="95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8509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Holdings,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8075" cy="95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110807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Group VI S1,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73785" cy="95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107378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0300" cy="95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113030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Jeremy W.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68705" cy="95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106870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25195" cy="95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92519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18"/>
          <w:szCs w:val="18"/>
          <w:color w:val="0000FF"/>
        </w:rPr>
        <w:t>Carlyle Partners VI Dash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-635</wp:posOffset>
            </wp:positionV>
            <wp:extent cx="1249045" cy="9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1249045" cy="952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Holdings, L.P., By: 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9190" cy="95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11391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Group VI, L.P.,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07465" cy="95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130746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By: /s/ Jeremy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1270</wp:posOffset>
            </wp:positionV>
            <wp:extent cx="1290955" cy="95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1290955" cy="9525"/>
                    </a:xfrm>
                    <a:prstGeom prst="rect">
                      <a:avLst/>
                    </a:prstGeom>
                    <a:noFill/>
                  </pic:spPr>
                </pic:pic>
              </a:graphicData>
            </a:graphic>
          </wp:anchor>
        </w:drawing>
      </w:r>
    </w:p>
    <w:p>
      <w:pPr>
        <w:spacing w:after="0" w:line="2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Anderson,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01090" cy="95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3">
                      <a:extLst>
                        <a:ext uri="{28A0092B-C50C-407E-A947-70E740481C1C}"/>
                      </a:extLst>
                    </a:blip>
                    <a:srcRect/>
                    <a:stretch>
                      <a:fillRect/>
                    </a:stretch>
                  </pic:blipFill>
                  <pic:spPr bwMode="auto">
                    <a:xfrm>
                      <a:off x="0" y="0"/>
                      <a:ext cx="110109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337185" cy="95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4">
                      <a:extLst>
                        <a:ext uri="{28A0092B-C50C-407E-A947-70E740481C1C}"/>
                      </a:extLst>
                    </a:blip>
                    <a:srcRect/>
                    <a:stretch>
                      <a:fillRect/>
                    </a:stretch>
                  </pic:blipFill>
                  <pic:spPr bwMode="auto">
                    <a:xfrm>
                      <a:off x="0" y="0"/>
                      <a:ext cx="33718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06/04/2020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706" w:lineRule="exact"/>
        <w:rPr>
          <w:sz w:val="20"/>
          <w:szCs w:val="20"/>
          <w:color w:val="auto"/>
        </w:rPr>
      </w:pPr>
    </w:p>
    <w:p>
      <w:pPr>
        <w:sectPr>
          <w:pgSz w:w="11900" w:h="16838" w:orient="portrait"/>
          <w:cols w:equalWidth="0" w:num="2">
            <w:col w:w="8620" w:space="100"/>
            <w:col w:w="2100"/>
          </w:cols>
          <w:pgMar w:left="520" w:top="130" w:right="559" w:bottom="1440" w:gutter="0" w:footer="0" w:header="0"/>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30" w:right="559" w:bottom="1440" w:gutter="0" w:footer="0" w:header="0"/>
          <w:type w:val="continuous"/>
        </w:sectPr>
      </w:pPr>
    </w:p>
    <w:bookmarkStart w:id="4" w:name="page5"/>
    <w:bookmarkEnd w:id="4"/>
    <w:p>
      <w:pPr>
        <w:jc w:val="right"/>
        <w:ind w:right="619"/>
        <w:spacing w:after="0"/>
        <w:rPr>
          <w:sz w:val="20"/>
          <w:szCs w:val="20"/>
          <w:color w:val="auto"/>
        </w:rPr>
      </w:pPr>
      <w:r>
        <w:rPr>
          <w:rFonts w:ascii="Courier New" w:cs="Courier New" w:eastAsia="Courier New" w:hAnsi="Courier New"/>
          <w:sz w:val="20"/>
          <w:szCs w:val="20"/>
          <w:color w:val="auto"/>
        </w:rPr>
        <w:t>Exhibit 24</w:t>
      </w:r>
    </w:p>
    <w:p>
      <w:pPr>
        <w:spacing w:after="0" w:line="224" w:lineRule="exact"/>
        <w:rPr>
          <w:sz w:val="20"/>
          <w:szCs w:val="20"/>
          <w:color w:val="auto"/>
        </w:rPr>
      </w:pPr>
    </w:p>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585"/>
        <w:spacing w:after="0" w:line="236" w:lineRule="auto"/>
        <w:rPr>
          <w:sz w:val="20"/>
          <w:szCs w:val="20"/>
          <w:color w:val="auto"/>
        </w:rPr>
      </w:pPr>
      <w:r>
        <w:rPr>
          <w:rFonts w:ascii="Courier New" w:cs="Courier New" w:eastAsia="Courier New" w:hAnsi="Courier New"/>
          <w:sz w:val="20"/>
          <w:szCs w:val="20"/>
          <w:color w:val="auto"/>
        </w:rPr>
        <w:t>The undersigned understands that, from time to time, the Carlyle Companies (defined below) are required to prepare, execute and file certain federal and state securities laws filings.</w:t>
      </w:r>
    </w:p>
    <w:p>
      <w:pPr>
        <w:spacing w:after="0" w:line="232"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Jeffrey Ferguson, Jeremy Anderson, Joanne Cosiol, Anne Frederick, Kevin Gasque, Erica Herberg, Norma Kuntz, Joshua Lefkowitz, David Lobe, Karen McMonagle, Aditya Narain, Michelle Reing, Ryan Toteja and Catherine Ziobro, or any of them signing singly, and with full power of substitution, the undersigned's true and lawful attorney-in-fact to:</w:t>
      </w:r>
    </w:p>
    <w:p>
      <w:pPr>
        <w:spacing w:after="0" w:line="233" w:lineRule="exact"/>
        <w:rPr>
          <w:sz w:val="20"/>
          <w:szCs w:val="20"/>
          <w:color w:val="auto"/>
        </w:rPr>
      </w:pPr>
    </w:p>
    <w:p>
      <w:pPr>
        <w:ind w:left="1280" w:right="619" w:hanging="695"/>
        <w:spacing w:after="0" w:line="26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name of each Carlyle Company and on behalf of each Carlyle Company, and submit to the U.S. Securities and Exchange Commission (the "SEC") a Form ID, including amendments thereto, and any other documents necessary or appropriate to obtain codes and passwords enabling the undersigned to make electronic filings with the SEC of Forms D ("Form D") required to be filed in accordance with Rule 503 ("Rule 503") promulgated with respect to Sections 4(2), 4(6) and 3(b) of the Securities Act of 1933 (the "1933 Act") and reports required by Sections 13(d) and 16(a) of the Securities Exchange Act of 1934 (the "1934 Act") or any rule or regulation of the SEC;</w:t>
      </w:r>
    </w:p>
    <w:p>
      <w:pPr>
        <w:spacing w:after="0" w:line="207" w:lineRule="exact"/>
        <w:rPr>
          <w:rFonts w:ascii="Courier New" w:cs="Courier New" w:eastAsia="Courier New" w:hAnsi="Courier New"/>
          <w:sz w:val="18"/>
          <w:szCs w:val="18"/>
          <w:color w:val="auto"/>
        </w:rPr>
      </w:pPr>
    </w:p>
    <w:p>
      <w:pPr>
        <w:ind w:left="1280" w:right="619" w:hanging="695"/>
        <w:spacing w:after="0" w:line="237" w:lineRule="auto"/>
        <w:tabs>
          <w:tab w:leader="none" w:pos="12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and execute for and on behalf of each Carlyle Company, in the undersigned's capacity as a Chairman, authorized person, officer and/or director of each Carlyle Company, federal and state securities laws filings including without limitation Forms D pursuant to Rule 503 and Schedules 13D and 13G and Forms 3, 4, and 5 in accordance with Sections 13(d) and 16(a) of the 1934 Act and the rules thereunder;</w:t>
      </w:r>
    </w:p>
    <w:p>
      <w:pPr>
        <w:spacing w:after="0" w:line="234" w:lineRule="exact"/>
        <w:rPr>
          <w:rFonts w:ascii="Courier New" w:cs="Courier New" w:eastAsia="Courier New" w:hAnsi="Courier New"/>
          <w:sz w:val="20"/>
          <w:szCs w:val="20"/>
          <w:color w:val="auto"/>
        </w:rPr>
      </w:pPr>
    </w:p>
    <w:p>
      <w:pPr>
        <w:ind w:left="1280" w:right="739" w:hanging="695"/>
        <w:spacing w:after="0" w:line="267"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each Carlyle Company which may be necessary or desirable to complete and execute any such federal and state securities laws filings including without limitation Forms D, Schedules 13D and 13G and Forms 3, 4, and 5, complete and execute any amendment or amendments thereto, and timely file such form with the SEC and the securities administrators of any state, the District of Columbia, the Commonwealth of Puerto Rico, Guam and the United States Virgin Islands or their designees and any stock exchange or similar authority; and</w:t>
      </w:r>
    </w:p>
    <w:p>
      <w:pPr>
        <w:spacing w:after="0" w:line="209" w:lineRule="exact"/>
        <w:rPr>
          <w:rFonts w:ascii="Courier New" w:cs="Courier New" w:eastAsia="Courier New" w:hAnsi="Courier New"/>
          <w:sz w:val="18"/>
          <w:szCs w:val="18"/>
          <w:color w:val="auto"/>
        </w:rPr>
      </w:pPr>
    </w:p>
    <w:p>
      <w:pPr>
        <w:ind w:left="1280" w:right="739" w:hanging="695"/>
        <w:spacing w:after="0" w:line="237" w:lineRule="auto"/>
        <w:tabs>
          <w:tab w:leader="none" w:pos="128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 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619" w:firstLine="585"/>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whether the same needs to be executed, taken or done by him in his capacity as a current or former member, partner, shareholder, director or officer of any company, partnership, corporation, organization, firm, branch or other entity connected with, related to or affiliated with any of the entities constituting the Carlyle Companies or entities that directly or indirectly hold interests in the Carlyle Companies.</w:t>
      </w:r>
    </w:p>
    <w:p>
      <w:pPr>
        <w:spacing w:after="0" w:line="231" w:lineRule="exact"/>
        <w:rPr>
          <w:sz w:val="20"/>
          <w:szCs w:val="20"/>
          <w:color w:val="auto"/>
        </w:rPr>
      </w:pPr>
    </w:p>
    <w:p>
      <w:pPr>
        <w:ind w:right="619" w:firstLine="585"/>
        <w:spacing w:after="0" w:line="237" w:lineRule="auto"/>
        <w:rPr>
          <w:sz w:val="20"/>
          <w:szCs w:val="20"/>
          <w:color w:val="auto"/>
        </w:rPr>
      </w:pPr>
      <w:r>
        <w:rPr>
          <w:rFonts w:ascii="Courier New" w:cs="Courier New" w:eastAsia="Courier New" w:hAnsi="Courier New"/>
          <w:sz w:val="20"/>
          <w:szCs w:val="20"/>
          <w:color w:val="auto"/>
        </w:rPr>
        <w:t>The undersigned acknowledges that the foregoing attorneys-in-fact, in serving in such capacity at the request of the undersigned, are not assuming any of the undersigned's responsibilities to comply with federal and state securities laws, including without limitation Rule 503 of the 1933 Act or Section 13 and Section 16 of the 1934 Act.</w:t>
      </w:r>
    </w:p>
    <w:p>
      <w:pPr>
        <w:sectPr>
          <w:pgSz w:w="11900" w:h="16838" w:orient="portrait"/>
          <w:cols w:equalWidth="0" w:num="1">
            <w:col w:w="9979"/>
          </w:cols>
          <w:pgMar w:left="480" w:top="136" w:right="1440" w:bottom="0" w:gutter="0" w:footer="0" w:header="0"/>
        </w:sectPr>
      </w:pPr>
    </w:p>
    <w:bookmarkStart w:id="5" w:name="page6"/>
    <w:bookmarkEnd w:id="5"/>
    <w:p>
      <w:pPr>
        <w:ind w:right="619" w:firstLine="585"/>
        <w:spacing w:after="0" w:line="238" w:lineRule="auto"/>
        <w:rPr>
          <w:sz w:val="20"/>
          <w:szCs w:val="20"/>
          <w:color w:val="auto"/>
        </w:rPr>
      </w:pPr>
      <w:r>
        <w:rPr>
          <w:rFonts w:ascii="Courier New" w:cs="Courier New" w:eastAsia="Courier New" w:hAnsi="Courier New"/>
          <w:sz w:val="20"/>
          <w:szCs w:val="20"/>
          <w:color w:val="auto"/>
        </w:rPr>
        <w:t>This Power of Attorney and all authority conferred hereby shall not be terminated by operation of law, whether by the death or incapacity of the undersigned or by occurrence of any other event. Actions taken by an attorney-in-fact pursuant to this Power of Attorney shall be as valid as if any event described in the preceding sentence had not occurred, whether or not the attorney-in-fact shall have received notice of such event. Notwithstanding the foregoing, (i) in the event that an attorney-in- fact is no longer employed by The Carlyle Group Employee Co., L.L.C. or its affiliates, this Power of Attorney and all authority conferred hereby shall be immediately terminated with respect to such Attorney, and (ii) the undersigned may terminate or revoke this Power of Attorney at any time.</w:t>
      </w:r>
    </w:p>
    <w:p>
      <w:pPr>
        <w:spacing w:after="0" w:line="230" w:lineRule="exact"/>
        <w:rPr>
          <w:sz w:val="20"/>
          <w:szCs w:val="20"/>
          <w:color w:val="auto"/>
        </w:rPr>
      </w:pPr>
    </w:p>
    <w:p>
      <w:pPr>
        <w:ind w:right="739" w:firstLine="585"/>
        <w:spacing w:after="0" w:line="238" w:lineRule="auto"/>
        <w:rPr>
          <w:sz w:val="20"/>
          <w:szCs w:val="20"/>
          <w:color w:val="auto"/>
        </w:rPr>
      </w:pPr>
      <w:r>
        <w:rPr>
          <w:rFonts w:ascii="Courier New" w:cs="Courier New" w:eastAsia="Courier New" w:hAnsi="Courier New"/>
          <w:sz w:val="20"/>
          <w:szCs w:val="20"/>
          <w:color w:val="auto"/>
        </w:rPr>
        <w:t>For purposes hereof, the "Carlyle Companies" shall consist of: (i) Carlyle Group Management L.L.C., The Carlyle Group Inc., Carlyle Holdings I GP Inc., Carlyle Holdings I GP Sub L.L.C., Carlyle Holdings I L.P., TC Group, L.L.C., Carlyle Holdings II GP L.L.C., Carlyle Holdings II L.L.C., CG Subsidiary Holdings L.L.C., TC Group Investment Holdings, L.P., Carlyle Holdings III GP Management L.L.C., Carlyle Holdings III GP L.P., Carlyle Holdings III GP Sub L.L.C., Carlyle Holdings III L.P., TC Group Cayman L.P., TC Group Sub L.P., TC Group Investment Holdings Sub L.P., TC Group Cayman Investment Holdings Sub L.P., TC Group Cayman Sub L.P., Five Overseas CG Investment L.L.C. and (ii) the subsidiaries and affiliates of the foregoing in clause (i), including without limitation investment funds sponsored directly or indirectly by one or more of the Carlyle Companies.</w:t>
      </w:r>
    </w:p>
    <w:p>
      <w:pPr>
        <w:spacing w:after="0" w:line="230" w:lineRule="exact"/>
        <w:rPr>
          <w:sz w:val="20"/>
          <w:szCs w:val="20"/>
          <w:color w:val="auto"/>
        </w:rPr>
      </w:pPr>
    </w:p>
    <w:p>
      <w:pPr>
        <w:ind w:right="61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1st day of January, 2020.</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20"/>
        <w:spacing w:after="0"/>
        <w:tabs>
          <w:tab w:leader="none" w:pos="4320" w:val="left"/>
        </w:tabs>
        <w:rPr>
          <w:sz w:val="20"/>
          <w:szCs w:val="20"/>
          <w:color w:val="auto"/>
        </w:rPr>
      </w:pPr>
      <w:r>
        <w:rPr>
          <w:rFonts w:ascii="Courier New" w:cs="Courier New" w:eastAsia="Courier New" w:hAnsi="Courier New"/>
          <w:sz w:val="20"/>
          <w:szCs w:val="20"/>
          <w:color w:val="auto"/>
        </w:rPr>
        <w:t>By:</w:t>
      </w:r>
      <w:r>
        <w:rPr>
          <w:sz w:val="20"/>
          <w:szCs w:val="20"/>
          <w:color w:val="auto"/>
        </w:rPr>
        <w:tab/>
      </w:r>
      <w:r>
        <w:rPr>
          <w:rFonts w:ascii="Courier New" w:cs="Courier New" w:eastAsia="Courier New" w:hAnsi="Courier New"/>
          <w:sz w:val="20"/>
          <w:szCs w:val="20"/>
          <w:color w:val="auto"/>
        </w:rPr>
        <w:t>/s/ Curtis L. Buser</w:t>
      </w:r>
    </w:p>
    <w:p>
      <w:pPr>
        <w:ind w:left="4340"/>
        <w:spacing w:after="0" w:line="238" w:lineRule="auto"/>
        <w:rPr>
          <w:sz w:val="20"/>
          <w:szCs w:val="20"/>
          <w:color w:val="auto"/>
        </w:rPr>
      </w:pPr>
      <w:r>
        <w:rPr>
          <w:rFonts w:ascii="Courier New" w:cs="Courier New" w:eastAsia="Courier New" w:hAnsi="Courier New"/>
          <w:sz w:val="20"/>
          <w:szCs w:val="20"/>
          <w:color w:val="auto"/>
        </w:rPr>
        <w:t>---------------------------</w:t>
      </w:r>
    </w:p>
    <w:p>
      <w:pPr>
        <w:ind w:left="3520"/>
        <w:spacing w:after="0" w:line="238" w:lineRule="auto"/>
        <w:tabs>
          <w:tab w:leader="none" w:pos="4320" w:val="left"/>
        </w:tabs>
        <w:rPr>
          <w:sz w:val="20"/>
          <w:szCs w:val="20"/>
          <w:color w:val="auto"/>
        </w:rPr>
      </w:pPr>
      <w:r>
        <w:rPr>
          <w:rFonts w:ascii="Courier New" w:cs="Courier New" w:eastAsia="Courier New" w:hAnsi="Courier New"/>
          <w:sz w:val="20"/>
          <w:szCs w:val="20"/>
          <w:color w:val="auto"/>
        </w:rPr>
        <w:t>Name:</w:t>
        <w:tab/>
        <w:t>Curtis L. Buser</w:t>
      </w:r>
    </w:p>
    <w:p>
      <w:pPr>
        <w:ind w:left="3520"/>
        <w:spacing w:after="0"/>
        <w:rPr>
          <w:sz w:val="20"/>
          <w:szCs w:val="20"/>
          <w:color w:val="auto"/>
        </w:rPr>
      </w:pPr>
      <w:r>
        <w:rPr>
          <w:rFonts w:ascii="Courier New" w:cs="Courier New" w:eastAsia="Courier New" w:hAnsi="Courier New"/>
          <w:sz w:val="20"/>
          <w:szCs w:val="20"/>
          <w:color w:val="auto"/>
        </w:rPr>
        <w:t>Title: Chief Financial Officer</w:t>
      </w:r>
    </w:p>
    <w:sectPr>
      <w:pgSz w:w="11900" w:h="16838" w:orient="portrait"/>
      <w:cols w:equalWidth="0" w:num="1">
        <w:col w:w="9979"/>
      </w:cols>
      <w:pgMar w:left="480" w:top="3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8"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3" Type="http://schemas.openxmlformats.org/officeDocument/2006/relationships/image" Target="media/image76.png"/><Relationship Id="rId94" Type="http://schemas.openxmlformats.org/officeDocument/2006/relationships/image" Target="media/image77.png"/><Relationship Id="rId95" Type="http://schemas.openxmlformats.org/officeDocument/2006/relationships/image" Target="media/image78.png"/><Relationship Id="rId96" Type="http://schemas.openxmlformats.org/officeDocument/2006/relationships/image" Target="media/image79.png"/><Relationship Id="rId97" Type="http://schemas.openxmlformats.org/officeDocument/2006/relationships/image" Target="media/image80.png"/><Relationship Id="rId98" Type="http://schemas.openxmlformats.org/officeDocument/2006/relationships/image" Target="media/image81.png"/><Relationship Id="rId99" Type="http://schemas.openxmlformats.org/officeDocument/2006/relationships/image" Target="media/image82.png"/><Relationship Id="rId100" Type="http://schemas.openxmlformats.org/officeDocument/2006/relationships/image" Target="media/image83.png"/><Relationship Id="rId101" Type="http://schemas.openxmlformats.org/officeDocument/2006/relationships/image" Target="media/image84.png"/><Relationship Id="rId10" Type="http://schemas.openxmlformats.org/officeDocument/2006/relationships/hyperlink" Target="http://www.sec.gov/cgi-bin/browse-edgar?action=getcompany&amp;CIK=0001475444" TargetMode="External"/><Relationship Id="rId11" Type="http://schemas.openxmlformats.org/officeDocument/2006/relationships/hyperlink" Target="http://www.sec.gov/cgi-bin/browse-edgar?action=getcompany&amp;CIK=0001794515" TargetMode="External"/><Relationship Id="rId15" Type="http://schemas.openxmlformats.org/officeDocument/2006/relationships/hyperlink" Target="http://www.sec.gov/cgi-bin/browse-edgar?action=getcompany&amp;CIK=0001548636" TargetMode="External"/><Relationship Id="rId18" Type="http://schemas.openxmlformats.org/officeDocument/2006/relationships/hyperlink" Target="http://www.sec.gov/cgi-bin/browse-edgar?action=getcompany&amp;CIK=0001766541" TargetMode="External"/><Relationship Id="rId26" Type="http://schemas.openxmlformats.org/officeDocument/2006/relationships/hyperlink" Target="http://www.sec.gov/cgi-bin/browse-edgar?action=getcompany&amp;CIK=0001766496" TargetMode="External"/><Relationship Id="rId34" Type="http://schemas.openxmlformats.org/officeDocument/2006/relationships/hyperlink" Target="http://www.sec.gov/cgi-bin/browse-edgar?action=getcompany&amp;CIK=0001791638" TargetMode="External"/><Relationship Id="rId42" Type="http://schemas.openxmlformats.org/officeDocument/2006/relationships/hyperlink" Target="http://www.sec.gov/cgi-bin/browse-edgar?action=getcompany&amp;CIK=0001791637" TargetMode="External"/><Relationship Id="rId47" Type="http://schemas.openxmlformats.org/officeDocument/2006/relationships/hyperlink" Target="http://www.sec.gov/cgi-bin/browse-edgar?action=getcompany&amp;CIK=0001802267" TargetMode="External"/><Relationship Id="rId49" Type="http://schemas.openxmlformats.org/officeDocument/2006/relationships/hyperlink" Target="http://www.sec.gov/cgi-bin/browse-edgar?action=getcompany&amp;CIK=0001813962" TargetMode="External"/><Relationship Id="rId50" Type="http://schemas.openxmlformats.org/officeDocument/2006/relationships/hyperlink" Target="http://www.sec.gov/cgi-bin/browse-edgar?action=getcompany&amp;CIK=00018022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2020-06-04T15:17:20Z</dcterms:created>
  <dcterms:modified xsi:type="dcterms:W3CDTF">2020-06-04T15:17:20Z</dcterms:modified>
</cp:coreProperties>
</file>