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060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ind w:left="4580"/>
        <w:spacing w:after="0"/>
        <w:tabs>
          <w:tab w:leader="none" w:pos="65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060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8"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ZOOMINFO TECHNOLOGIES INC.</w:t>
      </w:r>
    </w:p>
    <w:p>
      <w:pPr>
        <w:spacing w:after="0" w:line="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10139"/>
          </w:cols>
          <w:pgMar w:left="320" w:top="922" w:right="1440" w:bottom="1440" w:gutter="0" w:footer="0" w:header="0"/>
        </w:sectPr>
      </w:pPr>
    </w:p>
    <w:bookmarkStart w:id="1" w:name="page2"/>
    <w:bookmarkEnd w:id="1"/>
    <w:p>
      <w:pPr>
        <w:ind w:left="494" w:hanging="494"/>
        <w:spacing w:after="0"/>
        <w:tabs>
          <w:tab w:leader="none" w:pos="49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0"/>
          <w:szCs w:val="20"/>
          <w:color w:val="auto"/>
        </w:rPr>
      </w:pPr>
    </w:p>
    <w:p>
      <w:pPr>
        <w:ind w:left="494" w:hanging="494"/>
        <w:spacing w:after="0"/>
        <w:tabs>
          <w:tab w:leader="none" w:pos="49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right="879" w:hanging="508"/>
        <w:spacing w:after="0" w:line="277" w:lineRule="auto"/>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94" w:hanging="494"/>
        <w:spacing w:after="0"/>
        <w:tabs>
          <w:tab w:leader="none" w:pos="49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94" w:right="619" w:hanging="494"/>
        <w:spacing w:after="0" w:line="224" w:lineRule="auto"/>
        <w:tabs>
          <w:tab w:leader="none" w:pos="49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rFonts w:ascii="MS PGothic" w:cs="MS PGothic" w:eastAsia="MS PGothic" w:hAnsi="MS PGothic"/>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113"/>
          </w:cols>
          <w:pgMar w:left="346" w:top="166"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1186180</wp:posOffset>
            </wp:positionV>
            <wp:extent cx="2143125" cy="779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Please join us for ZoomInfo Technologies Inc.’s Annual Meeting of Stockholders on Tuesday, April 27, 2021, at 10:00 a.m., Pacific Time. Due to the public health impact of the coronavirus outbreak (COVID-19) and to support the health and well-being of our stockholders and employees, the Annual Meeting will be held in a virtual meeting format only and will be conducted via live audio webcast. You will be able to attend the Annual Meeting online, vote your shares electronically and submit your questions during the Annual Meeting via a live audio webcast by visiting www.virtualshareholdermeeting.com/ZI2021.</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Attached to this letter are a Notice of Annual Meeting of Stockholders and Proxy Statement, which describe the business to be conducted at the meeting. This Proxy Statement and the enclosed proxy card and annual report are first being sent to stockholders on or about March 16, 2021. We urge you to read the accompanying materials regarding the matters to be voted on at the meeting and to submit your voting instructions by proxy.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or not you plan to attend the meeting, your vote is important to us. You may vote your shares by proxy on the Internet, by telephone or by completing, signing and promptly returning a proxy card, or you may vote via the Internet at the Annual Meeting. We encourage you to vote by Internet, by telephone or by proxy card in advance even if you plan to attend the Annual Meeting. By doing so, you will ensure that your shares are represented and voted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ZoomInfo Technologies Inc.</w:t>
      </w: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23495</wp:posOffset>
            </wp:positionV>
            <wp:extent cx="1174115"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1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Henry Schuck</w:t>
      </w:r>
    </w:p>
    <w:p>
      <w:pPr>
        <w:spacing w:after="0" w:line="48"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Executive Officer and</w:t>
      </w:r>
    </w:p>
    <w:p>
      <w:pPr>
        <w:ind w:left="5640"/>
        <w:spacing w:after="0"/>
        <w:rPr>
          <w:sz w:val="20"/>
          <w:szCs w:val="20"/>
          <w:color w:val="auto"/>
        </w:rPr>
      </w:pPr>
      <w:r>
        <w:rPr>
          <w:rFonts w:ascii="Arial" w:cs="Arial" w:eastAsia="Arial" w:hAnsi="Arial"/>
          <w:sz w:val="18"/>
          <w:szCs w:val="18"/>
          <w:i w:val="1"/>
          <w:iCs w:val="1"/>
          <w:color w:val="auto"/>
        </w:rPr>
        <w:t>Chairman of the Board of Directors</w:t>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 Pacific Time, on Tuesday, April 27, 2021</w:t>
      </w:r>
    </w:p>
    <w:p>
      <w:pPr>
        <w:spacing w:after="0" w:line="293" w:lineRule="exact"/>
        <w:rPr>
          <w:sz w:val="20"/>
          <w:szCs w:val="20"/>
          <w:color w:val="auto"/>
        </w:rPr>
      </w:pPr>
    </w:p>
    <w:p>
      <w:pPr>
        <w:jc w:val="both"/>
        <w:ind w:left="2480" w:right="60" w:hanging="1870"/>
        <w:spacing w:after="0" w:line="220" w:lineRule="auto"/>
        <w:rPr>
          <w:sz w:val="20"/>
          <w:szCs w:val="20"/>
          <w:color w:val="auto"/>
        </w:rPr>
      </w:pPr>
      <w:r>
        <w:rPr>
          <w:rFonts w:ascii="Arial" w:cs="Arial" w:eastAsia="Arial" w:hAnsi="Arial"/>
          <w:sz w:val="18"/>
          <w:szCs w:val="18"/>
          <w:b w:val="1"/>
          <w:bCs w:val="1"/>
          <w:color w:val="auto"/>
        </w:rPr>
        <w:t xml:space="preserve">VIRTUAL LOCATION </w:t>
      </w:r>
      <w:r>
        <w:rPr>
          <w:rFonts w:ascii="Arial" w:cs="Arial" w:eastAsia="Arial" w:hAnsi="Arial"/>
          <w:sz w:val="18"/>
          <w:szCs w:val="18"/>
          <w:color w:val="auto"/>
        </w:rPr>
        <w:t>You can attend the Annual Meeting online, vote your shares electronically and submit your questions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by visiting www.virtualshareholdermeeting.com/ZI2021. You will need to have your 16-Digit Control Number included on your proxy card or the instructions that accompanied your proxy materials in order to join the Annual Meeting.</w:t>
      </w:r>
    </w:p>
    <w:p>
      <w:pPr>
        <w:spacing w:after="0" w:line="267"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18"/>
          <w:szCs w:val="18"/>
          <w:b w:val="1"/>
          <w:bCs w:val="1"/>
          <w:color w:val="auto"/>
        </w:rPr>
        <w:t xml:space="preserve">ITEMS OF BUSINESS </w:t>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To elect the director nominees listed in the Proxy Statement.</w:t>
      </w:r>
    </w:p>
    <w:p>
      <w:pPr>
        <w:spacing w:after="0" w:line="297" w:lineRule="exact"/>
        <w:rPr>
          <w:sz w:val="20"/>
          <w:szCs w:val="20"/>
          <w:color w:val="auto"/>
        </w:rPr>
      </w:pPr>
    </w:p>
    <w:p>
      <w:pPr>
        <w:ind w:left="2840" w:hanging="355"/>
        <w:spacing w:after="0"/>
        <w:tabs>
          <w:tab w:leader="none" w:pos="2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2021.</w:t>
      </w:r>
    </w:p>
    <w:p>
      <w:pPr>
        <w:spacing w:after="0" w:line="304" w:lineRule="exact"/>
        <w:rPr>
          <w:rFonts w:ascii="Arial" w:cs="Arial" w:eastAsia="Arial" w:hAnsi="Arial"/>
          <w:sz w:val="17"/>
          <w:szCs w:val="17"/>
          <w:color w:val="auto"/>
        </w:rPr>
      </w:pPr>
    </w:p>
    <w:p>
      <w:pPr>
        <w:ind w:left="2480" w:right="340" w:firstLine="5"/>
        <w:spacing w:after="0" w:line="235" w:lineRule="auto"/>
        <w:tabs>
          <w:tab w:leader="none" w:pos="28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and any adjournments or postponements thereof.</w:t>
      </w:r>
    </w:p>
    <w:p>
      <w:pPr>
        <w:spacing w:after="0" w:line="26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You may vote at the Annual Meeting if you were a stockholder of record at the close of business on March 5, 2021.</w:t>
      </w:r>
    </w:p>
    <w:p>
      <w:pPr>
        <w:spacing w:after="0" w:line="316" w:lineRule="exact"/>
        <w:rPr>
          <w:sz w:val="20"/>
          <w:szCs w:val="20"/>
          <w:color w:val="auto"/>
        </w:rPr>
      </w:pPr>
    </w:p>
    <w:p>
      <w:pPr>
        <w:ind w:left="2480" w:right="80" w:hanging="1741"/>
        <w:spacing w:after="0" w:line="294" w:lineRule="auto"/>
        <w:rPr>
          <w:sz w:val="20"/>
          <w:szCs w:val="20"/>
          <w:color w:val="auto"/>
        </w:rPr>
      </w:pPr>
      <w:r>
        <w:rPr>
          <w:rFonts w:ascii="Arial" w:cs="Arial" w:eastAsia="Arial" w:hAnsi="Arial"/>
          <w:sz w:val="16"/>
          <w:szCs w:val="16"/>
          <w:b w:val="1"/>
          <w:bCs w:val="1"/>
          <w:color w:val="auto"/>
        </w:rPr>
        <w:t xml:space="preserve">VOTING BY PROXY </w:t>
      </w:r>
      <w:r>
        <w:rPr>
          <w:rFonts w:ascii="Arial" w:cs="Arial" w:eastAsia="Arial" w:hAnsi="Arial"/>
          <w:sz w:val="16"/>
          <w:szCs w:val="16"/>
          <w:color w:val="auto"/>
        </w:rPr>
        <w:t>To ensure your shares are voted, you may vote your shares over the Internet, by telephone or by completing, signing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mailing the enclosed proxy card. Voting procedures are described on the following page and on the proxy card.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1594485"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Stark</w:t>
      </w:r>
    </w:p>
    <w:p>
      <w:pPr>
        <w:spacing w:after="0" w:line="7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Secretary and General Counsel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March 16, 2021</w:t>
      </w:r>
    </w:p>
    <w:p>
      <w:pPr>
        <w:spacing w:after="0" w:line="332"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b w:val="1"/>
          <w:bCs w:val="1"/>
          <w:i w:val="1"/>
          <w:iCs w:val="1"/>
          <w:color w:val="auto"/>
        </w:rPr>
        <w:t>Important Notice Regarding the Availability of Proxy Materials for the Stockholder Meeting to Be Held on Tuesday, April 27, 2021: This Proxy Statement and our Annual Report are available free of charge at www.proxyvote.com. A list of the stockholders of record at the close of business on March 5, 2021 will also be available electronically during the Annual Meeting at www.virtualshareholdermeeting.com/ZI2021.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154940</wp:posOffset>
            </wp:positionV>
            <wp:extent cx="698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0920"/>
          </w:cols>
          <w:pgMar w:left="480" w:top="1417"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PROXY VOTING METHODS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at the close of business on March 5, 2021, you were a stockholder of record you may vote your shares over the Internet at the Annual Meeting. If you were a stockholder of record, you may vote your shares in advance over the Internet, by telephone or by mail. You may also revoke your proxies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you are a stockholder of record, your Internet, telephone or mail vote must be received by 8:59 p.m., Pacific Time, on April 26, 2021 to be counted. If you hold shares through a broker, bank or other nominee, please refer to information from your broker, bank or nominee for voting instructions.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vote by proxy if you are a stockholder of record: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INTERNET</w:t>
      </w:r>
    </w:p>
    <w:p>
      <w:pPr>
        <w:spacing w:after="0" w:line="189" w:lineRule="exact"/>
        <w:rPr>
          <w:sz w:val="20"/>
          <w:szCs w:val="20"/>
          <w:color w:val="auto"/>
        </w:rPr>
      </w:pPr>
    </w:p>
    <w:p>
      <w:pPr>
        <w:ind w:left="1060" w:hanging="48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Go to the website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 the instructions, 24 hours a day, seven days a week.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60" w:hanging="481"/>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You will need the 16-digit number included on your proxy card to obtain your records and to create an electronic voting instruction form.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w:t>
      </w:r>
    </w:p>
    <w:p>
      <w:pPr>
        <w:spacing w:after="0" w:line="175" w:lineRule="exact"/>
        <w:rPr>
          <w:sz w:val="20"/>
          <w:szCs w:val="20"/>
          <w:color w:val="auto"/>
        </w:rPr>
      </w:pPr>
    </w:p>
    <w:p>
      <w:pPr>
        <w:ind w:left="1060" w:hanging="48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a touch-tone telephone, dial 1-800-690-6903 and follow the recorded instructions, 24 hours a day, seven days a week.</w:t>
      </w:r>
    </w:p>
    <w:p>
      <w:pPr>
        <w:spacing w:after="0" w:line="373" w:lineRule="exact"/>
        <w:rPr>
          <w:rFonts w:ascii="Arial" w:cs="Arial" w:eastAsia="Arial" w:hAnsi="Arial"/>
          <w:sz w:val="18"/>
          <w:szCs w:val="18"/>
          <w:color w:val="auto"/>
        </w:rPr>
      </w:pPr>
    </w:p>
    <w:p>
      <w:pPr>
        <w:ind w:left="1060" w:hanging="48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need the 16-digit number included on your proxy card in order to vote by telephone.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MAIL</w:t>
      </w:r>
    </w:p>
    <w:p>
      <w:pPr>
        <w:spacing w:after="0" w:line="175" w:lineRule="exact"/>
        <w:rPr>
          <w:sz w:val="20"/>
          <w:szCs w:val="20"/>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 your selections on the proxy card.</w:t>
      </w:r>
    </w:p>
    <w:p>
      <w:pPr>
        <w:spacing w:after="0" w:line="360" w:lineRule="exact"/>
        <w:rPr>
          <w:rFonts w:ascii="Arial" w:cs="Arial" w:eastAsia="Arial" w:hAnsi="Arial"/>
          <w:sz w:val="18"/>
          <w:szCs w:val="18"/>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and sign your name exactly as it appears on your proxy card.</w:t>
      </w:r>
    </w:p>
    <w:p>
      <w:pPr>
        <w:spacing w:after="0" w:line="373" w:lineRule="exact"/>
        <w:rPr>
          <w:rFonts w:ascii="Arial" w:cs="Arial" w:eastAsia="Arial" w:hAnsi="Arial"/>
          <w:sz w:val="18"/>
          <w:szCs w:val="18"/>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Mail the proxy card in the enclosed postage-paid envelope provided to you.</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TO US. THANK YOU FOR VOTING.</w:t>
      </w:r>
    </w:p>
    <w:p>
      <w:pPr>
        <w:sectPr>
          <w:pgSz w:w="11900" w:h="16838" w:orient="portrait"/>
          <w:cols w:equalWidth="0" w:num="1">
            <w:col w:w="11240"/>
          </w:cols>
          <w:pgMar w:left="320" w:top="14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720" w:type="dxa"/>
            <w:vAlign w:val="bottom"/>
          </w:tcPr>
          <w:p>
            <w:pPr>
              <w:ind w:left="300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GENERAL INFORMATION</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1</w:t>
              </w:r>
            </w:hyperlink>
          </w:p>
        </w:tc>
        <w:tc>
          <w:tcPr>
            <w:tcW w:w="0" w:type="dxa"/>
            <w:vAlign w:val="bottom"/>
          </w:tcPr>
          <w:p>
            <w:pPr>
              <w:spacing w:after="0"/>
              <w:rPr>
                <w:sz w:val="1"/>
                <w:szCs w:val="1"/>
                <w:color w:val="auto"/>
              </w:rPr>
            </w:pPr>
          </w:p>
        </w:tc>
      </w:tr>
      <w:tr>
        <w:trPr>
          <w:trHeight w:val="283"/>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10">
              <w:r>
                <w:rPr>
                  <w:rFonts w:ascii="Arial" w:cs="Arial" w:eastAsia="Arial" w:hAnsi="Arial"/>
                  <w:sz w:val="18"/>
                  <w:szCs w:val="18"/>
                  <w:b w:val="1"/>
                  <w:bCs w:val="1"/>
                  <w:u w:val="single" w:color="auto"/>
                  <w:color w:val="0000FF"/>
                </w:rPr>
                <w:t>PROPOSAL NO. 1—ELECTION OF DIRECTORS</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11">
              <w:r>
                <w:rPr>
                  <w:rFonts w:ascii="Arial" w:cs="Arial" w:eastAsia="Arial" w:hAnsi="Arial"/>
                  <w:sz w:val="18"/>
                  <w:szCs w:val="18"/>
                  <w:i w:val="1"/>
                  <w:iCs w:val="1"/>
                  <w:u w:val="single" w:color="auto"/>
                  <w:color w:val="0000FF"/>
                </w:rPr>
                <w:t>Nominees for Election to the Board of Directors in 2021</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1">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12">
              <w:r>
                <w:rPr>
                  <w:rFonts w:ascii="Arial" w:cs="Arial" w:eastAsia="Arial" w:hAnsi="Arial"/>
                  <w:sz w:val="18"/>
                  <w:szCs w:val="18"/>
                  <w:i w:val="1"/>
                  <w:iCs w:val="1"/>
                  <w:u w:val="single" w:color="auto"/>
                  <w:color w:val="0000FF"/>
                </w:rPr>
                <w:t>Continuing Members of the Board of Directors</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311"/>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14">
              <w:r>
                <w:rPr>
                  <w:rFonts w:ascii="Arial" w:cs="Arial" w:eastAsia="Arial" w:hAnsi="Arial"/>
                  <w:sz w:val="18"/>
                  <w:szCs w:val="18"/>
                  <w:b w:val="1"/>
                  <w:bCs w:val="1"/>
                  <w:u w:val="single" w:color="auto"/>
                  <w:color w:val="0000FF"/>
                </w:rPr>
                <w:t>THE BOARD OF DIRECTORS AND CERTAIN GOVERNANCE MATTERS</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4">
              <w:r>
                <w:rPr>
                  <w:rFonts w:ascii="Arial" w:cs="Arial" w:eastAsia="Arial" w:hAnsi="Arial"/>
                  <w:sz w:val="18"/>
                  <w:szCs w:val="18"/>
                  <w:u w:val="single" w:color="auto"/>
                  <w:color w:val="0000FF"/>
                  <w:w w:val="99"/>
                </w:rPr>
                <w:t>9</w:t>
              </w:r>
            </w:hyperlink>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15">
              <w:r>
                <w:rPr>
                  <w:rFonts w:ascii="Arial" w:cs="Arial" w:eastAsia="Arial" w:hAnsi="Arial"/>
                  <w:sz w:val="18"/>
                  <w:szCs w:val="18"/>
                  <w:i w:val="1"/>
                  <w:iCs w:val="1"/>
                  <w:u w:val="single" w:color="auto"/>
                  <w:color w:val="0000FF"/>
                </w:rPr>
                <w:t>Director Independence and Independence Determinations</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5">
              <w:r>
                <w:rPr>
                  <w:rFonts w:ascii="Arial" w:cs="Arial" w:eastAsia="Arial" w:hAnsi="Arial"/>
                  <w:sz w:val="18"/>
                  <w:szCs w:val="18"/>
                  <w:u w:val="single" w:color="auto"/>
                  <w:color w:val="0000FF"/>
                  <w:w w:val="99"/>
                </w:rPr>
                <w:t>9</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15">
              <w:r>
                <w:rPr>
                  <w:rFonts w:ascii="Arial" w:cs="Arial" w:eastAsia="Arial" w:hAnsi="Arial"/>
                  <w:sz w:val="18"/>
                  <w:szCs w:val="18"/>
                  <w:i w:val="1"/>
                  <w:iCs w:val="1"/>
                  <w:u w:val="single" w:color="auto"/>
                  <w:color w:val="0000FF"/>
                </w:rPr>
                <w:t>Director Nomination Process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5">
              <w:r>
                <w:rPr>
                  <w:rFonts w:ascii="Arial" w:cs="Arial" w:eastAsia="Arial" w:hAnsi="Arial"/>
                  <w:sz w:val="18"/>
                  <w:szCs w:val="18"/>
                  <w:u w:val="single" w:color="auto"/>
                  <w:color w:val="0000FF"/>
                  <w:w w:val="89"/>
                </w:rPr>
                <w:t>10</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17">
              <w:r>
                <w:rPr>
                  <w:rFonts w:ascii="Arial" w:cs="Arial" w:eastAsia="Arial" w:hAnsi="Arial"/>
                  <w:sz w:val="18"/>
                  <w:szCs w:val="18"/>
                  <w:i w:val="1"/>
                  <w:iCs w:val="1"/>
                  <w:u w:val="single" w:color="auto"/>
                  <w:color w:val="0000FF"/>
                </w:rPr>
                <w:t>Controlled Company Exception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11</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17">
              <w:r>
                <w:rPr>
                  <w:rFonts w:ascii="Arial" w:cs="Arial" w:eastAsia="Arial" w:hAnsi="Arial"/>
                  <w:sz w:val="18"/>
                  <w:szCs w:val="18"/>
                  <w:i w:val="1"/>
                  <w:iCs w:val="1"/>
                  <w:u w:val="single" w:color="auto"/>
                  <w:color w:val="0000FF"/>
                </w:rPr>
                <w:t>Board Structure</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11</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17">
              <w:r>
                <w:rPr>
                  <w:rFonts w:ascii="Arial" w:cs="Arial" w:eastAsia="Arial" w:hAnsi="Arial"/>
                  <w:sz w:val="18"/>
                  <w:szCs w:val="18"/>
                  <w:i w:val="1"/>
                  <w:iCs w:val="1"/>
                  <w:u w:val="single" w:color="auto"/>
                  <w:color w:val="0000FF"/>
                </w:rPr>
                <w:t>Executive Sessions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11</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17">
              <w:r>
                <w:rPr>
                  <w:rFonts w:ascii="Arial" w:cs="Arial" w:eastAsia="Arial" w:hAnsi="Arial"/>
                  <w:sz w:val="18"/>
                  <w:szCs w:val="18"/>
                  <w:i w:val="1"/>
                  <w:iCs w:val="1"/>
                  <w:u w:val="single" w:color="auto"/>
                  <w:color w:val="0000FF"/>
                </w:rPr>
                <w:t>Communications with the Board</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12</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18">
              <w:r>
                <w:rPr>
                  <w:rFonts w:ascii="Arial" w:cs="Arial" w:eastAsia="Arial" w:hAnsi="Arial"/>
                  <w:sz w:val="18"/>
                  <w:szCs w:val="18"/>
                  <w:i w:val="1"/>
                  <w:iCs w:val="1"/>
                  <w:u w:val="single" w:color="auto"/>
                  <w:color w:val="0000FF"/>
                </w:rPr>
                <w:t>Board Committees and Meetings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8">
              <w:r>
                <w:rPr>
                  <w:rFonts w:ascii="Arial" w:cs="Arial" w:eastAsia="Arial" w:hAnsi="Arial"/>
                  <w:sz w:val="18"/>
                  <w:szCs w:val="18"/>
                  <w:u w:val="single" w:color="auto"/>
                  <w:color w:val="0000FF"/>
                  <w:w w:val="89"/>
                </w:rPr>
                <w:t>12</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20">
              <w:r>
                <w:rPr>
                  <w:rFonts w:ascii="Arial" w:cs="Arial" w:eastAsia="Arial" w:hAnsi="Arial"/>
                  <w:sz w:val="18"/>
                  <w:szCs w:val="18"/>
                  <w:i w:val="1"/>
                  <w:iCs w:val="1"/>
                  <w:u w:val="single" w:color="auto"/>
                  <w:color w:val="0000FF"/>
                </w:rPr>
                <w:t>Committee Charters and Corporate Governance Guidelines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14</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21">
              <w:r>
                <w:rPr>
                  <w:rFonts w:ascii="Arial" w:cs="Arial" w:eastAsia="Arial" w:hAnsi="Arial"/>
                  <w:sz w:val="18"/>
                  <w:szCs w:val="18"/>
                  <w:i w:val="1"/>
                  <w:iCs w:val="1"/>
                  <w:u w:val="single" w:color="auto"/>
                  <w:color w:val="0000FF"/>
                </w:rPr>
                <w:t>Code of Business Conduct &amp; Ethics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15</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21">
              <w:r>
                <w:rPr>
                  <w:rFonts w:ascii="Arial" w:cs="Arial" w:eastAsia="Arial" w:hAnsi="Arial"/>
                  <w:sz w:val="18"/>
                  <w:szCs w:val="18"/>
                  <w:i w:val="1"/>
                  <w:iCs w:val="1"/>
                  <w:u w:val="single" w:color="auto"/>
                  <w:color w:val="0000FF"/>
                </w:rPr>
                <w:t>Oversight of Risk Management</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15</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21">
              <w:r>
                <w:rPr>
                  <w:rFonts w:ascii="Arial" w:cs="Arial" w:eastAsia="Arial" w:hAnsi="Arial"/>
                  <w:sz w:val="18"/>
                  <w:szCs w:val="18"/>
                  <w:i w:val="1"/>
                  <w:iCs w:val="1"/>
                  <w:u w:val="single" w:color="auto"/>
                  <w:color w:val="0000FF"/>
                </w:rPr>
                <w:t>Hedging Policy</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15</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22">
              <w:r>
                <w:rPr>
                  <w:rFonts w:ascii="Arial" w:cs="Arial" w:eastAsia="Arial" w:hAnsi="Arial"/>
                  <w:sz w:val="18"/>
                  <w:szCs w:val="18"/>
                  <w:i w:val="1"/>
                  <w:iCs w:val="1"/>
                  <w:u w:val="single" w:color="auto"/>
                  <w:color w:val="0000FF"/>
                </w:rPr>
                <w:t>Executive Officers of the Company</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16</w:t>
              </w:r>
            </w:hyperlink>
          </w:p>
        </w:tc>
        <w:tc>
          <w:tcPr>
            <w:tcW w:w="0" w:type="dxa"/>
            <w:vAlign w:val="bottom"/>
          </w:tcPr>
          <w:p>
            <w:pPr>
              <w:spacing w:after="0"/>
              <w:rPr>
                <w:sz w:val="1"/>
                <w:szCs w:val="1"/>
                <w:color w:val="auto"/>
              </w:rPr>
            </w:pPr>
          </w:p>
        </w:tc>
      </w:tr>
      <w:tr>
        <w:trPr>
          <w:trHeight w:val="311"/>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PROPOSAL NO. 2—RATIFICATION OF INDEPENDENT REGISTERED PUBLIC ACCOUNTING FIRM</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17</w:t>
              </w:r>
            </w:hyperlink>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23">
              <w:r>
                <w:rPr>
                  <w:rFonts w:ascii="Arial" w:cs="Arial" w:eastAsia="Arial" w:hAnsi="Arial"/>
                  <w:sz w:val="18"/>
                  <w:szCs w:val="18"/>
                  <w:i w:val="1"/>
                  <w:iCs w:val="1"/>
                  <w:u w:val="single" w:color="auto"/>
                  <w:color w:val="0000FF"/>
                </w:rPr>
                <w:t>Audit and Non-Audit Fees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17</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23">
              <w:r>
                <w:rPr>
                  <w:rFonts w:ascii="Arial" w:cs="Arial" w:eastAsia="Arial" w:hAnsi="Arial"/>
                  <w:sz w:val="18"/>
                  <w:szCs w:val="18"/>
                  <w:i w:val="1"/>
                  <w:iCs w:val="1"/>
                  <w:u w:val="single" w:color="auto"/>
                  <w:color w:val="0000FF"/>
                </w:rPr>
                <w:t>Pre-Approval Policy for Services of Independent Registered Public Accounting Firm</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18</w:t>
              </w:r>
            </w:hyperlink>
          </w:p>
        </w:tc>
        <w:tc>
          <w:tcPr>
            <w:tcW w:w="0" w:type="dxa"/>
            <w:vAlign w:val="bottom"/>
          </w:tcPr>
          <w:p>
            <w:pPr>
              <w:spacing w:after="0"/>
              <w:rPr>
                <w:sz w:val="1"/>
                <w:szCs w:val="1"/>
                <w:color w:val="auto"/>
              </w:rPr>
            </w:pPr>
          </w:p>
        </w:tc>
      </w:tr>
      <w:tr>
        <w:trPr>
          <w:trHeight w:val="310"/>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REPORT OF THE AUDIT COMMITTEE</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19</w:t>
              </w:r>
            </w:hyperlink>
          </w:p>
        </w:tc>
        <w:tc>
          <w:tcPr>
            <w:tcW w:w="0" w:type="dxa"/>
            <w:vAlign w:val="bottom"/>
          </w:tcPr>
          <w:p>
            <w:pPr>
              <w:spacing w:after="0"/>
              <w:rPr>
                <w:sz w:val="1"/>
                <w:szCs w:val="1"/>
                <w:color w:val="auto"/>
              </w:rPr>
            </w:pPr>
          </w:p>
        </w:tc>
      </w:tr>
      <w:tr>
        <w:trPr>
          <w:trHeight w:val="284"/>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25">
              <w:r>
                <w:rPr>
                  <w:rFonts w:ascii="Arial" w:cs="Arial" w:eastAsia="Arial" w:hAnsi="Arial"/>
                  <w:sz w:val="18"/>
                  <w:szCs w:val="18"/>
                  <w:b w:val="1"/>
                  <w:bCs w:val="1"/>
                  <w:u w:val="single" w:color="auto"/>
                  <w:color w:val="0000FF"/>
                </w:rPr>
                <w:t>EXECUTIVE AND DIRECTOR COMPENSATION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20</w:t>
              </w:r>
            </w:hyperlink>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26">
              <w:r>
                <w:rPr>
                  <w:rFonts w:ascii="Arial" w:cs="Arial" w:eastAsia="Arial" w:hAnsi="Arial"/>
                  <w:sz w:val="18"/>
                  <w:szCs w:val="18"/>
                  <w:i w:val="1"/>
                  <w:iCs w:val="1"/>
                  <w:u w:val="single" w:color="auto"/>
                  <w:color w:val="0000FF"/>
                </w:rPr>
                <w:t>Emerging Growth Company Status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20</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26">
              <w:r>
                <w:rPr>
                  <w:rFonts w:ascii="Arial" w:cs="Arial" w:eastAsia="Arial" w:hAnsi="Arial"/>
                  <w:sz w:val="18"/>
                  <w:szCs w:val="18"/>
                  <w:i w:val="1"/>
                  <w:iCs w:val="1"/>
                  <w:u w:val="single" w:color="auto"/>
                  <w:color w:val="0000FF"/>
                </w:rPr>
                <w:t>Summary Compensation Table</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20</w:t>
              </w:r>
            </w:hyperlink>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9280" w:type="dxa"/>
            <w:vAlign w:val="bottom"/>
            <w:gridSpan w:val="2"/>
          </w:tcPr>
          <w:p>
            <w:pPr>
              <w:spacing w:after="0"/>
              <w:rPr>
                <w:rFonts w:ascii="Arial" w:cs="Arial" w:eastAsia="Arial" w:hAnsi="Arial"/>
                <w:sz w:val="18"/>
                <w:szCs w:val="18"/>
                <w:i w:val="1"/>
                <w:iCs w:val="1"/>
                <w:color w:val="0000FF"/>
              </w:rPr>
            </w:pPr>
            <w:hyperlink w:anchor="page27">
              <w:r>
                <w:rPr>
                  <w:rFonts w:ascii="Arial" w:cs="Arial" w:eastAsia="Arial" w:hAnsi="Arial"/>
                  <w:sz w:val="18"/>
                  <w:szCs w:val="18"/>
                  <w:i w:val="1"/>
                  <w:iCs w:val="1"/>
                  <w:color w:val="0000FF"/>
                </w:rPr>
                <w:t xml:space="preserve">Narrative Disclosure </w:t>
              </w:r>
              <w:r>
                <w:rPr>
                  <w:rFonts w:ascii="Arial" w:cs="Arial" w:eastAsia="Arial" w:hAnsi="Arial"/>
                  <w:sz w:val="18"/>
                  <w:szCs w:val="18"/>
                  <w:i w:val="1"/>
                  <w:iCs w:val="1"/>
                  <w:u w:val="single" w:color="auto"/>
                  <w:color w:val="0000FF"/>
                </w:rPr>
                <w:t>to Summary Compensation Table</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40" w:type="dxa"/>
            <w:vAlign w:val="bottom"/>
            <w:vMerge w:val="restart"/>
          </w:tcPr>
          <w:p>
            <w:pPr>
              <w:jc w:val="center"/>
              <w:ind w:left="97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24</w:t>
              </w:r>
            </w:hyperlink>
          </w:p>
        </w:tc>
        <w:tc>
          <w:tcPr>
            <w:tcW w:w="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30">
              <w:r>
                <w:rPr>
                  <w:rFonts w:ascii="Arial" w:cs="Arial" w:eastAsia="Arial" w:hAnsi="Arial"/>
                  <w:sz w:val="18"/>
                  <w:szCs w:val="18"/>
                  <w:i w:val="1"/>
                  <w:iCs w:val="1"/>
                  <w:u w:val="single" w:color="auto"/>
                  <w:color w:val="0000FF"/>
                </w:rPr>
                <w:t>Outstanding Equity Awards at 2020 Fiscal Year-End</w:t>
              </w:r>
            </w:hyperlink>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31">
              <w:r>
                <w:rPr>
                  <w:rFonts w:ascii="Arial" w:cs="Arial" w:eastAsia="Arial" w:hAnsi="Arial"/>
                  <w:sz w:val="18"/>
                  <w:szCs w:val="18"/>
                  <w:i w:val="1"/>
                  <w:iCs w:val="1"/>
                  <w:u w:val="single" w:color="auto"/>
                  <w:color w:val="0000FF"/>
                </w:rPr>
                <w:t>Termination and Change in Control Provisions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25</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33">
              <w:r>
                <w:rPr>
                  <w:rFonts w:ascii="Arial" w:cs="Arial" w:eastAsia="Arial" w:hAnsi="Arial"/>
                  <w:sz w:val="18"/>
                  <w:szCs w:val="18"/>
                  <w:i w:val="1"/>
                  <w:iCs w:val="1"/>
                  <w:u w:val="single" w:color="auto"/>
                  <w:color w:val="0000FF"/>
                </w:rPr>
                <w:t>Performance-Based Awards under our 2020 Omnibus Incentive Plan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27</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9280" w:type="dxa"/>
            <w:vAlign w:val="bottom"/>
            <w:gridSpan w:val="2"/>
          </w:tcPr>
          <w:p>
            <w:pPr>
              <w:spacing w:after="0"/>
              <w:rPr>
                <w:rFonts w:ascii="Arial" w:cs="Arial" w:eastAsia="Arial" w:hAnsi="Arial"/>
                <w:sz w:val="18"/>
                <w:szCs w:val="18"/>
                <w:i w:val="1"/>
                <w:iCs w:val="1"/>
                <w:u w:val="single" w:color="auto"/>
                <w:color w:val="0000FF"/>
              </w:rPr>
            </w:pPr>
            <w:hyperlink w:anchor="page34">
              <w:r>
                <w:rPr>
                  <w:rFonts w:ascii="Arial" w:cs="Arial" w:eastAsia="Arial" w:hAnsi="Arial"/>
                  <w:sz w:val="18"/>
                  <w:szCs w:val="18"/>
                  <w:i w:val="1"/>
                  <w:iCs w:val="1"/>
                  <w:u w:val="single" w:color="auto"/>
                  <w:color w:val="0000FF"/>
                </w:rPr>
                <w:t>Director Compensation in Fiscal 2020</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28</w:t>
              </w:r>
            </w:hyperlink>
          </w:p>
        </w:tc>
        <w:tc>
          <w:tcPr>
            <w:tcW w:w="0" w:type="dxa"/>
            <w:vAlign w:val="bottom"/>
          </w:tcPr>
          <w:p>
            <w:pPr>
              <w:spacing w:after="0"/>
              <w:rPr>
                <w:sz w:val="1"/>
                <w:szCs w:val="1"/>
                <w:color w:val="auto"/>
              </w:rPr>
            </w:pPr>
          </w:p>
        </w:tc>
      </w:tr>
      <w:tr>
        <w:trPr>
          <w:trHeight w:val="310"/>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COMPENSATION COMMITTEE INTERLOCKS AND INSIDER PARTICIPATION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30</w:t>
              </w:r>
            </w:hyperlink>
          </w:p>
        </w:tc>
        <w:tc>
          <w:tcPr>
            <w:tcW w:w="0" w:type="dxa"/>
            <w:vAlign w:val="bottom"/>
          </w:tcPr>
          <w:p>
            <w:pPr>
              <w:spacing w:after="0"/>
              <w:rPr>
                <w:sz w:val="1"/>
                <w:szCs w:val="1"/>
                <w:color w:val="auto"/>
              </w:rPr>
            </w:pPr>
          </w:p>
        </w:tc>
      </w:tr>
      <w:tr>
        <w:trPr>
          <w:trHeight w:val="284"/>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EQUITY COMPENSATION PLAN INFORMATION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30</w:t>
              </w:r>
            </w:hyperlink>
          </w:p>
        </w:tc>
        <w:tc>
          <w:tcPr>
            <w:tcW w:w="0" w:type="dxa"/>
            <w:vAlign w:val="bottom"/>
          </w:tcPr>
          <w:p>
            <w:pPr>
              <w:spacing w:after="0"/>
              <w:rPr>
                <w:sz w:val="1"/>
                <w:szCs w:val="1"/>
                <w:color w:val="auto"/>
              </w:rPr>
            </w:pPr>
          </w:p>
        </w:tc>
      </w:tr>
      <w:tr>
        <w:trPr>
          <w:trHeight w:val="283"/>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OWNERSHIP OF SECURITIES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31</w:t>
              </w:r>
            </w:hyperlink>
          </w:p>
        </w:tc>
        <w:tc>
          <w:tcPr>
            <w:tcW w:w="0" w:type="dxa"/>
            <w:vAlign w:val="bottom"/>
          </w:tcPr>
          <w:p>
            <w:pPr>
              <w:spacing w:after="0"/>
              <w:rPr>
                <w:sz w:val="1"/>
                <w:szCs w:val="1"/>
                <w:color w:val="auto"/>
              </w:rPr>
            </w:pPr>
          </w:p>
        </w:tc>
      </w:tr>
      <w:tr>
        <w:trPr>
          <w:trHeight w:val="283"/>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DELINQUENT SECTION 16(a) REPORTS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35</w:t>
              </w:r>
            </w:hyperlink>
          </w:p>
        </w:tc>
        <w:tc>
          <w:tcPr>
            <w:tcW w:w="0" w:type="dxa"/>
            <w:vAlign w:val="bottom"/>
          </w:tcPr>
          <w:p>
            <w:pPr>
              <w:spacing w:after="0"/>
              <w:rPr>
                <w:sz w:val="1"/>
                <w:szCs w:val="1"/>
                <w:color w:val="auto"/>
              </w:rPr>
            </w:pPr>
          </w:p>
        </w:tc>
      </w:tr>
      <w:tr>
        <w:trPr>
          <w:trHeight w:val="284"/>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TRANSACTIONS WITH RELATED PERSONS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83"/>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STOCKHOLDER PROPOSALS FOR THE 2022 ANNUAL MEETING</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83"/>
        </w:trPr>
        <w:tc>
          <w:tcPr>
            <w:tcW w:w="9460" w:type="dxa"/>
            <w:vAlign w:val="bottom"/>
            <w:gridSpan w:val="3"/>
          </w:tcPr>
          <w:p>
            <w:pPr>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OTHER BUSINESS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00"/>
          </w:cols>
          <w:pgMar w:left="520" w:top="769" w:right="6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911860</wp:posOffset>
            </wp:positionV>
            <wp:extent cx="2143125"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805 Broadway Street, Suite 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Washington 98660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(800) 914-1220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27,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being provided with these materials?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proxy statement and the enclosed proxy card and annual report are first being sent to stockholders on or about March 16, 2021. We have delivered these proxy materials to you in connection with the solicitation by the Board of Directors (the “Board” or “Board of Directors”) of ZoomInfo Technologies Inc. (“we,” “our,” “us” and the “Company”) of proxies to be voted at our Annual Meeting of Stockholders to be held on April 27, 2021 (the “Annual Meeting”), and at any postponements or adjournments of the Annual Meeting. You are invited to attend the Annual Meeting and vote your shares via the Internet or to vote your shares in advance by proxy via the Internet, by telephone or by mail.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two proposals scheduled to be voted on at the Annual Meeting:</w:t>
      </w:r>
    </w:p>
    <w:p>
      <w:pPr>
        <w:spacing w:after="0" w:line="171" w:lineRule="exact"/>
        <w:rPr>
          <w:sz w:val="20"/>
          <w:szCs w:val="20"/>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1: Election of the director nominees listed in this Proxy Statement.</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2: Ratification of the appointment of KPMG LLP as our independent registered public accounting firm for 2021.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Stockholders as of the close of business on March 5, 2021 (the “Record Date”) may vote at the Annual Meeting or any postponement or adjournment thereof. As of that date, there were 101,554,566 shares of our Class A common stock, 207,393,591 shares of our Class B common stock and 82,253,336 shares of our Class C common stock outstanding. Holders of our Class A common stock have one vote for each share of Class A common stock held by you as of the Record Date and holders of our Class B common stock and Class C common stock have ten votes for each share of Class B or Class C common stock, as applicable, held by you as of the Record Date, in each case including shares:</w:t>
      </w:r>
    </w:p>
    <w:p>
      <w:pPr>
        <w:spacing w:after="0" w:line="122" w:lineRule="exact"/>
        <w:rPr>
          <w:sz w:val="20"/>
          <w:szCs w:val="20"/>
          <w:color w:val="auto"/>
        </w:rPr>
      </w:pPr>
    </w:p>
    <w:p>
      <w:pPr>
        <w:ind w:left="1060" w:hanging="48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Held directly in your name as “stockholder of record” (also referred to as “registered stockholder”); and</w:t>
      </w:r>
    </w:p>
    <w:p>
      <w:pPr>
        <w:spacing w:after="0" w:line="76" w:lineRule="exact"/>
        <w:rPr>
          <w:rFonts w:ascii="Arial" w:cs="Arial" w:eastAsia="Arial" w:hAnsi="Arial"/>
          <w:sz w:val="18"/>
          <w:szCs w:val="18"/>
          <w:color w:val="auto"/>
        </w:rPr>
      </w:pPr>
    </w:p>
    <w:p>
      <w:pPr>
        <w:ind w:left="1060" w:right="500" w:hanging="481"/>
        <w:spacing w:after="0" w:line="25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Held for you in an account with a broker, bank or other nominee (shares held in “street name”)—Street name holders generally cannot vote their shares directly and instead must instruct the brokerage firm, bank or nominee how to vote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b w:val="1"/>
          <w:bCs w:val="1"/>
          <w:color w:val="auto"/>
        </w:rPr>
        <w:t>What constitutes a quorum?</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presence in person or by proxy of stockholders entitled to cast a majority of all the votes entitled to be cast at such meeting on any matter constitutes a quorum. Abstentions and shares represented by “broker non-votes” that are present and entitled to vote at the Annual Meeting are counted for purposes of determining a quorum.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 1 is considered a non-routine matter, and a broker will lack the authority to vote uninstructed shares at their discretion on such proposal. Proposal No. 2 is considered a discretionary matter, and a broker will be permitted to exercise its discretion to vote uninstructed shares on this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each proposal?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1, under our Amended and Restated Bylaws (the “Bylaws”), directors are elected by a plurality vote, which means that the director nominees with the greatest number of votes cast, even if less than a majority, will be elected. There is no cumulative voting.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2, under our Bylaws, approval of the proposal requires a majority of the voting power of the shares of stock present in person or represented by proxy and entitled to vote on the proposal.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note that the proposal to ratify the appointment of KPMG LLP as our independent registered public accounting firm for 2021 (Proposal No. 2) is non-binding and advisory. While the ratification of KPMG LLP as our independent registered public accounting firm is not required by our Bylaws or otherwise, if our stockholders fail to ratify the selection, we will consider it notice to the Board and the Audit Committee to consider the selection of a different firm.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election of directors (Proposal No. 1), you may vote “FOR” or “WITHHOLD” with respect to each nominee. Votes that are “withheld” will not count as a vote “FOR” or “AGAINST” a director because directors are elected by plurality voting. Broker non-votes will have no effect on the outcome of Proposal No. 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ratification of our independent registered public accounting firm (Proposal No. 2), you may vote “FOR,” “AGAINST” or “ABSTAIN.” Abstentions will be counted as a vote “AGAINST” Proposal No. 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recommends that you vote your shares:</w:t>
      </w:r>
    </w:p>
    <w:p>
      <w:pPr>
        <w:spacing w:after="0" w:line="171" w:lineRule="exact"/>
        <w:rPr>
          <w:sz w:val="20"/>
          <w:szCs w:val="20"/>
          <w:color w:val="auto"/>
        </w:rPr>
      </w:pPr>
    </w:p>
    <w:p>
      <w:pPr>
        <w:ind w:left="1060" w:hanging="48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each of the director nominees set forth in this Proxy Statement.</w:t>
      </w:r>
    </w:p>
    <w:p>
      <w:pPr>
        <w:spacing w:after="0" w:line="252" w:lineRule="exact"/>
        <w:rPr>
          <w:rFonts w:ascii="Arial" w:cs="Arial" w:eastAsia="Arial" w:hAnsi="Arial"/>
          <w:sz w:val="18"/>
          <w:szCs w:val="18"/>
          <w:color w:val="auto"/>
        </w:rPr>
      </w:pPr>
    </w:p>
    <w:p>
      <w:pPr>
        <w:ind w:left="1100" w:hanging="494"/>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8" w:name="page9"/>
    <w:bookmarkEnd w:id="8"/>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Broadridge Financial Solutions, Inc. or its designee will tabulate the votes and act as inspectors of election.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without attending the Annual Meeting?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are a stockholder of record, you may vote by authorizing a proxy to vote on your behalf at the Annual Meeting. Specifically, you may authorize a proxy:</w:t>
      </w:r>
    </w:p>
    <w:p>
      <w:pPr>
        <w:spacing w:after="0" w:line="130" w:lineRule="exact"/>
        <w:rPr>
          <w:sz w:val="20"/>
          <w:szCs w:val="20"/>
          <w:color w:val="auto"/>
        </w:rPr>
      </w:pPr>
    </w:p>
    <w:p>
      <w:pPr>
        <w:ind w:left="1060" w:right="280" w:hanging="481"/>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—If you have Internet access, you may submit your proxy by going to</w:t>
      </w:r>
      <w:r>
        <w:rPr>
          <w:rFonts w:ascii="Arial" w:cs="Arial" w:eastAsia="Arial" w:hAnsi="Arial"/>
          <w:sz w:val="16"/>
          <w:szCs w:val="16"/>
          <w:i w:val="1"/>
          <w:iCs w:val="1"/>
          <w:color w:val="auto"/>
        </w:rPr>
        <w:t xml:space="preserve"> www.proxyvote.com </w:t>
      </w:r>
      <w:r>
        <w:rPr>
          <w:rFonts w:ascii="Arial" w:cs="Arial" w:eastAsia="Arial" w:hAnsi="Arial"/>
          <w:sz w:val="16"/>
          <w:szCs w:val="16"/>
          <w:color w:val="auto"/>
        </w:rPr>
        <w:t>and by following the instructions</w:t>
      </w:r>
      <w:r>
        <w:rPr>
          <w:rFonts w:ascii="Arial" w:cs="Arial" w:eastAsia="Arial" w:hAnsi="Arial"/>
          <w:sz w:val="16"/>
          <w:szCs w:val="16"/>
          <w:i w:val="1"/>
          <w:iCs w:val="1"/>
          <w:color w:val="auto"/>
        </w:rPr>
        <w:t xml:space="preserve"> </w:t>
      </w:r>
      <w:r>
        <w:rPr>
          <w:rFonts w:ascii="Arial" w:cs="Arial" w:eastAsia="Arial" w:hAnsi="Arial"/>
          <w:sz w:val="16"/>
          <w:szCs w:val="16"/>
          <w:color w:val="auto"/>
        </w:rPr>
        <w:t>on how to complete an electronic proxy card. You will need the 16-digit number included on your proxy card in order to vote by Internet.</w:t>
      </w:r>
    </w:p>
    <w:p>
      <w:pPr>
        <w:spacing w:after="0" w:line="191" w:lineRule="exact"/>
        <w:rPr>
          <w:rFonts w:ascii="Arial" w:cs="Arial" w:eastAsia="Arial" w:hAnsi="Arial"/>
          <w:sz w:val="16"/>
          <w:szCs w:val="16"/>
          <w:color w:val="auto"/>
        </w:rPr>
      </w:pPr>
    </w:p>
    <w:p>
      <w:pPr>
        <w:ind w:left="1100" w:right="460" w:hanging="494"/>
        <w:spacing w:after="0" w:line="308" w:lineRule="auto"/>
        <w:tabs>
          <w:tab w:leader="none" w:pos="110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By Telephone</w:t>
      </w:r>
      <w:r>
        <w:rPr>
          <w:rFonts w:ascii="Arial" w:cs="Arial" w:eastAsia="Arial" w:hAnsi="Arial"/>
          <w:sz w:val="17"/>
          <w:szCs w:val="17"/>
          <w:color w:val="auto"/>
        </w:rPr>
        <w:t>—If you have access to a touch-tone telephone, you may submit your proxy by dialing 1-800-690-6903 and by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recorded instructions. You will need the 16-digit number included on your proxy card in order to vote by telephone.</w:t>
      </w:r>
    </w:p>
    <w:p>
      <w:pPr>
        <w:spacing w:after="0" w:line="213" w:lineRule="exact"/>
        <w:rPr>
          <w:rFonts w:ascii="Arial" w:cs="Arial" w:eastAsia="Arial" w:hAnsi="Arial"/>
          <w:sz w:val="17"/>
          <w:szCs w:val="17"/>
          <w:color w:val="auto"/>
        </w:rPr>
      </w:pPr>
    </w:p>
    <w:p>
      <w:pPr>
        <w:ind w:left="1060" w:right="240" w:hanging="481"/>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mail by signing and dating the enclosed proxy card where indicated and by mailing or otherwise returning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358"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Internet and telephone voting facilities will close at 8:59 p.m., Pacific Time, on April 26, 2021, for the voting of shares held by stockholders of record as of the Record Date. Proxy cards with respect to shares held of record must be received no later than April 26, 2021.</w:t>
      </w:r>
    </w:p>
    <w:p>
      <w:pPr>
        <w:spacing w:after="0" w:line="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and vote my shares at the Virtual Annual Meeting?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year’s Annual Meeting will be a completely “virtual” meeting of stockholders. You may attend the Annual Meeting via the Internet. Any stockholder can attend the Annual Meeting live online at www.virtualshareholdermeeting.com/ZI2021. If you virtually attend the Annual Meeting you can vote your shares electronically, and submit your questions during the Annual Meeting, by visiting www.virtualshareholdermeeting.com/ZI2021. A summary of the information you need to attend the Annual Meeting and vote via the Internet is provided below:</w:t>
      </w:r>
    </w:p>
    <w:p>
      <w:pPr>
        <w:spacing w:after="0" w:line="117" w:lineRule="exact"/>
        <w:rPr>
          <w:sz w:val="20"/>
          <w:szCs w:val="20"/>
          <w:color w:val="auto"/>
        </w:rPr>
      </w:pPr>
    </w:p>
    <w:p>
      <w:pPr>
        <w:ind w:left="1060" w:right="780" w:hanging="481"/>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instructions on how to attend and participate via the internet, including how to demonstrate proof of stock ownership, are posted at www.virtualshareholdermeeting.com/ZI2021;</w:t>
      </w:r>
    </w:p>
    <w:p>
      <w:pPr>
        <w:spacing w:after="0" w:line="53" w:lineRule="exact"/>
        <w:rPr>
          <w:rFonts w:ascii="Arial" w:cs="Arial" w:eastAsia="Arial" w:hAnsi="Arial"/>
          <w:sz w:val="18"/>
          <w:szCs w:val="18"/>
          <w:color w:val="auto"/>
        </w:rPr>
      </w:pPr>
    </w:p>
    <w:p>
      <w:pPr>
        <w:ind w:left="1060" w:right="2980" w:hanging="481"/>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assistance with questions regarding how to attend and participate via the internet will be provided at www.virtualshareholdermeeting.com/ZI2021 on the day of the Annual Meeting;</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stockholders may vote and submit questions while attending the Annual Meeting via the internet; and</w:t>
      </w:r>
    </w:p>
    <w:p>
      <w:pPr>
        <w:spacing w:after="0" w:line="76" w:lineRule="exact"/>
        <w:rPr>
          <w:rFonts w:ascii="Arial" w:cs="Arial" w:eastAsia="Arial" w:hAnsi="Arial"/>
          <w:sz w:val="18"/>
          <w:szCs w:val="18"/>
          <w:color w:val="auto"/>
        </w:rPr>
      </w:pPr>
    </w:p>
    <w:p>
      <w:pPr>
        <w:ind w:left="1060" w:right="400" w:hanging="481"/>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will need the 16-digit number that is included in your proxy card or the instructions that accompanied your proxy materials in order to enter the Annual Meeting and to vote during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Will I be able to participate in the online Annual Meeting on the same basis I would be able to participate in a live annual meeting?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light of the public health concerns due to the COVID-19 pandemic and to support the health and well-being of our stockholders and employees, the Annual Meeting will be held in a virtual meeting format only and will be conducted via live audio webcast. The online meeting format for the Annual Meeting will enable full and equal participation by all our stockholders from any place in the world at little to no cost.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designed the format of the online Annual Meeting to ensure that our stockholders who attend our Annual Meeting will be afforded the same rights and opportunities to participate as they would at an in-person meeting and to enhance stockholder access, participation and communication through online tools. We plan to take the following steps to provide for such an experience:</w:t>
      </w:r>
    </w:p>
    <w:p>
      <w:pPr>
        <w:spacing w:after="0" w:line="130" w:lineRule="exact"/>
        <w:rPr>
          <w:sz w:val="20"/>
          <w:szCs w:val="20"/>
          <w:color w:val="auto"/>
        </w:rPr>
      </w:pPr>
    </w:p>
    <w:p>
      <w:pPr>
        <w:ind w:left="1060" w:hanging="48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appropriate questions up to 15 minutes in advance of the meeting;</w:t>
      </w:r>
    </w:p>
    <w:p>
      <w:pPr>
        <w:spacing w:after="0" w:line="76" w:lineRule="exact"/>
        <w:rPr>
          <w:rFonts w:ascii="Arial" w:cs="Arial" w:eastAsia="Arial" w:hAnsi="Arial"/>
          <w:sz w:val="18"/>
          <w:szCs w:val="18"/>
          <w:color w:val="auto"/>
        </w:rPr>
      </w:pPr>
    </w:p>
    <w:p>
      <w:pPr>
        <w:ind w:left="1060" w:right="480" w:hanging="481"/>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appropriate questions real-time via the meeting website, limiting questions to one per stockholder unless time otherwise permits; and</w:t>
      </w:r>
    </w:p>
    <w:p>
      <w:pPr>
        <w:spacing w:after="0" w:line="53" w:lineRule="exact"/>
        <w:rPr>
          <w:rFonts w:ascii="Arial" w:cs="Arial" w:eastAsia="Arial" w:hAnsi="Arial"/>
          <w:sz w:val="18"/>
          <w:szCs w:val="18"/>
          <w:color w:val="auto"/>
        </w:rPr>
      </w:pPr>
    </w:p>
    <w:p>
      <w:pPr>
        <w:ind w:left="1060" w:right="840" w:hanging="481"/>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answering as many questions submitted in accordance with the meeting rules of conduct as appropriate in the time allotted for the meeting.</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 on or about the same time?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my vote or revoke my proxy?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Yes. Whether you have voted by Internet, telephone or mail, if you are a stockholder of record, you may change your vote and revoke your proxy by:</w:t>
      </w:r>
    </w:p>
    <w:p>
      <w:pPr>
        <w:spacing w:after="0" w:line="183" w:lineRule="exact"/>
        <w:rPr>
          <w:sz w:val="20"/>
          <w:szCs w:val="20"/>
          <w:color w:val="auto"/>
        </w:rPr>
      </w:pPr>
    </w:p>
    <w:p>
      <w:pPr>
        <w:ind w:left="1060" w:hanging="48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sending a written statement to that effect to our Secretary, provided such statement is received no later than April 26, 2021;</w:t>
      </w:r>
    </w:p>
    <w:p>
      <w:pPr>
        <w:spacing w:after="0" w:line="76" w:lineRule="exact"/>
        <w:rPr>
          <w:rFonts w:ascii="Arial" w:cs="Arial" w:eastAsia="Arial" w:hAnsi="Arial"/>
          <w:sz w:val="18"/>
          <w:szCs w:val="18"/>
          <w:color w:val="auto"/>
        </w:rPr>
      </w:pPr>
    </w:p>
    <w:p>
      <w:pPr>
        <w:ind w:left="1060" w:right="80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by Internet or telephone at a later time than your previous vote and before the closing of those voting facilities at 8:59 p.m., Pacific Time, on April 26, 2021;</w:t>
      </w:r>
    </w:p>
    <w:p>
      <w:pPr>
        <w:spacing w:after="0" w:line="53" w:lineRule="exact"/>
        <w:rPr>
          <w:rFonts w:ascii="Arial" w:cs="Arial" w:eastAsia="Arial" w:hAnsi="Arial"/>
          <w:sz w:val="18"/>
          <w:szCs w:val="18"/>
          <w:color w:val="auto"/>
        </w:rPr>
      </w:pPr>
    </w:p>
    <w:p>
      <w:pPr>
        <w:ind w:left="1060" w:right="32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submitting a properly signed proxy card, which has a later date than your previous vote, and that is received no later than April 26, 2021; or</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If you hold shares in street name, please refer to information from your bank, broker or other nominee on how to revoke or submit new voting instructions.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for the cost of this proxy solicitation?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7" w:right="339" w:bottom="1440" w:gutter="0" w:footer="0" w:header="0"/>
        </w:sectPr>
      </w:pPr>
    </w:p>
    <w:bookmarkStart w:id="10" w:name="page11"/>
    <w:bookmarkEnd w:id="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1—ELECTION OF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Amended and Restated Certificate of Incorporation provides for a classified Board of Directors divided into three classes. Mitesh Dhruv, Keith Enright and Henry Schuck constitute a class with a term that expires at the Annual Meeting of Stockholders in 2021 (the “Class I Directors”); Mark Mader, Patrick McCarter and Jason Mironov constitute a class with a term that expires at the Annual Meeting of Stockholders in 2022 (the “Class II Directors”); and Todd Crockett, Ashley Evans and D. Randall Winn constitute a class with a term that expires at the Annual Meeting of Stockholders in 2023 (the “Class III Directors”).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recommendation of the Nominating and Corporate Governance Committee, the full Board of Directors has considered and nominated the following slate of nominees to serve as Class I Directors for a three-year term expiring in 2024: Mitesh Dhruv, Keith Enright and Henry Schuck. Action will be taken at the Annual Meeting for the election of these three Class I Director nominees.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otherwise instructed, the persons named in the form of proxy card (the “proxyholders”) included with this Proxy Statement intend to vote the proxies held by them “FOR” the election of the director nominees. All of the nominees have indicated that they will be willing and able to serve as directors. If any of these nominees ceases to be a candidate for election by the time of the Annual Meeting (a contingency which the Board does not expect to occur), such proxies may be voted by the proxyholders in accordance with the recommendation of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Board of Directors in 2021</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information describes the offices held, other business directorships and the term of service of each director nominee, as well as the experiences, qualifications, attributes or skills that caused the Nominating and Corporate Governance Committee and the Board to determine that the director nominee should serve as a director. Beneficial ownership of equity securities of the director nominees is shown under “Ownership of Securities”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80" w:type="dxa"/>
            <w:vAlign w:val="bottom"/>
          </w:tcPr>
          <w:p>
            <w:pPr>
              <w:ind w:left="1160"/>
              <w:spacing w:after="0"/>
              <w:rPr>
                <w:sz w:val="20"/>
                <w:szCs w:val="20"/>
                <w:color w:val="auto"/>
              </w:rPr>
            </w:pPr>
            <w:r>
              <w:rPr>
                <w:rFonts w:ascii="Arial" w:cs="Arial" w:eastAsia="Arial" w:hAnsi="Arial"/>
                <w:sz w:val="18"/>
                <w:szCs w:val="18"/>
                <w:b w:val="1"/>
                <w:bCs w:val="1"/>
                <w:color w:val="auto"/>
              </w:rPr>
              <w:t>Class I – Nominees for term expiring in 2024</w:t>
            </w:r>
          </w:p>
        </w:tc>
      </w:tr>
      <w:tr>
        <w:trPr>
          <w:trHeight w:val="234"/>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1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8"/>
              </w:rPr>
              <w:t>Age</w:t>
            </w:r>
          </w:p>
        </w:tc>
        <w:tc>
          <w:tcPr>
            <w:tcW w:w="84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Principal occupation and other information</w:t>
            </w:r>
          </w:p>
        </w:tc>
      </w:tr>
      <w:tr>
        <w:trPr>
          <w:trHeight w:val="222"/>
        </w:trPr>
        <w:tc>
          <w:tcPr>
            <w:tcW w:w="1660" w:type="dxa"/>
            <w:vAlign w:val="bottom"/>
          </w:tcPr>
          <w:p>
            <w:pPr>
              <w:ind w:left="20"/>
              <w:spacing w:after="0"/>
              <w:rPr>
                <w:sz w:val="20"/>
                <w:szCs w:val="20"/>
                <w:color w:val="auto"/>
              </w:rPr>
            </w:pPr>
            <w:r>
              <w:rPr>
                <w:rFonts w:ascii="Arial" w:cs="Arial" w:eastAsia="Arial" w:hAnsi="Arial"/>
                <w:sz w:val="18"/>
                <w:szCs w:val="18"/>
                <w:color w:val="auto"/>
              </w:rPr>
              <w:t>Mitesh Dhruv</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Mr. Dhruv has served as a member of the board of directors of ZoomInfo Technologies Inc. since February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Mr. Dhruv currently serves as Chief Financial Officer of RingCentral, Inc., a cloud-based communications and</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collaboration solutions provider. Prior to joining RingCentral, Inc. in 2012, Mr. Dhruv worked at Bank of America</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Merrill Lynch as an equity research analyst and at PricewaterhouseCoopers. Mr. Dhruv is a CPA, Chartered</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Accountant, and CFA® charterholder, and holds an undergraduate degree in accounting from the University of</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Mumbai, India.</w:t>
            </w:r>
          </w:p>
        </w:tc>
      </w:tr>
      <w:tr>
        <w:trPr>
          <w:trHeight w:val="445"/>
        </w:trPr>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Nomination considerations: Mr. Dhruv’s extensive financial and accounting experience, including as the Chief</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Financial Officer of RingCentral and his accounting and financial certifications, his knowledge and experience in</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our industry and with SaaS companies, and his experience in management of a public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Pr>
          <w:p>
            <w:pPr>
              <w:spacing w:after="0"/>
              <w:rPr>
                <w:sz w:val="20"/>
                <w:szCs w:val="20"/>
                <w:color w:val="auto"/>
              </w:rPr>
            </w:pPr>
            <w:r>
              <w:rPr>
                <w:rFonts w:ascii="Arial" w:cs="Arial" w:eastAsia="Arial" w:hAnsi="Arial"/>
                <w:sz w:val="18"/>
                <w:szCs w:val="18"/>
                <w:color w:val="auto"/>
              </w:rPr>
              <w:t>Keith Enright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8500" w:type="dxa"/>
            <w:vAlign w:val="bottom"/>
          </w:tcPr>
          <w:p>
            <w:pPr>
              <w:ind w:left="220"/>
              <w:spacing w:after="0"/>
              <w:rPr>
                <w:sz w:val="20"/>
                <w:szCs w:val="20"/>
                <w:color w:val="auto"/>
              </w:rPr>
            </w:pPr>
            <w:r>
              <w:rPr>
                <w:rFonts w:ascii="Arial" w:cs="Arial" w:eastAsia="Arial" w:hAnsi="Arial"/>
                <w:sz w:val="18"/>
                <w:szCs w:val="18"/>
                <w:color w:val="auto"/>
                <w:w w:val="93"/>
              </w:rPr>
              <w:t>Mr. Enright has served as a member of the board of directors of ZoomInfo Technologies Inc. since March 2020</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4"/>
              </w:rPr>
              <w:t>and served as a member of the Board of Managers of ZoomInfo Holdings LLC from March 2020 to June 2020.</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6"/>
              </w:rPr>
              <w:t>Mr. Enright currently serves as the Chief Privacy Officer of Google LLC, a multinational technology company</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2"/>
              </w:rPr>
              <w:t>that specializes in Internet-related services and products, which include online advertising technologies, a search</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6"/>
              </w:rPr>
              <w:t>engine, cloud computing, software, and hardware. Prior to joining Google in 2011, Mr. Enright was the Chief</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3"/>
              </w:rPr>
              <w:t>Privacy Officer and Vice President, Privacy of Macy’s Inc. Mr. Enright holds a Bachelor of Arts Degree from the</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2"/>
              </w:rPr>
              <w:t>University of Massachusetts at Amherst and a Juris Doctor degree from The George Washington University Law</w:t>
            </w:r>
          </w:p>
        </w:tc>
      </w:tr>
      <w:tr>
        <w:trPr>
          <w:trHeight w:val="230"/>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rPr>
              <w:t>School.</w:t>
            </w:r>
          </w:p>
        </w:tc>
      </w:tr>
      <w:tr>
        <w:trPr>
          <w:trHeight w:val="445"/>
        </w:trPr>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6"/>
              </w:rPr>
              <w:t>Nomination considerations: Mr. Enright’s extensive experience with data privacy, including as Chief Privacy</w:t>
            </w:r>
          </w:p>
        </w:tc>
      </w:tr>
      <w:tr>
        <w:trPr>
          <w:trHeight w:val="230"/>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rPr>
              <w:t>Officer for Google LLC, and his significant core business skills.</w:t>
            </w:r>
          </w:p>
        </w:tc>
      </w:tr>
      <w:tr>
        <w:trPr>
          <w:trHeight w:val="499"/>
        </w:trPr>
        <w:tc>
          <w:tcPr>
            <w:tcW w:w="1680" w:type="dxa"/>
            <w:vAlign w:val="bottom"/>
          </w:tcPr>
          <w:p>
            <w:pPr>
              <w:spacing w:after="0"/>
              <w:rPr>
                <w:sz w:val="20"/>
                <w:szCs w:val="20"/>
                <w:color w:val="auto"/>
              </w:rPr>
            </w:pPr>
            <w:r>
              <w:rPr>
                <w:rFonts w:ascii="Arial" w:cs="Arial" w:eastAsia="Arial" w:hAnsi="Arial"/>
                <w:sz w:val="18"/>
                <w:szCs w:val="18"/>
                <w:color w:val="auto"/>
              </w:rPr>
              <w:t>Henry Schuck</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8500" w:type="dxa"/>
            <w:vAlign w:val="bottom"/>
          </w:tcPr>
          <w:p>
            <w:pPr>
              <w:ind w:left="220"/>
              <w:spacing w:after="0"/>
              <w:rPr>
                <w:sz w:val="20"/>
                <w:szCs w:val="20"/>
                <w:color w:val="auto"/>
              </w:rPr>
            </w:pPr>
            <w:r>
              <w:rPr>
                <w:rFonts w:ascii="Arial" w:cs="Arial" w:eastAsia="Arial" w:hAnsi="Arial"/>
                <w:sz w:val="18"/>
                <w:szCs w:val="18"/>
                <w:color w:val="auto"/>
              </w:rPr>
              <w:t>Mr. Schuck has served as Chief Executive Officer, Chairman of the Board and a director of ZoomInfo</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3"/>
              </w:rPr>
              <w:t>Technologies Inc. since its formation in November 2019 and served as Chief Executive Officer and a director of</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8"/>
              </w:rPr>
              <w:t>ZoomInfo Holdings LLC (formerly known as DiscoverOrg Holdings, LLC) since founding it in 2007. Prior to</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4"/>
              </w:rPr>
              <w:t>founding ZoomInfo Holdings LLC, Mr. Schuck was VP of Research &amp; Marketing at iProfile, a sales intelligence</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1"/>
              </w:rPr>
              <w:t>firm focused on the IT market. Mr. Schuck is a cum laude graduate of the University of Nevada, Las Vegas with a</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5"/>
              </w:rPr>
              <w:t>B.S. in Business Administration and a B.S. in Hospitality Management and holds a J.D., cum laude, from The</w:t>
            </w:r>
          </w:p>
        </w:tc>
      </w:tr>
      <w:tr>
        <w:trPr>
          <w:trHeight w:val="230"/>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rPr>
              <w:t>Ohio State University Moritz College of Law.</w:t>
            </w:r>
          </w:p>
        </w:tc>
      </w:tr>
      <w:tr>
        <w:trPr>
          <w:trHeight w:val="459"/>
        </w:trPr>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2"/>
              </w:rPr>
              <w:t>Nomination considerations: Mr. Schuck’s perspective and the experience he brings as our co-founder and CEO.</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ELECTION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40" w:top="144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1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“Ownership of Securities”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80" w:type="dxa"/>
            <w:vAlign w:val="bottom"/>
          </w:tcPr>
          <w:p>
            <w:pPr>
              <w:ind w:left="1060"/>
              <w:spacing w:after="0"/>
              <w:rPr>
                <w:sz w:val="20"/>
                <w:szCs w:val="20"/>
                <w:color w:val="auto"/>
              </w:rPr>
            </w:pPr>
            <w:r>
              <w:rPr>
                <w:rFonts w:ascii="Arial" w:cs="Arial" w:eastAsia="Arial" w:hAnsi="Arial"/>
                <w:sz w:val="18"/>
                <w:szCs w:val="18"/>
                <w:b w:val="1"/>
                <w:bCs w:val="1"/>
                <w:color w:val="auto"/>
              </w:rPr>
              <w:t>Class II – Directors whose term expires in 2022</w:t>
            </w:r>
          </w:p>
        </w:tc>
      </w:tr>
      <w:tr>
        <w:trPr>
          <w:trHeight w:val="234"/>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Age</w:t>
            </w:r>
          </w:p>
        </w:tc>
        <w:tc>
          <w:tcPr>
            <w:tcW w:w="84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Principal occupation and other information</w:t>
            </w:r>
          </w:p>
        </w:tc>
      </w:tr>
      <w:tr>
        <w:trPr>
          <w:trHeight w:val="222"/>
        </w:trPr>
        <w:tc>
          <w:tcPr>
            <w:tcW w:w="1780" w:type="dxa"/>
            <w:vAlign w:val="bottom"/>
          </w:tcPr>
          <w:p>
            <w:pPr>
              <w:ind w:left="20"/>
              <w:spacing w:after="0"/>
              <w:rPr>
                <w:sz w:val="20"/>
                <w:szCs w:val="20"/>
                <w:color w:val="auto"/>
              </w:rPr>
            </w:pPr>
            <w:r>
              <w:rPr>
                <w:rFonts w:ascii="Arial" w:cs="Arial" w:eastAsia="Arial" w:hAnsi="Arial"/>
                <w:sz w:val="18"/>
                <w:szCs w:val="18"/>
                <w:color w:val="auto"/>
              </w:rPr>
              <w:t>Mark Mader</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50</w:t>
            </w: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Mr. Mader has served as a member of the board of directors of ZoomInfo Technologies Inc. since February 2020</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9"/>
              </w:rPr>
              <w:t>Mr. Mader currently serves as President, Chief Executive Officer and director of Smartsheet Inc., a SaaS</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7"/>
              </w:rPr>
              <w:t>collaboration and work management provider. Prior to joining Smartsheet Inc. in 2006, Mr. Mader served in</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various leadership positions from 1995 to 2005 at Onyx Software Corporation, a customer relationship</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9"/>
              </w:rPr>
              <w:t>management software company acquired by M2M Holdings, including as Senior Vice President of Global</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Services. From 1993 to 1995, Mr. Mader was a senior associate at Greenwich Associates, a financial consulting</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firm. Mr. Mader holds a B.A. in Geography from Dartmouth College.</w:t>
            </w:r>
          </w:p>
        </w:tc>
      </w:tr>
      <w:tr>
        <w:trPr>
          <w:trHeight w:val="445"/>
        </w:trPr>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Nomination considerations: Mr. Mader’s extensive knowledge and experience in our industry and with SaaS</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companies, and his experience leading a public company as President, Chief Executive Officer and director of</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Smartsheet.</w:t>
            </w:r>
          </w:p>
        </w:tc>
      </w:tr>
      <w:tr>
        <w:trPr>
          <w:trHeight w:val="499"/>
        </w:trPr>
        <w:tc>
          <w:tcPr>
            <w:tcW w:w="1780" w:type="dxa"/>
            <w:vAlign w:val="bottom"/>
          </w:tcPr>
          <w:p>
            <w:pPr>
              <w:ind w:left="20"/>
              <w:spacing w:after="0"/>
              <w:rPr>
                <w:sz w:val="20"/>
                <w:szCs w:val="20"/>
                <w:color w:val="auto"/>
              </w:rPr>
            </w:pPr>
            <w:r>
              <w:rPr>
                <w:rFonts w:ascii="Arial" w:cs="Arial" w:eastAsia="Arial" w:hAnsi="Arial"/>
                <w:sz w:val="18"/>
                <w:szCs w:val="18"/>
                <w:color w:val="auto"/>
              </w:rPr>
              <w:t>Patrick McCarter</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45</w:t>
            </w: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Mr. McCarter has served as a member of the board of directors of ZoomInfo Technologies Inc. since February</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2020 and served as a member of the Board of Managers of ZoomInfo Holdings LLC from 2018 to June 2020. Mr.</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McCarter currently serves as a Managing Director and the head of the Global Technology, Media and</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Telecommunications group for The Carlyle Group, a private equity firm and an affiliate of the Company, which he</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9"/>
              </w:rPr>
              <w:t>joined in 2001. Mr. McCarter serves as a director of CommScope Holding Company, Inc. In addition, Mr.</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McCarter  currently  serves  on  the  board  of  several  private  companies,  including  HireVue,  Inc.,  Veritas</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Technologies Corporation, and Ampere Computing. Mr. McCarter holds a B.S. in Industrial Engineering and</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Economics from Northwestern University and an MBA from Harvard Business School.</w:t>
            </w:r>
          </w:p>
        </w:tc>
      </w:tr>
      <w:tr>
        <w:trPr>
          <w:trHeight w:val="445"/>
        </w:trPr>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Nomination considerations: Mr. McCarter’s extensive core business skills, including financial and strategic</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planning, and many years of management experience at portfolio companies through his involvement with</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Carlyle.</w:t>
            </w:r>
          </w:p>
        </w:tc>
      </w:tr>
      <w:tr>
        <w:trPr>
          <w:trHeight w:val="499"/>
        </w:trPr>
        <w:tc>
          <w:tcPr>
            <w:tcW w:w="1780" w:type="dxa"/>
            <w:vAlign w:val="bottom"/>
          </w:tcPr>
          <w:p>
            <w:pPr>
              <w:ind w:left="20"/>
              <w:spacing w:after="0"/>
              <w:rPr>
                <w:sz w:val="20"/>
                <w:szCs w:val="20"/>
                <w:color w:val="auto"/>
              </w:rPr>
            </w:pPr>
            <w:r>
              <w:rPr>
                <w:rFonts w:ascii="Arial" w:cs="Arial" w:eastAsia="Arial" w:hAnsi="Arial"/>
                <w:sz w:val="18"/>
                <w:szCs w:val="18"/>
                <w:color w:val="auto"/>
              </w:rPr>
              <w:t>Jason Mironov</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37</w:t>
            </w:r>
          </w:p>
        </w:tc>
        <w:tc>
          <w:tcPr>
            <w:tcW w:w="8480" w:type="dxa"/>
            <w:vAlign w:val="bottom"/>
          </w:tcPr>
          <w:p>
            <w:pPr>
              <w:ind w:left="180"/>
              <w:spacing w:after="0"/>
              <w:rPr>
                <w:sz w:val="20"/>
                <w:szCs w:val="20"/>
                <w:color w:val="auto"/>
              </w:rPr>
            </w:pPr>
            <w:r>
              <w:rPr>
                <w:rFonts w:ascii="Arial" w:cs="Arial" w:eastAsia="Arial" w:hAnsi="Arial"/>
                <w:sz w:val="18"/>
                <w:szCs w:val="18"/>
                <w:color w:val="auto"/>
                <w:w w:val="91"/>
              </w:rPr>
              <w:t>Mr. Mironov has served as a member of the board of directors of ZoomInfo Technologies Inc. since February 2020</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7"/>
              </w:rPr>
              <w:t>and served as a member of the Board of Managers of ZoomInfo Holdings LLC from 2014 to June 2020. Mr.</w:t>
            </w:r>
          </w:p>
        </w:tc>
      </w:tr>
    </w:tbl>
    <w:p>
      <w:pPr>
        <w:jc w:val="both"/>
        <w:ind w:left="2940" w:right="20"/>
        <w:spacing w:after="0" w:line="273" w:lineRule="auto"/>
        <w:rPr>
          <w:sz w:val="20"/>
          <w:szCs w:val="20"/>
          <w:color w:val="auto"/>
        </w:rPr>
      </w:pPr>
      <w:r>
        <w:rPr>
          <w:rFonts w:ascii="Arial" w:cs="Arial" w:eastAsia="Arial" w:hAnsi="Arial"/>
          <w:sz w:val="17"/>
          <w:szCs w:val="17"/>
          <w:color w:val="auto"/>
        </w:rPr>
        <w:t>Mironov currently serves as a Managing Director at TA Associates, a private equity firm and an affiliate of the Company, which he joined in 2012. In addition, Mr. Mironov currently serves on the boards of several private companies, including Procare Software, LLC, and Conservice. Mr. Mironov holds a B.B.A. from the University of Michigan Ross School of Business and a MBA from Harvard Business School.</w:t>
      </w:r>
    </w:p>
    <w:p>
      <w:pPr>
        <w:spacing w:after="0" w:line="203" w:lineRule="exact"/>
        <w:rPr>
          <w:sz w:val="20"/>
          <w:szCs w:val="20"/>
          <w:color w:val="auto"/>
        </w:rPr>
      </w:pPr>
    </w:p>
    <w:p>
      <w:pPr>
        <w:jc w:val="both"/>
        <w:ind w:left="2940" w:right="20"/>
        <w:spacing w:after="0" w:line="263" w:lineRule="auto"/>
        <w:rPr>
          <w:sz w:val="20"/>
          <w:szCs w:val="20"/>
          <w:color w:val="auto"/>
        </w:rPr>
      </w:pPr>
      <w:r>
        <w:rPr>
          <w:rFonts w:ascii="Arial" w:cs="Arial" w:eastAsia="Arial" w:hAnsi="Arial"/>
          <w:sz w:val="18"/>
          <w:szCs w:val="18"/>
          <w:color w:val="auto"/>
        </w:rPr>
        <w:t>Nomination considerations: Mr. Mironov’s extensive core business skills, including financial and strategic planning, and his extensive management experience with financial services and technology companies, including his involvement with TA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7" w:right="339" w:bottom="1440" w:gutter="0" w:footer="0" w:header="0"/>
        </w:sectPr>
      </w:pPr>
    </w:p>
    <w:bookmarkStart w:id="13" w:name="page14"/>
    <w:bookmarkEnd w:id="1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500" w:type="dxa"/>
            <w:vAlign w:val="bottom"/>
          </w:tcPr>
          <w:p>
            <w:pPr>
              <w:ind w:left="1040"/>
              <w:spacing w:after="0"/>
              <w:rPr>
                <w:sz w:val="20"/>
                <w:szCs w:val="20"/>
                <w:color w:val="auto"/>
              </w:rPr>
            </w:pPr>
            <w:r>
              <w:rPr>
                <w:rFonts w:ascii="Arial" w:cs="Arial" w:eastAsia="Arial" w:hAnsi="Arial"/>
                <w:sz w:val="18"/>
                <w:szCs w:val="18"/>
                <w:b w:val="1"/>
                <w:bCs w:val="1"/>
                <w:color w:val="auto"/>
              </w:rPr>
              <w:t>Class III – Directors whose term expires in 2023</w:t>
            </w:r>
          </w:p>
        </w:tc>
      </w:tr>
      <w:tr>
        <w:trPr>
          <w:trHeight w:val="234"/>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Age</w:t>
            </w:r>
          </w:p>
        </w:tc>
        <w:tc>
          <w:tcPr>
            <w:tcW w:w="85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Principal occupation and other information</w:t>
            </w:r>
          </w:p>
        </w:tc>
      </w:tr>
      <w:tr>
        <w:trPr>
          <w:trHeight w:val="222"/>
        </w:trPr>
        <w:tc>
          <w:tcPr>
            <w:tcW w:w="176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51</w:t>
            </w:r>
          </w:p>
        </w:tc>
        <w:tc>
          <w:tcPr>
            <w:tcW w:w="8500" w:type="dxa"/>
            <w:vAlign w:val="bottom"/>
          </w:tcPr>
          <w:p>
            <w:pPr>
              <w:ind w:left="180"/>
              <w:spacing w:after="0"/>
              <w:rPr>
                <w:sz w:val="20"/>
                <w:szCs w:val="20"/>
                <w:color w:val="auto"/>
              </w:rPr>
            </w:pPr>
            <w:r>
              <w:rPr>
                <w:rFonts w:ascii="Arial" w:cs="Arial" w:eastAsia="Arial" w:hAnsi="Arial"/>
                <w:sz w:val="18"/>
                <w:szCs w:val="18"/>
                <w:color w:val="auto"/>
                <w:w w:val="90"/>
              </w:rPr>
              <w:t>Mr. Crockett has served as a member of the board of directors of ZoomInfo Technologies Inc. since February 2020</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7"/>
              </w:rPr>
              <w:t>and served as a member of the Board of Managers of ZoomInfo Holdings LLC from 2014 to June 2020. Mr.</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Crockett currently serves as a Managing Director of TA Associates, a private equity firm and an affiliate of the</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8"/>
              </w:rPr>
              <w:t>Company, which he joined in 1994, and is a member of TA Associates’ Management Committee and Core</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Investment Committee. Mr. Crockett also currently serves on the boards of several private companies, including</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6"/>
              </w:rPr>
              <w:t>MAO  Corporation,  Orion  Adviser  Solutions,  Procare  Software,  LLC,  Russell  Investments,  and  Wealth</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6"/>
              </w:rPr>
              <w:t>Enhancement Group. Mr. Crockett holds a B.A. from Princeton University and a MBA from Harvard Business</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School.</w:t>
            </w:r>
          </w:p>
        </w:tc>
      </w:tr>
      <w:tr>
        <w:trPr>
          <w:trHeight w:val="445"/>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Nomination considerations: Mr. Crockett’s extensive core business and leadership skills, including financial and</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strategic planning, and his significant management experience, including his involvement with TA Associates.</w:t>
            </w:r>
          </w:p>
        </w:tc>
      </w:tr>
      <w:tr>
        <w:trPr>
          <w:trHeight w:val="499"/>
        </w:trPr>
        <w:tc>
          <w:tcPr>
            <w:tcW w:w="1760" w:type="dxa"/>
            <w:vAlign w:val="bottom"/>
          </w:tcPr>
          <w:p>
            <w:pPr>
              <w:ind w:left="20"/>
              <w:spacing w:after="0"/>
              <w:rPr>
                <w:sz w:val="20"/>
                <w:szCs w:val="20"/>
                <w:color w:val="auto"/>
              </w:rPr>
            </w:pPr>
            <w:r>
              <w:rPr>
                <w:rFonts w:ascii="Arial" w:cs="Arial" w:eastAsia="Arial" w:hAnsi="Arial"/>
                <w:sz w:val="18"/>
                <w:szCs w:val="18"/>
                <w:color w:val="auto"/>
              </w:rPr>
              <w:t>Ashley Evans</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41</w:t>
            </w: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Ms. Evans has served as a member of the board of directors of ZoomInfo Technologies Inc. since February 2020</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7"/>
              </w:rPr>
              <w:t>and served as a member of the Board of Managers of ZoomInfo Holdings LLC from 2018 to June 2020. Ms.</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1"/>
              </w:rPr>
              <w:t>Evans is a Managing Director in the Technology, Media and Telecom group of The Carlyle Group, a private equity</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4"/>
              </w:rPr>
              <w:t>firm and an affiliate of the Company, which she joined in 2006. Ms. Evans also currently serves on the board of</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private companies, including HireVue, Inc., Jagex, TriNetX and Veritas Technologies Corporation. Ms. Evans</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8"/>
              </w:rPr>
              <w:t>holds an A.B. from Harvard College, a M.Phil from the University of Cambridge, and a MBA from Stanford</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University.</w:t>
            </w:r>
          </w:p>
        </w:tc>
      </w:tr>
      <w:tr>
        <w:trPr>
          <w:trHeight w:val="445"/>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Nomination considerations: Ms. Evans’ significant core business skills, including financial and strategic planning,</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and her extensive management experience, including her involvement with Carlyle.</w:t>
            </w:r>
          </w:p>
        </w:tc>
      </w:tr>
      <w:tr>
        <w:trPr>
          <w:trHeight w:val="499"/>
        </w:trPr>
        <w:tc>
          <w:tcPr>
            <w:tcW w:w="1760" w:type="dxa"/>
            <w:vAlign w:val="bottom"/>
          </w:tcPr>
          <w:p>
            <w:pPr>
              <w:ind w:left="20"/>
              <w:spacing w:after="0"/>
              <w:rPr>
                <w:sz w:val="20"/>
                <w:szCs w:val="20"/>
                <w:color w:val="auto"/>
              </w:rPr>
            </w:pPr>
            <w:r>
              <w:rPr>
                <w:rFonts w:ascii="Arial" w:cs="Arial" w:eastAsia="Arial" w:hAnsi="Arial"/>
                <w:sz w:val="18"/>
                <w:szCs w:val="18"/>
                <w:color w:val="auto"/>
              </w:rPr>
              <w:t>D. Randall Winn</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51</w:t>
            </w: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Mr. Winn has served as a member of the board of directors of ZoomInfo Technologies Inc. since February 2020</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2014 to June 2020. Mr. Winn</w:t>
            </w:r>
          </w:p>
        </w:tc>
      </w:tr>
    </w:tbl>
    <w:p>
      <w:pPr>
        <w:jc w:val="both"/>
        <w:ind w:left="2920" w:right="20"/>
        <w:spacing w:after="0" w:line="268" w:lineRule="auto"/>
        <w:rPr>
          <w:sz w:val="20"/>
          <w:szCs w:val="20"/>
          <w:color w:val="auto"/>
        </w:rPr>
      </w:pPr>
      <w:r>
        <w:rPr>
          <w:rFonts w:ascii="Arial" w:cs="Arial" w:eastAsia="Arial" w:hAnsi="Arial"/>
          <w:sz w:val="17"/>
          <w:szCs w:val="17"/>
          <w:color w:val="auto"/>
        </w:rPr>
        <w:t>currently serves as a Managing Member of 22C Capital, a principal investment firm and an affiliate of the Company, which he founded in 2017 and also serves as Managing Member of FiveW Capital LLC. In addition to serving on our board, Mr. Winn currently serves on the boards of private companies, including Definitive Healthcare and Canoe Software.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210" w:lineRule="exact"/>
        <w:rPr>
          <w:sz w:val="20"/>
          <w:szCs w:val="20"/>
          <w:color w:val="auto"/>
        </w:rPr>
      </w:pPr>
    </w:p>
    <w:p>
      <w:pPr>
        <w:jc w:val="both"/>
        <w:ind w:left="2920" w:right="20"/>
        <w:spacing w:after="0" w:line="342" w:lineRule="auto"/>
        <w:rPr>
          <w:sz w:val="20"/>
          <w:szCs w:val="20"/>
          <w:color w:val="auto"/>
        </w:rPr>
      </w:pPr>
      <w:r>
        <w:rPr>
          <w:rFonts w:ascii="Arial" w:cs="Arial" w:eastAsia="Arial" w:hAnsi="Arial"/>
          <w:sz w:val="16"/>
          <w:szCs w:val="16"/>
          <w:color w:val="auto"/>
        </w:rPr>
        <w:t>Nomination considerations: Mr. Winn’s deep knowledge of our industry, extensive financial and business skills, including strategic planning, and his significant management and leadership experience, including with CapitalIQ.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AND CERTAIN GOVERNANCE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manages or directs our business and affairs, as provided by Delaware law, and conducts its business through meetings of the Board of Directors and four standing committees: the Audit Committee; the Compensation Committee; the Nominating and Corporate Governance Committee; and the Privacy, Security, and Technology Committee.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evaluates the Company’s corporate governance policies on an ongoing basis with a view towards maintaining the best corporate governance practices in the context of the Company’s current business environment and aligning our governance practices closely with the interests of our stockholders. Our Board and management value the perspective of our stockholders and encourage stockholders to communicate with the Board as described under “―Communications with the Board” below.</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stockholders agreement described under “Transactions with Related Persons—Stockholders Agreement” provides that certain affiliates of investment funds associated with TA Associates (“TA Associates”), investment funds associated with Carlyle (“Carlyle”), and Henry Schuck, our Chief Executive Officer, and Kirk Brown (our “Founders”) have the right to designate nominees to our board of directors subject to the maintenance of certain ownership requirements in us. Ms. Evans and Mr. McCarter are director nominees of Carlyle, Messrs. Crockett and Mironov are director nominees of TA Associates, and Mr. Schuck is a director nominee of the Founders, in each case pursuant to the stockholders agreement entered into among us and certain affiliates of TA Associates, Carlyle, and our Founders in connection with our initial public offering (the “IPO”). The stockholders agreement provides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 accordingly decreased upon the resignation of the applicable designee.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Independence Determinations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Corporate Governance Guidelines and Nasdaq rules, a director is not independent unless our Board of Directors affirmatively determines that he or she does not have a have a relationship which, in the opinion of our Board of Directors, would interfere with the exercise of independent judgment in carrying out the responsibilities of a director.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Governance Guidelines define independence in accordance with the independence definition in the current Nasdaq corporate governance standards for listed companies. Our Corporate Governance Guidelines require our Board of Directors to review the independence of all directors at least annually, subject to a determination by us to rely on the exemption available to controlled companies and the applicable transition period under the applicable Nasdaq rules.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 director has a relationship with the Company that is relevant to his or her independence and is not addressed by the objective tests set forth in the Nasdaq independence definition, our Board of Directors will determine, considering all relevant facts and circumstances, whether such relationship is material.</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has affirmatively determined that each of Ms. Evans and Messrs. Crockett, Dhruv, Enright, Mader, Mironov, McCarter and Winn is independent under the guidelines for director independence set forth in the Corporate Governance Guidelines and under all applicable Nasdaq guidelines, including with respect to committee membership. Our Board also has determined that each of Messrs. Dhruv, Mader and Winn is “independent” for purposes of Section 10A(m)(3) of the Securities Exchange Act of 1934, as amended (the “Exchange Act”), and that each of Messrs. Crockett, McCarter and Winn is “independent” for purposes of Section 10C(a)(3) of the Exchange Act. In making its independence determinations, our Board of Directors considered and reviewed all information known to it (including information identified through annual directors’ questionnaires).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Nominating and Corporate Governance Committee weighs the characteristics, experience, independence and skills of potential candidates for election to the Board and recommends nominees for director to the Board for election. In considering candidates for the Board, the Nominating and Corporate Governance Committee also assesses the size, composition and combined expertise of the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strength of character, judgment, familiarity with the Company’s business and industry, independence of thought and his or her ability to work collegially with the other members of the Board. In addition, although the Board considers diversity of viewpoints, background and experiences, the Board does not have a formal diversity policy. 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utilizes the same criteria for evaluating candidates regardless of the source of the referral. When considering director candidates, the Nominating and Corporate Governance Committee seeks individuals with backgrounds and qualities that, when combined with those of our incumbent directors, provide a blend of skills and experience to further enhance the Board’s effectiveness.</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recommending that, or determining whether, members of the Board should stand for re-election, the Nominating and Corporate Governance Committee also may assess the contributions of incumbent directors in the context of the Board evaluation process and other perceived needs of the Board.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process described above, the Nominating and Corporate Governance Committee also nominates a number of individuals designated by TA Associates, Carlyle, and our Founders as required under the provisions of the stockholders agreement described under “Transactions With Related Persons—Stockholders Agreement.” Ms. Evans and Mr. McCarter are director nominees of Carlyle, Messrs. Crockett and Mironov are director nominees of TA Associates, and Mr. Schuck is a director nominee of the Founders pursuant to the stockholders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considering whether the nominees have the experience, qualifications, attributes and skills, taken as a whole, to enable the Board to satisfy its oversight responsibilities effectively in light of our business and structure, the Board focused primarily on the information discussed in each board member’s biographical information set forth above. This process resulted in the Board’s nomination of the incumbent directors named in this Proxy Statement and proposed for election by you at the upcoming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directors provide an appropriate mix of experience and skills relevant to the size and nature of our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the Nominating and Corporate Governance Committee and the Board include diversity of “viewpoints, background and experience” as part of several criteria that they consider in connection with selecting candidates for the Board. While neither the Board nor the Nominating and Corporate Governance Committee has a formal diversity policy, one of many factors that the Board and the Nominating and Corporate Governance Committee carefully consider is the importance to the Company of ethnic and gender diversity in board composition. Of the nine current members of our Board, two are diverse, including one who is female and one who is ethnically diverse. Moreover, an ethnically diverse director and a female director each holds a Board leadership role.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but must include all information relating to such person that is required to be disclosed in solicitations of proxies for election of directors in an election contest, or is otherwise required, in each case pursuant to Section 14(a) of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Act, and the rules and regulations promulgated thereunder, including such person’s written consent to being named in the Company’s proxy statement as a nominee of the stockholder and to serving as a director if elected. Stockholders wishing to propose a candidate for consideration may do so by submitting the above information to the attention of the Secretary, ZoomInfo Technologies Inc., at 805 Broadway Street, Suite 900, Vancouver, Washington 98660. All recommendations for nomination received by the Secretary that satisfy our Bylaw requirements relating to director nominations will be presented to the Nominating and Corporate Governance Committee for its consideration. Stockholders also must satisfy the notification, timeliness, consent and information requirements set forth in our Bylaws. These requirements are also described under “Stockholder Proposals for the 2022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Exception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5, 2021, the parties to our stockholders agreement, described in “Certain Relationships and Related Person Transactions—Stockholders Agreement,” beneficially owned approximately 87.1% of the combined voting power of our Class A, Class B, and Class C common stock. As a result, we are a “controlled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our board 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We have utilized and may continue to utilize these exemptions from time to time in the future. Accordingly, you will not have the same protections afforded to stockholders of companies that are subject to these corporate governance requirements. In the event that we cease to be a “controlled company” and our shares continue to be listed on the Nasdaq, we will be required to comply with these provisions within the applicable transition periods.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of Directors is led by Mr. Schuck, our Chairman of the Board and Chief Executive Officer. The Board maintains the flexibility to determine whether the roles of Chairman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Chairman, would not result in better governance or oversight. By combining the role of Chairman and Chief Executive Officer in Mr. Schuck, one of our Founders, we have ensured that the Chairman of the Board has a unique understanding of our Company as well as ongoing executive responsibility for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Governance Guidelines provide that whenever the Chairman of our Board is also the Chief Executive Officer or is a director who does not otherwise qualify as an “independent director,” the independent directors may, but are not obligated to, elect from among themselves a Lead Director. The independent directors have not elected a Lead Director at this time.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Executive sessions, which are meetings of the non-management members of the Board, are regularly scheduled throughout the year. In addition, at least once a year, the independent directors meet in a private session that excludes management and any non-independent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of Directors, including each of the committees of the Board, or with the non-management or independent directors as a group, may do so by addressing such communications or concerns to the General Counsel of the Company, at 805 Broadway Street, Suite 900, Vancouver, Washington 98660, who will forward such communication to the appropriate party.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summarizes the current membership of each of the Board’s committees and the number of meetings held by each committee during the year ended December 31, 2020.</w:t>
      </w:r>
    </w:p>
    <w:tbl>
      <w:tblPr>
        <w:tblLayout w:type="fixed"/>
        <w:tblInd w:w="4200" w:type="dxa"/>
        <w:tblCellMar>
          <w:top w:w="0" w:type="dxa"/>
          <w:left w:w="0" w:type="dxa"/>
          <w:bottom w:w="0" w:type="dxa"/>
          <w:right w:w="0" w:type="dxa"/>
        </w:tblCellMar>
      </w:tblPr>
      <w:tr>
        <w:trPr>
          <w:trHeight w:val="145"/>
        </w:trPr>
        <w:tc>
          <w:tcPr>
            <w:tcW w:w="1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w w:val="94"/>
              </w:rPr>
              <w:t>Nominating and</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vMerge w:val="restart"/>
          </w:tcPr>
          <w:p>
            <w:pPr>
              <w:jc w:val="center"/>
              <w:ind w:right="508"/>
              <w:spacing w:after="0"/>
              <w:rPr>
                <w:sz w:val="20"/>
                <w:szCs w:val="20"/>
                <w:color w:val="auto"/>
              </w:rPr>
            </w:pPr>
            <w:r>
              <w:rPr>
                <w:rFonts w:ascii="Arial" w:cs="Arial" w:eastAsia="Arial" w:hAnsi="Arial"/>
                <w:sz w:val="14"/>
                <w:szCs w:val="14"/>
                <w:b w:val="1"/>
                <w:bCs w:val="1"/>
                <w:color w:val="auto"/>
              </w:rPr>
              <w:t>Audit</w:t>
            </w:r>
          </w:p>
        </w:tc>
        <w:tc>
          <w:tcPr>
            <w:tcW w:w="19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2"/>
              </w:rPr>
              <w:t>Compensation</w:t>
            </w:r>
          </w:p>
        </w:tc>
        <w:tc>
          <w:tcPr>
            <w:tcW w:w="186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5"/>
              </w:rPr>
              <w:t>Corporate</w:t>
            </w:r>
          </w:p>
        </w:tc>
        <w:tc>
          <w:tcPr>
            <w:tcW w:w="17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3"/>
              </w:rPr>
              <w:t>Privacy, Security and</w:t>
            </w:r>
          </w:p>
        </w:tc>
        <w:tc>
          <w:tcPr>
            <w:tcW w:w="0" w:type="dxa"/>
            <w:vAlign w:val="bottom"/>
          </w:tcPr>
          <w:p>
            <w:pPr>
              <w:spacing w:after="0"/>
              <w:rPr>
                <w:sz w:val="1"/>
                <w:szCs w:val="1"/>
                <w:color w:val="auto"/>
              </w:rPr>
            </w:pPr>
          </w:p>
        </w:tc>
      </w:tr>
      <w:tr>
        <w:trPr>
          <w:trHeight w:val="135"/>
        </w:trPr>
        <w:tc>
          <w:tcPr>
            <w:tcW w:w="126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1860" w:type="dxa"/>
            <w:vAlign w:val="bottom"/>
          </w:tcPr>
          <w:p>
            <w:pPr>
              <w:jc w:val="center"/>
              <w:ind w:left="68"/>
              <w:spacing w:after="0" w:line="135" w:lineRule="exact"/>
              <w:rPr>
                <w:sz w:val="20"/>
                <w:szCs w:val="20"/>
                <w:color w:val="auto"/>
              </w:rPr>
            </w:pPr>
            <w:r>
              <w:rPr>
                <w:rFonts w:ascii="Arial" w:cs="Arial" w:eastAsia="Arial" w:hAnsi="Arial"/>
                <w:sz w:val="14"/>
                <w:szCs w:val="14"/>
                <w:b w:val="1"/>
                <w:bCs w:val="1"/>
                <w:color w:val="auto"/>
                <w:w w:val="93"/>
              </w:rPr>
              <w:t>Governance</w:t>
            </w: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tcPr>
          <w:p>
            <w:pPr>
              <w:jc w:val="center"/>
              <w:ind w:right="508"/>
              <w:spacing w:after="0"/>
              <w:rPr>
                <w:sz w:val="20"/>
                <w:szCs w:val="20"/>
                <w:color w:val="auto"/>
              </w:rPr>
            </w:pPr>
            <w:r>
              <w:rPr>
                <w:rFonts w:ascii="Arial" w:cs="Arial" w:eastAsia="Arial" w:hAnsi="Arial"/>
                <w:sz w:val="14"/>
                <w:szCs w:val="14"/>
                <w:b w:val="1"/>
                <w:bCs w:val="1"/>
                <w:color w:val="auto"/>
                <w:w w:val="93"/>
              </w:rPr>
              <w:t>Committee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86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Committee</w:t>
            </w:r>
          </w:p>
        </w:tc>
        <w:tc>
          <w:tcPr>
            <w:tcW w:w="176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Technology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2489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Crockett</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Mitesh Dhruv</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Enright</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Ashley Evans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Mader</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McCarter</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Mironov</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Henry Schuck</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Randall Winn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Number of meetings held in 2020: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060"/>
        <w:spacing w:after="0"/>
        <w:tabs>
          <w:tab w:leader="none" w:pos="398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74930</wp:posOffset>
            </wp:positionV>
            <wp:extent cx="7115175" cy="248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pacing w:after="0" w:line="16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Chair</w:t>
      </w:r>
    </w:p>
    <w:p>
      <w:pPr>
        <w:spacing w:after="0" w:line="154" w:lineRule="exact"/>
        <w:rPr>
          <w:sz w:val="20"/>
          <w:szCs w:val="20"/>
          <w:color w:val="auto"/>
        </w:rPr>
      </w:pPr>
    </w:p>
    <w:p>
      <w:pPr>
        <w:ind w:left="3860"/>
        <w:spacing w:after="0"/>
        <w:tabs>
          <w:tab w:leader="none" w:pos="5900" w:val="left"/>
        </w:tabs>
        <w:rPr>
          <w:sz w:val="20"/>
          <w:szCs w:val="20"/>
          <w:color w:val="auto"/>
        </w:rPr>
      </w:pP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109220</wp:posOffset>
            </wp:positionV>
            <wp:extent cx="711517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48920"/>
                    </a:xfrm>
                    <a:prstGeom prst="rect">
                      <a:avLst/>
                    </a:prstGeom>
                    <a:noFill/>
                  </pic:spPr>
                </pic:pic>
              </a:graphicData>
            </a:graphic>
          </wp:anchor>
        </w:drawing>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109220</wp:posOffset>
            </wp:positionV>
            <wp:extent cx="7115175" cy="248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pacing w:after="0" w:line="1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109220</wp:posOffset>
            </wp:positionV>
            <wp:extent cx="7115175"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pacing w:after="0" w:line="165" w:lineRule="exact"/>
        <w:rPr>
          <w:sz w:val="20"/>
          <w:szCs w:val="20"/>
          <w:color w:val="auto"/>
        </w:rPr>
      </w:pPr>
    </w:p>
    <w:p>
      <w:pPr>
        <w:ind w:left="140"/>
        <w:spacing w:after="0"/>
        <w:tabs>
          <w:tab w:leader="none" w:pos="19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Chair</w:t>
      </w:r>
    </w:p>
    <w:p>
      <w:pPr>
        <w:spacing w:after="0" w:line="185" w:lineRule="exact"/>
        <w:rPr>
          <w:sz w:val="20"/>
          <w:szCs w:val="20"/>
          <w:color w:val="auto"/>
        </w:rPr>
      </w:pPr>
    </w:p>
    <w:p>
      <w:pPr>
        <w:ind w:left="160"/>
        <w:spacing w:after="0"/>
        <w:tabs>
          <w:tab w:leader="none" w:pos="2060" w:val="left"/>
          <w:tab w:leader="none" w:pos="4000" w:val="left"/>
          <w:tab w:leader="none" w:pos="59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3"/>
          <w:szCs w:val="13"/>
          <w:color w:val="auto"/>
        </w:rPr>
        <w:t>2</w:t>
      </w:r>
    </w:p>
    <w:p>
      <w:pPr>
        <w:spacing w:after="0" w:line="231" w:lineRule="exact"/>
        <w:rPr>
          <w:sz w:val="20"/>
          <w:szCs w:val="20"/>
          <w:color w:val="auto"/>
        </w:rPr>
      </w:pPr>
    </w:p>
    <w:p>
      <w:pPr>
        <w:sectPr>
          <w:pgSz w:w="11900" w:h="16838" w:orient="portrait"/>
          <w:cols w:equalWidth="0" w:num="2">
            <w:col w:w="3620" w:space="720"/>
            <w:col w:w="6900"/>
          </w:cols>
          <w:pgMar w:left="320" w:top="1440" w:right="339" w:bottom="1440" w:gutter="0" w:footer="0" w:header="0"/>
          <w:type w:val="continuous"/>
        </w:sectPr>
      </w:pP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Directors are expected to attend annual meetings of stockholders. During the year ended December 31, 2020, the Board held four meetings. In 2020, all of our directors attended at least 75% of the meetings of the Board and committees during the time in which he or she served as a member of the Board or such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consists of Messrs. Dhruv, Mader and Winn, with Mr. Dhruv serving as chair. All members of the Audit Committee have been determined to be “independent,” consistent with our Audit Committee charter, Corporate Governance Guidelines and the Nasdaq listing standards applicable to boards of directors in general and audit committees in particular. Our Board of Directors also has determined that Mr. Dhruv qualifies as an audit committee financial expert as defined by applicable Securities and Exchange Commission (“SEC”)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Audit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Highlights: Committee Charters: Audit Committee Charter, and include providing assistance to the Board with respect to its oversight of the following:</w:t>
      </w:r>
    </w:p>
    <w:p>
      <w:pPr>
        <w:spacing w:after="0" w:line="168" w:lineRule="exact"/>
        <w:rPr>
          <w:sz w:val="20"/>
          <w:szCs w:val="20"/>
          <w:color w:val="auto"/>
        </w:rPr>
      </w:pPr>
    </w:p>
    <w:p>
      <w:pPr>
        <w:ind w:left="1060" w:right="260" w:hanging="481"/>
        <w:spacing w:after="0" w:line="23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integrity of the Company’s financial statements, including oversight of the Company’s financial reporting processes and financial statement audits;</w:t>
      </w:r>
    </w:p>
    <w:p>
      <w:pPr>
        <w:spacing w:after="0" w:line="53" w:lineRule="exact"/>
        <w:rPr>
          <w:rFonts w:ascii="Arial" w:cs="Arial" w:eastAsia="Arial" w:hAnsi="Arial"/>
          <w:sz w:val="18"/>
          <w:szCs w:val="18"/>
          <w:color w:val="auto"/>
        </w:rPr>
      </w:pPr>
    </w:p>
    <w:p>
      <w:pPr>
        <w:ind w:left="1060" w:right="260" w:hanging="481"/>
        <w:spacing w:after="0" w:line="23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applicable to financial statements and accounting and financial reporting processes;</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independent registered public accounting firm’s qualifications, performance and independence;</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assessment and management, particularly with respect to financial risk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also prepares the report of the committee required by the rules and regulations of the SEC to be included in our annual proxy statement.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reporting and disclosure matters, the responsibilities and duties of the Audit Committee include reviewing and discussing with management and the independent registered public accounting firm our annual audited financial statements and quarterly financial statements prior to inclusion in our Annual Report on Form 10-K, Quarterly Reports on Form 10-Q or other public filings in accordance with applicable rules and regulations of the SEC.</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charter of the Audit Committee permits the committee to delegate any or all of its authority to one or more subcommittees. In addition, the Audit Committee has the authority under its charter to engage independent counsel and other advisors as it deems necessary or advisable.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Compensation Committee consists of Messrs. Crockett, McCarter and Winn, with Mr. Winn serving as chair. All members of the Compensation Committee have been determined to be “independent” as defined by our Corporate Governance Guidelines and the Nasdaq listing standards applicable to boards of directors in general and compensation committees in particular.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Compensation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Governance Highlights: Committee Charters: Compensation Committee Charter, and include the following:</w:t>
      </w:r>
    </w:p>
    <w:p>
      <w:pPr>
        <w:spacing w:after="0" w:line="157" w:lineRule="exact"/>
        <w:rPr>
          <w:sz w:val="20"/>
          <w:szCs w:val="20"/>
          <w:color w:val="auto"/>
        </w:rPr>
      </w:pPr>
    </w:p>
    <w:p>
      <w:pPr>
        <w:ind w:left="1060" w:hanging="48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reviewing of the overall compensation philosophy of the Company;</w:t>
      </w:r>
    </w:p>
    <w:p>
      <w:pPr>
        <w:spacing w:after="0" w:line="252" w:lineRule="exact"/>
        <w:rPr>
          <w:rFonts w:ascii="Arial" w:cs="Arial" w:eastAsia="Arial" w:hAnsi="Arial"/>
          <w:sz w:val="18"/>
          <w:szCs w:val="18"/>
          <w:color w:val="auto"/>
        </w:rPr>
      </w:pPr>
    </w:p>
    <w:p>
      <w:pPr>
        <w:jc w:val="both"/>
        <w:ind w:left="1100" w:right="220" w:hanging="494"/>
        <w:spacing w:after="0" w:line="219" w:lineRule="auto"/>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08" w:lineRule="exact"/>
        <w:rPr>
          <w:rFonts w:ascii="Arial" w:cs="Arial" w:eastAsia="Arial" w:hAnsi="Arial"/>
          <w:sz w:val="18"/>
          <w:szCs w:val="18"/>
          <w:color w:val="auto"/>
        </w:rPr>
      </w:pPr>
    </w:p>
    <w:p>
      <w:pPr>
        <w:ind w:left="1100" w:right="240" w:hanging="494"/>
        <w:spacing w:after="0" w:line="235" w:lineRule="auto"/>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21" w:lineRule="exact"/>
        <w:rPr>
          <w:rFonts w:ascii="Arial" w:cs="Arial" w:eastAsia="Arial" w:hAnsi="Arial"/>
          <w:sz w:val="18"/>
          <w:szCs w:val="18"/>
          <w:color w:val="auto"/>
        </w:rPr>
      </w:pPr>
    </w:p>
    <w:p>
      <w:pPr>
        <w:ind w:left="1100" w:hanging="494"/>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reviewing and recommending the compensation of our directors;</w:t>
      </w:r>
    </w:p>
    <w:p>
      <w:pPr>
        <w:spacing w:after="0" w:line="144" w:lineRule="exact"/>
        <w:rPr>
          <w:rFonts w:ascii="Arial" w:cs="Arial" w:eastAsia="Arial" w:hAnsi="Arial"/>
          <w:sz w:val="18"/>
          <w:szCs w:val="18"/>
          <w:color w:val="auto"/>
        </w:rPr>
      </w:pPr>
    </w:p>
    <w:p>
      <w:pPr>
        <w:ind w:left="1060" w:hanging="48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with respect to our equity compensation plans; and</w:t>
      </w:r>
    </w:p>
    <w:p>
      <w:pPr>
        <w:spacing w:after="0" w:line="238" w:lineRule="exact"/>
        <w:rPr>
          <w:rFonts w:ascii="Arial" w:cs="Arial" w:eastAsia="Arial" w:hAnsi="Arial"/>
          <w:sz w:val="18"/>
          <w:szCs w:val="18"/>
          <w:color w:val="auto"/>
        </w:rPr>
      </w:pPr>
    </w:p>
    <w:p>
      <w:pPr>
        <w:ind w:left="1060" w:hanging="48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monitoring our regulatory compliance with respect to compensation matters.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charter of the Compensation Committee permits the committee to delegate any or all of its authority to one or more subcommittees and to delegate to one or more of our officers the authority to make awards to persons other than any Section 16 officer under our incentive compensation or other equity-based plan, subject to compliance with the plan and the laws of our state of incorporation. In addition, the Compensation Committee has the authority under its charter to retain outside consultants or advisors, as it deems necessary or advisable.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IPO, our Compensation Committee has been responsible for making all executive compensation determinations. Mr. Schuck works closely with the Compensation Committee in managing the executive compensation program and attends some meetings of the Compensation Committee. He does not participate in the determination of his own compensation.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the Compensation Committee retained Compensia, Inc. (“Compensia”) to advise the Compensation Committee with respect to executive officer compensation, including executive and non-employee director compensation programs, individual compensation levels, the peer companies used to assess compensation levels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marketplace trends in executive compensation. In addition, Compensia advised the Compensation Committee with respect to our post-IPO equity compensation program design, the design of our potential employee stock purchase plan, severance and change in control terms, and our company-wide equity strategy. Compensia does not provide any services to the Company other than advising on executive officer and non-employee director compensation. In February 2021, the Compensation Committee determined that Compensia is independent from management and that Compensia’s work has not raised any conflicts of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Nominating and Corporate Governance Committee consists of Mr. Crockett and Ms. Evans, with Ms. Evans serving as chair. All members of the Nominating and Corporate Governance Committee have been determined to be “independent” as defined by our Corporate Governance Guidelines and the Nasdaq listing standards applicable to boards of directors in general.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duties and responsibilities of the Nominating and Corporate Governance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Nominating and Corporate Governance Committee Charter, and include providing assistance to the Board with respect to the following:</w:t>
      </w:r>
    </w:p>
    <w:p>
      <w:pPr>
        <w:spacing w:after="0" w:line="130" w:lineRule="exact"/>
        <w:rPr>
          <w:sz w:val="20"/>
          <w:szCs w:val="20"/>
          <w:color w:val="auto"/>
        </w:rPr>
      </w:pPr>
    </w:p>
    <w:p>
      <w:pPr>
        <w:ind w:left="1060" w:right="280" w:hanging="481"/>
        <w:spacing w:after="0" w:line="22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230" w:lineRule="exact"/>
        <w:rPr>
          <w:rFonts w:ascii="Arial" w:cs="Arial" w:eastAsia="Arial" w:hAnsi="Arial"/>
          <w:sz w:val="18"/>
          <w:szCs w:val="18"/>
          <w:color w:val="auto"/>
        </w:rPr>
      </w:pPr>
    </w:p>
    <w:p>
      <w:pPr>
        <w:ind w:left="1100" w:right="360" w:hanging="494"/>
        <w:spacing w:after="0" w:line="235" w:lineRule="auto"/>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applicable to the Company and assisting the Board in complying with them;</w:t>
      </w:r>
    </w:p>
    <w:p>
      <w:pPr>
        <w:spacing w:after="0" w:line="107" w:lineRule="exact"/>
        <w:rPr>
          <w:rFonts w:ascii="Arial" w:cs="Arial" w:eastAsia="Arial" w:hAnsi="Arial"/>
          <w:sz w:val="18"/>
          <w:szCs w:val="18"/>
          <w:color w:val="auto"/>
        </w:rPr>
      </w:pPr>
    </w:p>
    <w:p>
      <w:pPr>
        <w:ind w:left="1100" w:hanging="494"/>
        <w:spacing w:after="0"/>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w:t>
      </w:r>
    </w:p>
    <w:p>
      <w:pPr>
        <w:spacing w:after="0" w:line="144" w:lineRule="exact"/>
        <w:rPr>
          <w:rFonts w:ascii="Arial" w:cs="Arial" w:eastAsia="Arial" w:hAnsi="Arial"/>
          <w:sz w:val="18"/>
          <w:szCs w:val="18"/>
          <w:color w:val="auto"/>
        </w:rPr>
      </w:pPr>
    </w:p>
    <w:p>
      <w:pPr>
        <w:ind w:left="1100" w:right="340" w:hanging="494"/>
        <w:spacing w:after="0" w:line="235" w:lineRule="auto"/>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recommending to the Board the members of the Board to serve on the various committees of the Board and evaluating the functions and performance of such committees; and</w:t>
      </w:r>
    </w:p>
    <w:p>
      <w:pPr>
        <w:spacing w:after="0" w:line="121" w:lineRule="exact"/>
        <w:rPr>
          <w:rFonts w:ascii="Arial" w:cs="Arial" w:eastAsia="Arial" w:hAnsi="Arial"/>
          <w:sz w:val="18"/>
          <w:szCs w:val="18"/>
          <w:color w:val="auto"/>
        </w:rPr>
      </w:pPr>
    </w:p>
    <w:p>
      <w:pPr>
        <w:ind w:left="1100" w:hanging="494"/>
        <w:spacing w:after="0"/>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otherwise taking a leadership role in shaping the corporate governance of the Company.</w:t>
      </w:r>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Nominating and Corporate Governance Committee permits the committee to delegate any or all of its authority to one or more subcommittees. In addition, the Nominating and Corporate Governance Committee has the authority under its charter to retain outside counsel or other experts as it deems necessary or advisable.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Security and Technology Committee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Privacy, Security and Technology Committee consists of Ms. Evans and Messrs. Enright, Mironov and Schuck, with Mr. Enright serving as chair. The purpose and responsibilities of the Privacy, Security and Technology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Privacy, Security and Technology Committee Charter, and include reviewing and discussing with Company management the Company’s major risk exposures relating to privacy, cybersecurity, and technology, and the steps the Company takes to detect, monitor, and actively manage such exposures.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Privacy, Security and Technology Committee permits the committee to delegate any or all of its authority to one or more subcommittees consisting of one or more independent members. In addition, the Privacy, Security and Technology Committee has the authority under its charter to retain external consultants and other advisors as it deems appropriate to support its work.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and Corporate Governance Guidelines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appropriate in light of emerging practices, revised accordingly, upon recommendation to and approval by our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Corporate Governance Guidelines, Audit Committee, Compensation Committee, Nominating and Corporate Governance Committee, and Privacy, Security and Technology Committee charters, and other corporate governance information are available on our website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Any stockholder also may request them in print, without charge, by contacting the Secretary of ZoomInfo Technologies Inc., at 805 Broadway Street, Suite 900, Vancouver, Washington 98660.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maintain a Code of Business Conduct and Ethics that is applicable to all of our directors, officers and employees, including our Chairman and Chief Executive Officer, Chief Financial Officer, Chief Accounting Officer and other senior officers. The Code of Business Conduct &amp; Ethics sets forth our policies and expectations on a number of topics, including conflicts of interest, corporate opportunities, confidentiality, compliance with laws (including insider trading laws), use of our assets and business conduct and fair dealing. This Code of Business Conduct and Ethics also satisfies the requirements for a code of ethics, as defined by Item 406 of Regulation S-K promulgated by the SEC. The Code of Business Conduct and Ethics may be found on our website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 Highlights: Governance Documents: Code of Business Conduct and Ethics.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disclose within four business days any substantive changes in or waivers of the Code of Business Conduct and Ethics granted to our principal executive officer, principal financial officer, principal accounting officer or controller, or persons performing similar functions, by posting such information on our website as set forth above rather than by filing a Form 8-K. In the case of a waiver for an executive officer or a director, the required disclosure also will be made available on our website within four business days of the date of such waiver.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Board has extensive involvement in the oversight of risk management related to us and our business. The Board accomplishes this oversight both directly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Privacy, Security and Technology Committee, represents the Board by periodically reviewing and discussing with Company management the Company’s major risk exposures relating to privacy, cybersecurity, and technology, and the steps the Company takes to detect, monitor, and actively manage such exposures.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Securities Trading Policy requires executive officers and directors to consult the Company’s General Counsel prior to engaging in transactions involving the Company’s securities. In order to protect the Company from exposure under insider trading laws, executive officers and directors are encouraged to enter into pre-programmed trading plans under Exchange Act Rule 10b5-1. The Company’s Securities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prohibits directors and employees (including officers) from trading in options, warrants, puts and calls or similar instruments on the Company’s securities or selling such securities short. In addition, directors and employees (including officers) are prohibited from engaging in any transactions (including variable forward contracts, equity swaps, collars and exchange funds) that are designed to hedge or offset any decrease in the market value of the Company’s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2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Set forth below is certain information regarding each of our current executive officers other than Mr. Schuck, whose biographical information is presented under “Nominees for Election to the Board of Directors in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8"/>
              </w:rPr>
              <w:t>Age</w:t>
            </w:r>
          </w:p>
        </w:tc>
        <w:tc>
          <w:tcPr>
            <w:tcW w:w="84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Principal occupation and other information</w:t>
            </w:r>
          </w:p>
        </w:tc>
      </w:tr>
      <w:tr>
        <w:trPr>
          <w:trHeight w:val="169"/>
        </w:trPr>
        <w:tc>
          <w:tcPr>
            <w:tcW w:w="1720" w:type="dxa"/>
            <w:vAlign w:val="bottom"/>
          </w:tcPr>
          <w:p>
            <w:pPr>
              <w:ind w:left="20"/>
              <w:spacing w:after="0" w:line="169" w:lineRule="exact"/>
              <w:rPr>
                <w:sz w:val="20"/>
                <w:szCs w:val="20"/>
                <w:color w:val="auto"/>
              </w:rPr>
            </w:pPr>
            <w:r>
              <w:rPr>
                <w:rFonts w:ascii="Arial" w:cs="Arial" w:eastAsia="Arial" w:hAnsi="Arial"/>
                <w:sz w:val="18"/>
                <w:szCs w:val="18"/>
                <w:color w:val="auto"/>
              </w:rPr>
              <w:t>Cameron Hyzer</w:t>
            </w:r>
          </w:p>
        </w:tc>
        <w:tc>
          <w:tcPr>
            <w:tcW w:w="1040" w:type="dxa"/>
            <w:vAlign w:val="bottom"/>
          </w:tcPr>
          <w:p>
            <w:pPr>
              <w:jc w:val="center"/>
              <w:ind w:left="290"/>
              <w:spacing w:after="0" w:line="169" w:lineRule="exact"/>
              <w:rPr>
                <w:sz w:val="20"/>
                <w:szCs w:val="20"/>
                <w:color w:val="auto"/>
              </w:rPr>
            </w:pPr>
            <w:r>
              <w:rPr>
                <w:rFonts w:ascii="Arial" w:cs="Arial" w:eastAsia="Arial" w:hAnsi="Arial"/>
                <w:sz w:val="18"/>
                <w:szCs w:val="18"/>
                <w:color w:val="auto"/>
                <w:w w:val="89"/>
              </w:rPr>
              <w:t>46</w:t>
            </w:r>
          </w:p>
        </w:tc>
        <w:tc>
          <w:tcPr>
            <w:tcW w:w="8480" w:type="dxa"/>
            <w:vAlign w:val="bottom"/>
          </w:tcPr>
          <w:p>
            <w:pPr>
              <w:ind w:left="180"/>
              <w:spacing w:after="0" w:line="169" w:lineRule="exact"/>
              <w:rPr>
                <w:sz w:val="20"/>
                <w:szCs w:val="20"/>
                <w:color w:val="auto"/>
              </w:rPr>
            </w:pPr>
            <w:r>
              <w:rPr>
                <w:rFonts w:ascii="Arial" w:cs="Arial" w:eastAsia="Arial" w:hAnsi="Arial"/>
                <w:sz w:val="18"/>
                <w:szCs w:val="18"/>
                <w:color w:val="auto"/>
                <w:w w:val="95"/>
              </w:rPr>
              <w:t>Mr. Hyzer has served as Chief Financial Officer of ZoomInfo Holdings LLC since 2018 and as Chief Financial</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3"/>
              </w:rPr>
              <w:t>Officer of ZoomInfo Technologies Inc. since its formation in November 2019. Prior to joining ZoomInfo Holdings</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LLC, Mr. Hyzer served as the Chief Financial Officer and an Executive Managing Director of Eze Software Group</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0"/>
              </w:rPr>
              <w:t>LLC, a global provider of order management and investment technology to hedge funds and asset managers, from</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3"/>
              </w:rPr>
              <w:t>2013 to 2018 through its sale to SS&amp;C Technologies, Inc. Prior to that, Mr. Hyzer served as Managing Director,</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1"/>
              </w:rPr>
              <w:t>Controller and Treasurer of ConvergEx Group, a provider of global agency brokerage and investment technology,</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1"/>
              </w:rPr>
              <w:t>from 2007 to 2013 and Vice President of Finance at Eze Castle Software from 2005 to 2007. Earlier in his career,</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9"/>
              </w:rPr>
              <w:t>Mr. Hyzer served in executive and financial roles at other software and information companies, including</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6"/>
              </w:rPr>
              <w:t>Thomson Financial and Cramer Systems, and started his career in investment banking and private equity at</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Broadview International LLC and Broadview Capital Partners, LLC. Mr. Hyzer holds a B.S. in Economics from</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8"/>
              </w:rPr>
              <w:t>the University of Pennsylvania Wharton School and a B.S. in Electrical Engineering from the University of</w:t>
            </w:r>
          </w:p>
        </w:tc>
      </w:tr>
      <w:tr>
        <w:trPr>
          <w:trHeight w:val="229"/>
        </w:trPr>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Pennsylvania School of Engineering and Applied Science. Mr. Hyzer is also a CFA® charterholder.</w:t>
            </w: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Chris Hays</w:t>
            </w:r>
          </w:p>
        </w:tc>
        <w:tc>
          <w:tcPr>
            <w:tcW w:w="104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89"/>
              </w:rPr>
              <w:t>50</w:t>
            </w: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0"/>
              </w:rPr>
              <w:t>Mr. Hays has served as our Chief Operating Officer since February 2021. Prior to that, he served as Chief Revenue</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Officer of ZoomInfo Holdings LLC since February 2019 and as Chief Revenue Officer of ZoomInfo Technologies</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Inc. since its formation in November 2019. From 2016 to 2019, Mr. Hays served as Senior Director of Sales &amp;</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Marketing Operations, VP of Sales Operations and Chief Operating Officer of ZoomInfo Holdings LLC. Prior to</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rPr>
              <w:t>joining ZoomInfo OpCo, Mr. Hays co-founded Inside Sales Team, a provider of sales software and lead</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management, in 2008 and served as Head of Revenue Operations from 2008 to 2015. Prior to founding Inside</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Sales Team, Mr. Hays served as Director of Services Revenue at Avaya, a company specializing in business</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communications and services, from 2000 to 2008 and as Enterprise Sales representative of Lucent from 1995 to</w:t>
            </w:r>
          </w:p>
        </w:tc>
      </w:tr>
      <w:tr>
        <w:trPr>
          <w:trHeight w:val="229"/>
        </w:trPr>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2000. Mr. Hays holds a B.A. from the State University of New York Albany.</w:t>
            </w: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Nir Keren</w:t>
            </w:r>
          </w:p>
        </w:tc>
        <w:tc>
          <w:tcPr>
            <w:tcW w:w="104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89"/>
              </w:rPr>
              <w:t>35</w:t>
            </w: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Mr. Keren has served as Chief Technology Officer of ZoomInfo Technologies Inc. since 2020, ZoomInfo Holdings</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7"/>
              </w:rPr>
              <w:t>LLC since 2019, and at Zoom Information Inc. since 2015. Prior to joining Zoom Information Inc., Mr. Keren</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founded and served as Chief Technology Officer of adSAP, a company specializing in algorithms for Ad Tech,</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7"/>
              </w:rPr>
              <w:t>from 2015 to 2016. Prior to founding adSAP, Mr. Keren founded and served as Chief Technology Officer of</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rPr>
              <w:t>ONDiGO, a modern-day mobile CRM, from 2012 to 2015. Prior to founding ONDiGO, Mr. Keren was an</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embedded software engineer for Ceragon Networks in Tel Aviv from 2010 to 2012. Mr. Keren holds a B.Sc. in</w:t>
            </w:r>
          </w:p>
        </w:tc>
      </w:tr>
      <w:tr>
        <w:trPr>
          <w:trHeight w:val="230"/>
        </w:trPr>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Electrical and Computer Engineering from Ben-Gurion University.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4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PROPOSAL NO. 2—RATIFICATION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appointed KPMG LLP to serve as our independent registered public accounting firm for 2021.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KPMG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representative of KPMG LLP is expected to attend the Annual Meeting. The representative will also have the opportunity to make a statement if he or she desires to do so, and the representative is expected to be available to respond to appropriate questions.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shares represented by your proxy will be voted “FOR” the ratification of the selection of KPMG LLP unless you specify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the audit of the 2020 financial statements, we entered into an agreement with KPMG LLP which sets forth the terms by which KPMG LLP will perform audit services for the Company.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fees for professional services rendered by our independent registered public accounting firm, KPMG LLP for the audits of our annual consolidated financial statements for the years ended December 31, 2020 and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gridSpan w:val="2"/>
          </w:tcPr>
          <w:p>
            <w:pPr>
              <w:ind w:left="7560"/>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Pr>
          <w:p>
            <w:pPr>
              <w:jc w:val="right"/>
              <w:ind w:right="913"/>
              <w:spacing w:after="0"/>
              <w:rPr>
                <w:sz w:val="20"/>
                <w:szCs w:val="20"/>
                <w:color w:val="auto"/>
              </w:rPr>
            </w:pPr>
            <w:r>
              <w:rPr>
                <w:rFonts w:ascii="Arial" w:cs="Arial" w:eastAsia="Arial" w:hAnsi="Arial"/>
                <w:sz w:val="14"/>
                <w:szCs w:val="14"/>
                <w:b w:val="1"/>
                <w:bCs w:val="1"/>
                <w:color w:val="auto"/>
              </w:rPr>
              <w:t>2019</w:t>
            </w:r>
          </w:p>
        </w:tc>
      </w:tr>
      <w:tr>
        <w:trPr>
          <w:trHeight w:val="256"/>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r>
              <w:rPr>
                <w:rFonts w:ascii="Arial" w:cs="Arial" w:eastAsia="Arial" w:hAnsi="Arial"/>
                <w:sz w:val="14"/>
                <w:szCs w:val="14"/>
                <w:color w:val="auto"/>
              </w:rPr>
              <w:t>(1)</w:t>
            </w:r>
          </w:p>
        </w:tc>
        <w:tc>
          <w:tcPr>
            <w:tcW w:w="13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$1,129,944</w:t>
            </w:r>
          </w:p>
        </w:tc>
        <w:tc>
          <w:tcPr>
            <w:tcW w:w="80" w:type="dxa"/>
            <w:vAlign w:val="bottom"/>
            <w:tcBorders>
              <w:top w:val="single" w:sz="8" w:color="CCEEFF"/>
            </w:tcBorders>
            <w:shd w:val="clear" w:color="auto" w:fill="CCEEFF"/>
          </w:tcPr>
          <w:p>
            <w:pPr>
              <w:spacing w:after="0"/>
              <w:rPr>
                <w:sz w:val="22"/>
                <w:szCs w:val="22"/>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$231,206</w:t>
            </w:r>
          </w:p>
        </w:tc>
      </w:tr>
      <w:tr>
        <w:trPr>
          <w:trHeight w:val="230"/>
        </w:trPr>
        <w:tc>
          <w:tcPr>
            <w:tcW w:w="7940" w:type="dxa"/>
            <w:vAlign w:val="bottom"/>
            <w:gridSpan w:val="2"/>
          </w:tcPr>
          <w:p>
            <w:pPr>
              <w:ind w:left="20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4"/>
                <w:szCs w:val="14"/>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$1,929,105</w:t>
            </w:r>
          </w:p>
        </w:tc>
        <w:tc>
          <w:tcPr>
            <w:tcW w:w="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14"/>
                <w:szCs w:val="14"/>
                <w:color w:val="auto"/>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$2,513,924</w:t>
            </w:r>
          </w:p>
        </w:tc>
        <w:tc>
          <w:tcPr>
            <w:tcW w:w="80" w:type="dxa"/>
            <w:vAlign w:val="bottom"/>
            <w:shd w:val="clear" w:color="auto" w:fill="CCEEFF"/>
          </w:tcPr>
          <w:p>
            <w:pPr>
              <w:spacing w:after="0"/>
              <w:rPr>
                <w:sz w:val="23"/>
                <w:szCs w:val="23"/>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$133,065</w:t>
            </w:r>
          </w:p>
        </w:tc>
      </w:tr>
      <w:tr>
        <w:trPr>
          <w:trHeight w:val="230"/>
        </w:trPr>
        <w:tc>
          <w:tcPr>
            <w:tcW w:w="7940" w:type="dxa"/>
            <w:vAlign w:val="bottom"/>
            <w:gridSpan w:val="2"/>
          </w:tcPr>
          <w:p>
            <w:pPr>
              <w:ind w:left="200"/>
              <w:spacing w:after="0"/>
              <w:rPr>
                <w:sz w:val="20"/>
                <w:szCs w:val="20"/>
                <w:color w:val="auto"/>
              </w:rPr>
            </w:pPr>
            <w:r>
              <w:rPr>
                <w:rFonts w:ascii="Arial" w:cs="Arial" w:eastAsia="Arial" w:hAnsi="Arial"/>
                <w:sz w:val="18"/>
                <w:szCs w:val="18"/>
                <w:color w:val="auto"/>
              </w:rPr>
              <w:t>All other fees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$5,572,973</w:t>
            </w:r>
          </w:p>
        </w:tc>
        <w:tc>
          <w:tcPr>
            <w:tcW w:w="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986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40" w:right="260" w:hanging="414"/>
        <w:spacing w:after="0" w:line="224" w:lineRule="auto"/>
        <w:tabs>
          <w:tab w:leader="none" w:pos="4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the audit of the Company’s annual financial statements, reviews of financial statements, comfort letters and other services related to SEC matters. The fees are for services that are normally provided in connection with statutory or regulatory filings or engagements.</w:t>
      </w:r>
    </w:p>
    <w:p>
      <w:pPr>
        <w:spacing w:after="0" w:line="1" w:lineRule="exact"/>
        <w:rPr>
          <w:rFonts w:ascii="Arial" w:cs="Arial" w:eastAsia="Arial" w:hAnsi="Arial"/>
          <w:sz w:val="15"/>
          <w:szCs w:val="15"/>
          <w:color w:val="auto"/>
        </w:rPr>
      </w:pPr>
    </w:p>
    <w:p>
      <w:pPr>
        <w:ind w:left="440" w:right="540" w:hanging="414"/>
        <w:spacing w:after="0" w:line="234" w:lineRule="auto"/>
        <w:tabs>
          <w:tab w:leader="none" w:pos="4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Includes fees billed in 2020 for services performed that are related to the Company’s SEC filings (including costs relating to preparation of the Company’s registration statement filings) and other research and consultation services.</w:t>
      </w:r>
    </w:p>
    <w:p>
      <w:pPr>
        <w:spacing w:after="0" w:line="1" w:lineRule="exact"/>
        <w:rPr>
          <w:rFonts w:ascii="Arial" w:cs="Arial" w:eastAsia="Arial" w:hAnsi="Arial"/>
          <w:sz w:val="15"/>
          <w:szCs w:val="15"/>
          <w:color w:val="auto"/>
        </w:rPr>
      </w:pPr>
    </w:p>
    <w:p>
      <w:pPr>
        <w:ind w:left="440" w:right="260" w:hanging="414"/>
        <w:spacing w:after="0" w:line="234" w:lineRule="auto"/>
        <w:tabs>
          <w:tab w:leader="none" w:pos="4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tax compliance, tax advice and tax planning.</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services shown in this table for 2020 were pre-approved by the Audit Committee. All of the services shown in this table for 2019 were pre-approved by the Audit Committee of the Board of Managers of ZoomInfo Holdings LLC. Each Audit Committee considered whether providing the non-audit services shown in this table was compatible with maintaining KPMG LLP’s independence and concluded that it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for Services of Independent Registered Public Accounting Firm</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established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w:t>
      </w:r>
    </w:p>
    <w:p>
      <w:pPr>
        <w:spacing w:after="0" w:line="40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RATIFICATION OF KPMG LLP AS OUR INDEPENDENT REGISTERED PUBLIC ACCOUNTING FIRM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audited financial statements of the Company be included in the Annual Report on Form 10-K for the fiscal year ended December 31, 2020 filed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Mitesh Dhruv,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Mader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Randall Winn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qualify as an “emerging growth company” under the Jumpstart Our Business Startups Act of 2012. As a result, we are permitted to and rely on exemptions from certain disclosure requirements that are applicable to other companies that are not emerging growth companies. Accordingly, we have included compensation information for only our principal executive officer and our two next most highly compensated executive officers serving at fiscal year-end and have not included a compensation discussion and analysis of our executive compensation programs or tabular compensation information other than the Summary Compensation Table and the Outstanding Equity Awards table. In addition, for so long as we are an emerging growth company, we will not be required to submit certain executive compensation matters to our stockholders for advisory votes, such as “say-on-pay” and “say-on-frequency” of say-on-pay votes.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remain an emerging growth company until the earliest to occur of: (i) December 31, 2025; (ii) the last day of the fiscal year during which our annual gross revenues are $1.07 billion or more; (iii) the date on which we have, during the previous three-year period, issued more than $1.0 billion in non-convertible debt securities; or (iv) the end of any fiscal year in which we become a “large accelerated filer,” which means that we have been public for at least 12 months, have filed at least one annual report and the market value of our voting and non-voting common equity held by non-affiliates exceeds $700 million as of the last day of our most recently completed second fiscal 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Chief Executive Officer, Henry Schuck; our Chief Operating Officer, Chris Hays; and our Chief Technology Officer, Nir Keren, whom we refer to as our “Named Executive Officers” or “NEOs”, for their service for the fiscal years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Non-Equity Incentive</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9"/>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Stock Awards</w:t>
            </w:r>
          </w:p>
        </w:tc>
        <w:tc>
          <w:tcPr>
            <w:tcW w:w="15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1"/>
              </w:rPr>
              <w:t>Plan Compensation</w:t>
            </w:r>
          </w:p>
        </w:tc>
        <w:tc>
          <w:tcPr>
            <w:tcW w:w="14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8"/>
              </w:rPr>
              <w:t>All Other</w:t>
            </w:r>
          </w:p>
        </w:tc>
        <w:tc>
          <w:tcPr>
            <w:tcW w:w="1040" w:type="dxa"/>
            <w:vAlign w:val="bottom"/>
          </w:tcPr>
          <w:p>
            <w:pPr>
              <w:spacing w:after="0"/>
              <w:rPr>
                <w:sz w:val="13"/>
                <w:szCs w:val="13"/>
                <w:color w:val="auto"/>
              </w:rPr>
            </w:pPr>
          </w:p>
        </w:tc>
      </w:tr>
      <w:tr>
        <w:trPr>
          <w:trHeight w:val="242"/>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21"/>
                <w:szCs w:val="21"/>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Salary ($)</w:t>
            </w:r>
            <w:r>
              <w:rPr>
                <w:rFonts w:ascii="Arial" w:cs="Arial" w:eastAsia="Arial" w:hAnsi="Arial"/>
                <w:sz w:val="18"/>
                <w:szCs w:val="18"/>
                <w:b w:val="1"/>
                <w:bCs w:val="1"/>
                <w:color w:val="auto"/>
                <w:w w:val="92"/>
                <w:vertAlign w:val="superscript"/>
              </w:rPr>
              <w:t>(1)</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 xml:space="preserve">($) </w:t>
            </w:r>
            <w:r>
              <w:rPr>
                <w:rFonts w:ascii="Arial" w:cs="Arial" w:eastAsia="Arial" w:hAnsi="Arial"/>
                <w:sz w:val="18"/>
                <w:szCs w:val="18"/>
                <w:b w:val="1"/>
                <w:bCs w:val="1"/>
                <w:color w:val="auto"/>
                <w:w w:val="83"/>
                <w:vertAlign w:val="superscript"/>
              </w:rPr>
              <w:t>(3)</w:t>
            </w:r>
          </w:p>
        </w:tc>
        <w:tc>
          <w:tcPr>
            <w:tcW w:w="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(4)</w:t>
            </w:r>
          </w:p>
        </w:tc>
        <w:tc>
          <w:tcPr>
            <w:tcW w:w="10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 ($)</w:t>
            </w:r>
            <w:r>
              <w:rPr>
                <w:rFonts w:ascii="Arial" w:cs="Arial" w:eastAsia="Arial" w:hAnsi="Arial"/>
                <w:sz w:val="18"/>
                <w:szCs w:val="18"/>
                <w:b w:val="1"/>
                <w:bCs w:val="1"/>
                <w:color w:val="auto"/>
                <w:w w:val="90"/>
                <w:vertAlign w:val="superscript"/>
              </w:rPr>
              <w:t>(5)</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Total ($)</w:t>
            </w:r>
          </w:p>
        </w:tc>
      </w:tr>
      <w:tr>
        <w:trPr>
          <w:trHeight w:val="191"/>
        </w:trPr>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Henry Schuck</w:t>
            </w: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223"/>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Chief Executive Officer</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474,832</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3,765,600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603,500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9,750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4,853,682</w:t>
            </w:r>
          </w:p>
        </w:tc>
      </w:tr>
      <w:tr>
        <w:trPr>
          <w:trHeight w:val="201"/>
        </w:trPr>
        <w:tc>
          <w:tcPr>
            <w:tcW w:w="27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371,539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350,000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3,780,583</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65,880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4,568,002</w:t>
            </w:r>
          </w:p>
        </w:tc>
      </w:tr>
      <w:tr>
        <w:trPr>
          <w:trHeight w:val="224"/>
        </w:trPr>
        <w:tc>
          <w:tcPr>
            <w:tcW w:w="278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2780" w:type="dxa"/>
            <w:vAlign w:val="bottom"/>
          </w:tcPr>
          <w:p>
            <w:pPr>
              <w:ind w:left="180"/>
              <w:spacing w:after="0"/>
              <w:rPr>
                <w:sz w:val="20"/>
                <w:szCs w:val="20"/>
                <w:color w:val="auto"/>
              </w:rPr>
            </w:pPr>
            <w:r>
              <w:rPr>
                <w:rFonts w:ascii="Arial" w:cs="Arial" w:eastAsia="Arial" w:hAnsi="Arial"/>
                <w:sz w:val="14"/>
                <w:szCs w:val="14"/>
                <w:i w:val="1"/>
                <w:iCs w:val="1"/>
                <w:color w:val="auto"/>
              </w:rPr>
              <w:t>Chief Operating Officer</w:t>
            </w: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366,923</w:t>
            </w:r>
          </w:p>
        </w:tc>
        <w:tc>
          <w:tcPr>
            <w:tcW w:w="12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1,766,190</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1,000,000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6"/>
              </w:rPr>
              <w:t>9,175</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3,142,288</w:t>
            </w:r>
          </w:p>
        </w:tc>
      </w:tr>
      <w:tr>
        <w:trPr>
          <w:trHeight w:val="195"/>
        </w:trPr>
        <w:tc>
          <w:tcPr>
            <w:tcW w:w="2780" w:type="dxa"/>
            <w:vAlign w:val="bottom"/>
          </w:tcPr>
          <w:p>
            <w:pPr>
              <w:spacing w:after="0"/>
              <w:rPr>
                <w:sz w:val="16"/>
                <w:szCs w:val="16"/>
                <w:color w:val="auto"/>
              </w:rPr>
            </w:pP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362,901</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112,500</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3,958,003</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1,000,000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6"/>
              </w:rPr>
              <w:t>1,973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5,435,377</w:t>
            </w: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Nir Keren</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5"/>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Chief Technology Officer</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365,932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100,000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4,000,017</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224,973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135,593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4,826,515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w:t>
      </w:r>
    </w:p>
    <w:p>
      <w:pPr>
        <w:spacing w:after="0" w:line="6" w:lineRule="exact"/>
        <w:rPr>
          <w:rFonts w:ascii="Arial" w:cs="Arial" w:eastAsia="Arial" w:hAnsi="Arial"/>
          <w:sz w:val="14"/>
          <w:szCs w:val="14"/>
          <w:color w:val="auto"/>
        </w:rPr>
      </w:pPr>
    </w:p>
    <w:p>
      <w:pPr>
        <w:ind w:left="340" w:hanging="332"/>
        <w:spacing w:after="0" w:line="260" w:lineRule="auto"/>
        <w:tabs>
          <w:tab w:leader="none" w:pos="3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amount reported in this column for fiscal 2020 for Mr. Keren represents the portion of the retention bonus to which he was entitled under his offer letter that was earned as of February 1, 2020. For a description of the terms of Mr. Keren’s Offer Letter, see “—Narrative Disclosure to Summary Compensation Table—Employment Agreements and Offer Letter.”</w:t>
      </w:r>
    </w:p>
    <w:p>
      <w:pPr>
        <w:jc w:val="both"/>
        <w:ind w:left="340" w:hanging="332"/>
        <w:spacing w:after="0" w:line="260" w:lineRule="auto"/>
        <w:tabs>
          <w:tab w:leader="none" w:pos="3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stock awards granted, computed in accordance with Financial Accounting Standards Board Accounting Standards Codification Topic 718, Compensation—Stock Compensation (“Topic 718”), without taking into account estimated forfeitures. The fiscal 2020 stock awards consist of grants of time-vesting Class P Units, LTIP Units and restricted stock units issued under the ZoomInfo Technologies Inc. 2020 Omnibus Incentive Plan (the “2020 Omnibus Incentive Plan”). Terms of the fiscal 2020 stock awards are summarized in the “Narrative Disclosure to Summary Compensation Table” below. The assumptions made when calculating the amounts are found in Note 16: “Equity-based Compensation” to our audited consolidated financial statements included in Part II, Item 8 of our Annual Report on Form 10-K for the fiscal year ended December 31, 2020.</w:t>
      </w:r>
    </w:p>
    <w:p>
      <w:pPr>
        <w:ind w:left="340" w:right="20" w:hanging="332"/>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in this column for fiscal 2020 include cash incentive bonuses earned by our NEOs in 2020. See “—Narrative Disclosure to Summary Compensation Table—Non-Equity Incentive Plan Compensation” below.</w:t>
      </w:r>
    </w:p>
    <w:p>
      <w:pPr>
        <w:ind w:left="340" w:hanging="332"/>
        <w:spacing w:after="0" w:line="255"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for 2020 represent our 401(k) Plan (as defined below) matching contributions on behalf of Messrs. Schuck and Hays in the following amounts: Mr. Schuck, $9,750; and Mr. Hays, $9,175. The amount reported for 2020 for Mr. Keren includes, a car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jc w:val="both"/>
        <w:ind w:left="340"/>
        <w:spacing w:after="0" w:line="249" w:lineRule="auto"/>
        <w:rPr>
          <w:sz w:val="20"/>
          <w:szCs w:val="20"/>
          <w:color w:val="auto"/>
        </w:rPr>
      </w:pPr>
      <w:r>
        <w:rPr>
          <w:rFonts w:ascii="Arial" w:cs="Arial" w:eastAsia="Arial" w:hAnsi="Arial"/>
          <w:sz w:val="14"/>
          <w:szCs w:val="14"/>
          <w:color w:val="auto"/>
        </w:rPr>
        <w:t>allowance of $45,003, the aggregate incremental cost to the Company of company-provided meals and gifts, $413 in tax gross-up payments in respect of perquisites, $44,172 in disability insurance benefits, contributions to pension and severance funds, commuting allowance and recreation pay as required under Israeli law, an additional $19,557 contribution of pension amounts for Mr. Keren above the amounts required under Israeli law and a $24,703 contribution to Mr. Keren’s study fund. These amounts were payable in New Israeli Shekels and translated to U.S. dollars at the average monthly USD to NIS exchange rate for 2020 of $1.00 = NIS 3.4424 For a description of our 401(k) Plan, see “—Narrative Disclosure to Summary Compensation Table—Other Compensation—Retirement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and Offer Letter</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entered into an employment agreement with each of Mr. Schuck and Mr. Hays and an offer letter agreement with Mr. Keren, in each case, that governs the terms of employment of each such named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Schuck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entered into a new employment agreement with Mr. Hays on August 10, 2020, superseding his prior employment agreement, pursuant to which he continues to serve as the Chief Operating Officer of the Company.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Mr. Hays’ employment agreement provides that he is entitled to a base salary of $360,000. Mr. Hays is eligible for an annual cash incentive bonus, with a target bonus amount of $200,000 and a maximum bonus amount of $1 million based upon the achievement of specific performance for such fiscal year, as approved by the Compensation Committee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7"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Mr. Hays is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employment may be terminated at any time and for any reason by either the Company or Mr. Hays, provided that either party is required to give 30 days’ advance written notice of any termination of employment (provided that the Company is entitled to pay the executive base salary payments in lieu of such notice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Hays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offer letter agreement with Mr. Keren on February 1, 2019, pursuant to which he serves as our Chief Technology Officer. Mr. Keren is entitled to an annual salary of $350,000. In addition, he is entitled to a one-time bonus of $100,000 after one year of service commencing February 1, 2019, and an additional one-time bonus of $100,000 after two years of service. He is also eligible to receive an annual performance bonus based upon successful completion of measurable business objectives.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Keren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make incentive cash bonus opportunities available to our NEOs to motivate their achievement of performance goals and tie a portion of their cash compensation to performance.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pursuant to the terms of his employment agreement, Mr. Schuck was eligible to receive a target cash incentive bonus of $425,000 based upon our achievement of specified targets for net new annual recurring revenue (“ARR”) and adjusted operating income targets, with a 50% weighting given to each performance metric. Mr. Schuck’s payout could range ratably from 0% of target up to a maximum of 200% of target depending on our performance with respect to these metrics. Based on the Company’s performance during 2020, which exceeded the performance targets, Mr. Schuck earned a cash incentive bonus of $603,500.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pursuant to the terms of his employment agreement, Mr. Hays was eligible to receive a target cash incentive bonus of $200,000 and a maximum cash incentive bonus of $1 million. Mr. Hays was eligible to earn up to $200,000 based upon his achievement of certain individual performance objectives relating to the development of our sales organization and customer revenue and growth. He was eligible to earn up to an additional $800,000 based upon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achievement of specified targets for net new ARR. Based on the Company’s and his individual performance during 2020, Mr. Hays received the maximum potential amount and earned a cash incentive bonus of $1,000,000.</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2020, Mr. Keren was eligible to receive a cash incentive bonus in a target amount of $163,260. 80% of his bonus opportunity was based upon our achievement of specified targets for net new ARR and adjusted operating income targets, with a 50% weighting given to each performance metric. The other 20% was based on his achievement of individual performance objectives relating to the increase in annual contract values with respect to certain new products. Mr. Keren’s payout could range ratably from 0% of target up to a maximum of 200% of target depending on performance. Based on the Company’s and his individual performance during 2020, Mr. Keren earned a cash incentive bonus of $224,973.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Awards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IPO and in order to incentivize their future performance and retention, we made grants to Messrs. Schuck and Hays of Class P Units in ZoomInfo OpCo, to Mr. Hays of LTIP Units in ZoomInfo OpCo and to Mr. Keren of Restricted Stock Units (“RSUs”) covering shares of our Class A common stock.</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Class P Units are “profits interests” having economic characteristics similar to a stock right and have the right to share in any increase in the equity value of ZoomInfo OpCo above a certain participation threshold (i.e., the distribution threshold). Vested Class P units are exchangeable, at the holder’s election, into a number of shares of our Class A common stock equal in value to the “spread value” represented by the excess of the value of shares of Class A common stock at the time of exchange above the “distribution threshold” associated with the Class P Units, multiplied by the number of Class P Units being exchanged. Each vested LTIP Unit will be automatically converted into Class A Common Units of ZoomInfo OpCo. which are then exchangeable for shares of our Class A common stock on a one-for-one basis at the discretion of the holder, subject to exchange rate adjustments for stock splits, stock dividends, and reclassifications.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Class P Unit, LTIP Unit and RSU grants to our named executive officers in connection with the IPO were in the following amounts and with the following vesting terms: (i) Mr. Schuck received 450,000 Class P Units vesting in three equal installments on each of the second, third and fourth anniversaries of the grant date; (ii) Mr. Hays received 90,000 Class P Units and 47,620 LTIP Units, each vesting in three equal installments on the dates that are two and a half, three and a half, and four and a half years following the grant date; and (iii) Mr. Keren received 190,477 RSUs of which one-third will vest on June 3, 2021 and the remaining two thirds will vest in equal quarterly installments over the 24 months following June 3, 2021. Each of the Class P Unit agreements for named executive officers provides for a participation threshold (i.e., strike price) equal to the initial public offering price per share in the IPO.</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vesting terms with respect to outstanding Class P Units, LTIP Units and RSUs in the event of a change in control or certain terminations of employment, see “―Termination and Change in Control Provisions―Equity Awards”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Perquisites</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Executive perquisites are not part of our general compensation philosophy; however, we provide limited perquisites and personal benefits that are not generally available to all employees when necessary to attract top talent.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1"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example, in 2020, we provided Mr. Keren with a car allowance in the amount of $45,003 and contributed $24,703 to his study fund, which is a perquisite that is customary in Israel (in each case paid in New Israeli Shekels and translated to U.S. dollars at the average monthly USD to NIS exchange rate for 2020 of $1.00 = NIS 3.4424).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Messrs. Schuck and Hays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In 2020, we matched 50% of the employee’s contribution to the 401(k) plan up to the first 7% of their contribution. Previously, we matched 35% of the employee's contribution to the 401(k) plan up to the first 6% of their contribution. We may also make discretionary profit-sharing contributions to eligible participants. We do not have a defined benefit plan or any non-qualified deferred compensation arrangements.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Keren is ineligible to participate in our 401(k) Plan, however we contribute pension and severance amounts for him as required by Israeli law and voluntarily contribute an additional pension amount equal to 6.5% of his base salary.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of perquisites and other personal benefits provided to the NEOs is reflected in the “All Other Compensation” column of the “Summary Compensation Table” and the accompanying footnote.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outstanding equity awards made to the NEOs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Number of Shares or Units of</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Market Value of Shares or</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Stock That Have Not Vested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Units of Stock That Have Not</w:t>
            </w:r>
          </w:p>
        </w:tc>
        <w:tc>
          <w:tcPr>
            <w:tcW w:w="0" w:type="dxa"/>
            <w:vAlign w:val="bottom"/>
          </w:tcPr>
          <w:p>
            <w:pPr>
              <w:spacing w:after="0"/>
              <w:rPr>
                <w:sz w:val="1"/>
                <w:szCs w:val="1"/>
                <w:color w:val="auto"/>
              </w:rPr>
            </w:pPr>
          </w:p>
        </w:tc>
      </w:tr>
      <w:tr>
        <w:trPr>
          <w:trHeight w:val="201"/>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7"/>
                <w:szCs w:val="17"/>
                <w:color w:val="auto"/>
              </w:rPr>
            </w:pPr>
          </w:p>
        </w:tc>
        <w:tc>
          <w:tcPr>
            <w:tcW w:w="16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Grant Date</w:t>
            </w:r>
          </w:p>
        </w:tc>
        <w:tc>
          <w:tcPr>
            <w:tcW w:w="100" w:type="dxa"/>
            <w:vAlign w:val="bottom"/>
            <w:vMerge w:val="restart"/>
          </w:tcPr>
          <w:p>
            <w:pPr>
              <w:spacing w:after="0"/>
              <w:rPr>
                <w:sz w:val="17"/>
                <w:szCs w:val="17"/>
                <w:color w:val="auto"/>
              </w:rPr>
            </w:pPr>
          </w:p>
        </w:tc>
        <w:tc>
          <w:tcPr>
            <w:tcW w:w="352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Award Type</w:t>
            </w:r>
          </w:p>
        </w:tc>
        <w:tc>
          <w:tcPr>
            <w:tcW w:w="80" w:type="dxa"/>
            <w:vAlign w:val="bottom"/>
            <w:vMerge w:val="restart"/>
          </w:tcPr>
          <w:p>
            <w:pPr>
              <w:spacing w:after="0"/>
              <w:rPr>
                <w:sz w:val="17"/>
                <w:szCs w:val="17"/>
                <w:color w:val="auto"/>
              </w:rPr>
            </w:pPr>
          </w:p>
        </w:tc>
        <w:tc>
          <w:tcPr>
            <w:tcW w:w="1860" w:type="dxa"/>
            <w:vAlign w:val="bottom"/>
          </w:tcPr>
          <w:p>
            <w:pPr>
              <w:jc w:val="center"/>
              <w:spacing w:after="0" w:line="201" w:lineRule="exact"/>
              <w:rPr>
                <w:sz w:val="20"/>
                <w:szCs w:val="20"/>
                <w:color w:val="auto"/>
              </w:rPr>
            </w:pPr>
            <w:r>
              <w:rPr>
                <w:rFonts w:ascii="Arial" w:cs="Arial" w:eastAsia="Arial" w:hAnsi="Arial"/>
                <w:sz w:val="23"/>
                <w:szCs w:val="23"/>
                <w:b w:val="1"/>
                <w:bCs w:val="1"/>
                <w:color w:val="auto"/>
                <w:w w:val="98"/>
                <w:vertAlign w:val="subscript"/>
              </w:rPr>
              <w:t>(#)</w:t>
            </w:r>
            <w:r>
              <w:rPr>
                <w:rFonts w:ascii="Arial" w:cs="Arial" w:eastAsia="Arial" w:hAnsi="Arial"/>
                <w:sz w:val="8"/>
                <w:szCs w:val="8"/>
                <w:b w:val="1"/>
                <w:bCs w:val="1"/>
                <w:color w:val="auto"/>
                <w:w w:val="98"/>
              </w:rPr>
              <w:t>(1)</w:t>
            </w:r>
          </w:p>
        </w:tc>
        <w:tc>
          <w:tcPr>
            <w:tcW w:w="100" w:type="dxa"/>
            <w:vAlign w:val="bottom"/>
          </w:tcPr>
          <w:p>
            <w:pPr>
              <w:spacing w:after="0"/>
              <w:rPr>
                <w:sz w:val="17"/>
                <w:szCs w:val="17"/>
                <w:color w:val="auto"/>
              </w:rPr>
            </w:pPr>
          </w:p>
        </w:tc>
        <w:tc>
          <w:tcPr>
            <w:tcW w:w="1880" w:type="dxa"/>
            <w:vAlign w:val="bottom"/>
          </w:tcPr>
          <w:p>
            <w:pPr>
              <w:jc w:val="center"/>
              <w:spacing w:after="0" w:line="201" w:lineRule="exact"/>
              <w:rPr>
                <w:sz w:val="20"/>
                <w:szCs w:val="20"/>
                <w:color w:val="auto"/>
              </w:rPr>
            </w:pPr>
            <w:r>
              <w:rPr>
                <w:rFonts w:ascii="Arial" w:cs="Arial" w:eastAsia="Arial" w:hAnsi="Arial"/>
                <w:sz w:val="14"/>
                <w:szCs w:val="14"/>
                <w:b w:val="1"/>
                <w:bCs w:val="1"/>
                <w:color w:val="auto"/>
                <w:w w:val="88"/>
              </w:rPr>
              <w:t>Vested ($)</w:t>
            </w:r>
            <w:r>
              <w:rPr>
                <w:rFonts w:ascii="Arial" w:cs="Arial" w:eastAsia="Arial" w:hAnsi="Arial"/>
                <w:sz w:val="18"/>
                <w:szCs w:val="18"/>
                <w:b w:val="1"/>
                <w:bCs w:val="1"/>
                <w:color w:val="auto"/>
                <w:w w:val="88"/>
                <w:vertAlign w:val="superscript"/>
              </w:rPr>
              <w:t>(2)</w:t>
            </w:r>
          </w:p>
        </w:tc>
        <w:tc>
          <w:tcPr>
            <w:tcW w:w="0" w:type="dxa"/>
            <w:vAlign w:val="bottom"/>
          </w:tcPr>
          <w:p>
            <w:pPr>
              <w:spacing w:after="0"/>
              <w:rPr>
                <w:sz w:val="1"/>
                <w:szCs w:val="1"/>
                <w:color w:val="auto"/>
              </w:rPr>
            </w:pPr>
          </w:p>
        </w:tc>
      </w:tr>
      <w:tr>
        <w:trPr>
          <w:trHeight w:val="48"/>
        </w:trPr>
        <w:tc>
          <w:tcPr>
            <w:tcW w:w="19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66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520" w:type="dxa"/>
            <w:vAlign w:val="bottom"/>
            <w:tcBorders>
              <w:bottom w:val="single" w:sz="8" w:color="auto"/>
            </w:tcBorders>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Henry Schuck</w:t>
            </w:r>
          </w:p>
        </w:tc>
        <w:tc>
          <w:tcPr>
            <w:tcW w:w="1600" w:type="dxa"/>
            <w:vAlign w:val="bottom"/>
          </w:tcPr>
          <w:p>
            <w:pPr>
              <w:jc w:val="right"/>
              <w:spacing w:after="0"/>
              <w:rPr>
                <w:sz w:val="20"/>
                <w:szCs w:val="20"/>
                <w:color w:val="auto"/>
              </w:rPr>
            </w:pPr>
            <w:r>
              <w:rPr>
                <w:rFonts w:ascii="Arial" w:cs="Arial" w:eastAsia="Arial" w:hAnsi="Arial"/>
                <w:sz w:val="18"/>
                <w:szCs w:val="18"/>
                <w:color w:val="auto"/>
              </w:rPr>
              <w:t>01/16/2019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06/03/2020</w:t>
            </w:r>
          </w:p>
        </w:tc>
      </w:tr>
      <w:tr>
        <w:trPr>
          <w:trHeight w:val="378"/>
        </w:trPr>
        <w:tc>
          <w:tcPr>
            <w:tcW w:w="1820" w:type="dxa"/>
            <w:vAlign w:val="bottom"/>
          </w:tcPr>
          <w:p>
            <w:pPr>
              <w:spacing w:after="0"/>
              <w:rPr>
                <w:sz w:val="20"/>
                <w:szCs w:val="20"/>
                <w:color w:val="auto"/>
              </w:rPr>
            </w:pPr>
            <w:r>
              <w:rPr>
                <w:rFonts w:ascii="Arial" w:cs="Arial" w:eastAsia="Arial" w:hAnsi="Arial"/>
                <w:sz w:val="18"/>
                <w:szCs w:val="18"/>
                <w:color w:val="auto"/>
              </w:rPr>
              <w:t>Chris Hays</w:t>
            </w:r>
          </w:p>
        </w:tc>
        <w:tc>
          <w:tcPr>
            <w:tcW w:w="1600" w:type="dxa"/>
            <w:vAlign w:val="bottom"/>
          </w:tcPr>
          <w:p>
            <w:pPr>
              <w:jc w:val="right"/>
              <w:spacing w:after="0"/>
              <w:rPr>
                <w:sz w:val="20"/>
                <w:szCs w:val="20"/>
                <w:color w:val="auto"/>
              </w:rPr>
            </w:pPr>
            <w:r>
              <w:rPr>
                <w:rFonts w:ascii="Arial" w:cs="Arial" w:eastAsia="Arial" w:hAnsi="Arial"/>
                <w:sz w:val="18"/>
                <w:szCs w:val="18"/>
                <w:color w:val="auto"/>
              </w:rPr>
              <w:t>06/23/2016</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08/24/2017</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09/11/2017</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11/01/2018</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01/07/2019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07/26/2018</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06/24/2019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10/17/2019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12/29/2019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06/03/2020</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06/03/2020</w:t>
            </w:r>
          </w:p>
        </w:tc>
      </w:tr>
      <w:tr>
        <w:trPr>
          <w:trHeight w:val="378"/>
        </w:trPr>
        <w:tc>
          <w:tcPr>
            <w:tcW w:w="1820" w:type="dxa"/>
            <w:vAlign w:val="bottom"/>
          </w:tcPr>
          <w:p>
            <w:pPr>
              <w:spacing w:after="0"/>
              <w:rPr>
                <w:sz w:val="20"/>
                <w:szCs w:val="20"/>
                <w:color w:val="auto"/>
              </w:rPr>
            </w:pPr>
            <w:r>
              <w:rPr>
                <w:rFonts w:ascii="Arial" w:cs="Arial" w:eastAsia="Arial" w:hAnsi="Arial"/>
                <w:sz w:val="18"/>
                <w:szCs w:val="18"/>
                <w:color w:val="auto"/>
              </w:rPr>
              <w:t>Nir Keren</w:t>
            </w:r>
          </w:p>
        </w:tc>
        <w:tc>
          <w:tcPr>
            <w:tcW w:w="1600" w:type="dxa"/>
            <w:vAlign w:val="bottom"/>
          </w:tcPr>
          <w:p>
            <w:pPr>
              <w:jc w:val="right"/>
              <w:spacing w:after="0"/>
              <w:rPr>
                <w:sz w:val="20"/>
                <w:szCs w:val="20"/>
                <w:color w:val="auto"/>
              </w:rPr>
            </w:pPr>
            <w:r>
              <w:rPr>
                <w:rFonts w:ascii="Arial" w:cs="Arial" w:eastAsia="Arial" w:hAnsi="Arial"/>
                <w:sz w:val="18"/>
                <w:szCs w:val="18"/>
                <w:color w:val="auto"/>
              </w:rPr>
              <w:t>07/03/2020</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Class P Units that vest as follows: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602,772</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8"/>
              </w:rPr>
              <w:t>26,660,606</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450,000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8"/>
              </w:rPr>
              <w:t>12,253,500</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26,263</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1,266,664</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8"/>
              </w:rPr>
              <w:t>6,566</w:t>
            </w:r>
          </w:p>
        </w:tc>
        <w:tc>
          <w:tcPr>
            <w:tcW w:w="1440" w:type="dxa"/>
            <w:vAlign w:val="bottom"/>
          </w:tcPr>
          <w:p>
            <w:pPr>
              <w:jc w:val="center"/>
              <w:ind w:left="570"/>
              <w:spacing w:after="0"/>
              <w:rPr>
                <w:sz w:val="20"/>
                <w:szCs w:val="20"/>
                <w:color w:val="auto"/>
              </w:rPr>
            </w:pPr>
            <w:r>
              <w:rPr>
                <w:rFonts w:ascii="Arial" w:cs="Arial" w:eastAsia="Arial" w:hAnsi="Arial"/>
                <w:sz w:val="18"/>
                <w:szCs w:val="18"/>
                <w:color w:val="auto"/>
                <w:w w:val="89"/>
              </w:rPr>
              <w:t>316,678</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13,132</w:t>
            </w:r>
          </w:p>
        </w:tc>
        <w:tc>
          <w:tcPr>
            <w:tcW w:w="1440" w:type="dxa"/>
            <w:vAlign w:val="bottom"/>
          </w:tcPr>
          <w:p>
            <w:pPr>
              <w:jc w:val="center"/>
              <w:ind w:left="570"/>
              <w:spacing w:after="0"/>
              <w:rPr>
                <w:sz w:val="20"/>
                <w:szCs w:val="20"/>
                <w:color w:val="auto"/>
              </w:rPr>
            </w:pPr>
            <w:r>
              <w:rPr>
                <w:rFonts w:ascii="Arial" w:cs="Arial" w:eastAsia="Arial" w:hAnsi="Arial"/>
                <w:sz w:val="18"/>
                <w:szCs w:val="18"/>
                <w:color w:val="auto"/>
                <w:w w:val="89"/>
              </w:rPr>
              <w:t>633,356</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32,829</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1,583,343</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32,829</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1,583,343</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138,821</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6,140,053</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876,759</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8"/>
              </w:rPr>
              <w:t>36,534,548</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70,000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2,916,900</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2"/>
              </w:rPr>
              <w:t>HSKB Phantom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22,500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1,085,175</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90,000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2,450,700</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LTIP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47,620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2,296,713</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RSUs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190,477</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9,186,706</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-239395</wp:posOffset>
            </wp:positionV>
            <wp:extent cx="71323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740" w:lineRule="exact"/>
        <w:rPr>
          <w:sz w:val="20"/>
          <w:szCs w:val="20"/>
          <w:color w:val="auto"/>
        </w:rPr>
      </w:pPr>
    </w:p>
    <w:p>
      <w:pPr>
        <w:sectPr>
          <w:pgSz w:w="11900" w:h="16838" w:orient="portrait"/>
          <w:cols w:equalWidth="0" w:num="2">
            <w:col w:w="3640" w:space="720"/>
            <w:col w:w="688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421" w:right="339" w:bottom="1440" w:gutter="0" w:footer="0" w:header="0"/>
          <w:type w:val="continuous"/>
        </w:sectPr>
      </w:pPr>
    </w:p>
    <w:bookmarkStart w:id="30" w:name="page31"/>
    <w:bookmarkEnd w:id="30"/>
    <w:p>
      <w:pPr>
        <w:jc w:val="both"/>
        <w:ind w:left="340" w:right="20"/>
        <w:spacing w:after="0" w:line="273" w:lineRule="auto"/>
        <w:rPr>
          <w:sz w:val="20"/>
          <w:szCs w:val="20"/>
          <w:color w:val="auto"/>
        </w:rPr>
      </w:pPr>
      <w:r>
        <w:rPr>
          <w:rFonts w:ascii="Arial" w:cs="Arial" w:eastAsia="Arial" w:hAnsi="Arial"/>
          <w:sz w:val="14"/>
          <w:szCs w:val="14"/>
          <w:color w:val="auto"/>
        </w:rPr>
        <w:t>As to Mr. Schuck, the Class P Units granted on January 16, 2019 will vest in 15 equal monthly installments during the 15 months following December 12, 2020 and the Class P Units granted on June 3, 2020 will vest in in three equal installments on each of the second, third and fourth anniversaries of the grant date.</w:t>
      </w:r>
    </w:p>
    <w:p>
      <w:pPr>
        <w:spacing w:after="0" w:line="66" w:lineRule="exact"/>
        <w:rPr>
          <w:sz w:val="20"/>
          <w:szCs w:val="20"/>
          <w:color w:val="auto"/>
        </w:rPr>
      </w:pPr>
    </w:p>
    <w:p>
      <w:pPr>
        <w:jc w:val="both"/>
        <w:ind w:left="340"/>
        <w:spacing w:after="0" w:line="249" w:lineRule="auto"/>
        <w:rPr>
          <w:sz w:val="20"/>
          <w:szCs w:val="20"/>
          <w:color w:val="auto"/>
        </w:rPr>
      </w:pPr>
      <w:r>
        <w:rPr>
          <w:rFonts w:ascii="Arial" w:cs="Arial" w:eastAsia="Arial" w:hAnsi="Arial"/>
          <w:sz w:val="14"/>
          <w:szCs w:val="14"/>
          <w:color w:val="auto"/>
        </w:rPr>
        <w:t>As to Mr. Hays, the Class P Units granted on July 26, 2018 will vest in 19 equal monthly installments during the 19 months following December 1, 2020. Of the 876,759 granted on June 24, 2019, 438,379 vest on February 1, 2021 and 438,380 vest in equal monthly installments during the 24 months following February 1, 2021, in each case subject to his continued service on each vesting date. Of the 70,000 granted on October 17, 2019, 35,000 vest on October 1, 2021 and 35,000 vest in equal monthly installments during the 24 months following October 1, 2021, in each case subject to his continued service on each vesting date. The 90,000 granted on June 3, 2020 will vest in three equal installments on the dates that are two and a half, three and a half, and four and a half years following the grant date.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Represents LLC Units of HSKB Funds, LLC that vest as follows:</w:t>
      </w:r>
    </w:p>
    <w:p>
      <w:pPr>
        <w:spacing w:after="0" w:line="109" w:lineRule="exact"/>
        <w:rPr>
          <w:sz w:val="20"/>
          <w:szCs w:val="20"/>
          <w:color w:val="auto"/>
        </w:rPr>
      </w:pPr>
    </w:p>
    <w:p>
      <w:pPr>
        <w:jc w:val="both"/>
        <w:ind w:left="340"/>
        <w:spacing w:after="0" w:line="273" w:lineRule="auto"/>
        <w:rPr>
          <w:sz w:val="20"/>
          <w:szCs w:val="20"/>
          <w:color w:val="auto"/>
        </w:rPr>
      </w:pPr>
      <w:r>
        <w:rPr>
          <w:rFonts w:ascii="Arial" w:cs="Arial" w:eastAsia="Arial" w:hAnsi="Arial"/>
          <w:sz w:val="14"/>
          <w:szCs w:val="14"/>
          <w:color w:val="auto"/>
        </w:rPr>
        <w:t>As to the LLC Units of HSKB Funds, LLC granted on June 23, 2016, August 24, 2017 and September 11, 2017, in 21 equal monthly installments during the 21 months following December 1, 2020 or earlier upon the occurrence of certain liquidity events.</w:t>
      </w:r>
    </w:p>
    <w:p>
      <w:pPr>
        <w:spacing w:after="0" w:line="66" w:lineRule="exact"/>
        <w:rPr>
          <w:sz w:val="20"/>
          <w:szCs w:val="20"/>
          <w:color w:val="auto"/>
        </w:rPr>
      </w:pPr>
    </w:p>
    <w:p>
      <w:pPr>
        <w:jc w:val="both"/>
        <w:ind w:left="340" w:right="20"/>
        <w:spacing w:after="0" w:line="273" w:lineRule="auto"/>
        <w:rPr>
          <w:sz w:val="20"/>
          <w:szCs w:val="20"/>
          <w:color w:val="auto"/>
        </w:rPr>
      </w:pPr>
      <w:r>
        <w:rPr>
          <w:rFonts w:ascii="Arial" w:cs="Arial" w:eastAsia="Arial" w:hAnsi="Arial"/>
          <w:sz w:val="14"/>
          <w:szCs w:val="14"/>
          <w:color w:val="auto"/>
        </w:rPr>
        <w:t>As to the LLC Units of HSKB Funds, LLC granted on November 1, 2018, in 21 equal monthly installments on during the 21 months following December 1, 2020 or earlier upon the occurrence of certain liquidity events.</w:t>
      </w:r>
    </w:p>
    <w:p>
      <w:pPr>
        <w:spacing w:after="0" w:line="66" w:lineRule="exact"/>
        <w:rPr>
          <w:sz w:val="20"/>
          <w:szCs w:val="20"/>
          <w:color w:val="auto"/>
        </w:rPr>
      </w:pPr>
    </w:p>
    <w:p>
      <w:pPr>
        <w:jc w:val="both"/>
        <w:ind w:left="340" w:right="20"/>
        <w:spacing w:after="0" w:line="273" w:lineRule="auto"/>
        <w:rPr>
          <w:sz w:val="20"/>
          <w:szCs w:val="20"/>
          <w:color w:val="auto"/>
        </w:rPr>
      </w:pPr>
      <w:r>
        <w:rPr>
          <w:rFonts w:ascii="Arial" w:cs="Arial" w:eastAsia="Arial" w:hAnsi="Arial"/>
          <w:sz w:val="14"/>
          <w:szCs w:val="14"/>
          <w:color w:val="auto"/>
        </w:rPr>
        <w:t>As to the LLC Units of HSKB Funds, LLC granted on January 7, 2019, in 21 equal monthly installments during the 21 months following December 1, 2020 or, in each case, earlier upon the occurrence of certain liquidity events.</w:t>
      </w:r>
    </w:p>
    <w:p>
      <w:pPr>
        <w:spacing w:after="0" w:line="66" w:lineRule="exact"/>
        <w:rPr>
          <w:sz w:val="20"/>
          <w:szCs w:val="20"/>
          <w:color w:val="auto"/>
        </w:rPr>
      </w:pPr>
    </w:p>
    <w:p>
      <w:pPr>
        <w:jc w:val="both"/>
        <w:ind w:left="340"/>
        <w:spacing w:after="0" w:line="273" w:lineRule="auto"/>
        <w:rPr>
          <w:sz w:val="20"/>
          <w:szCs w:val="20"/>
          <w:color w:val="auto"/>
        </w:rPr>
      </w:pPr>
      <w:r>
        <w:rPr>
          <w:rFonts w:ascii="Arial" w:cs="Arial" w:eastAsia="Arial" w:hAnsi="Arial"/>
          <w:sz w:val="14"/>
          <w:szCs w:val="14"/>
          <w:color w:val="auto"/>
        </w:rPr>
        <w:t>Represents HSKB Phantom Units that vest as follows: 50% of such HSKB Phantom Units on July 1, 2021 and the remaining 50% of such HSKB Phantom Units in equal monthly installments over the two year period following July 1, 2021 or, in each case, earlier upon the occurrence of certain liquidity events.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Represents LTIP Units that vest as follows: in three equal installments on the dates that are two and a half, three and a half, and four and a half years following the grant date.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Represents RSUs that vest as follows: one-third will vest on June 3, 2021 and the remaining two-thirds will vest in equal quarterly installments during the 24 months following June 3, 2021.</w:t>
      </w:r>
    </w:p>
    <w:p>
      <w:pPr>
        <w:spacing w:after="0" w:line="121" w:lineRule="exact"/>
        <w:rPr>
          <w:sz w:val="20"/>
          <w:szCs w:val="20"/>
          <w:color w:val="auto"/>
        </w:rPr>
      </w:pPr>
    </w:p>
    <w:p>
      <w:pPr>
        <w:jc w:val="both"/>
        <w:ind w:left="340" w:hanging="332"/>
        <w:spacing w:after="0" w:line="257"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Values with respect to Class P Units determined based on the difference between the December 31, 2020 closing market price of our common stock of $48.23 per share and the applicable distribution threshold. Values with respect to the LLC Units of HSKB Funds, LLC, the HSKB Phantom Units, the LTIP Units and the RSUs determined based on the foregoing December 31, 2020 closing market price of our common stock.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in Control Provisions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our NEOs is entitled to potential payments and benefits in connection with a termination of employment and/or a change in control. The following summary describes the termination and change in control provisions under Messrs. Schuck’s and Hays’ employment agreements and Mr. Keren’s offer letter.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17"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entitled as of the termination date; and (iv) full accelerated vesting of all then-unvested equity awards subject to time-based vesting that he holds as of the termination date.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restrictive covenants applicable to Mr. Schuck, see “—Narrative Disclosure to Summary Compensation Table—Employment Agreements and Offer Letter”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Mr. Hays’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Hays’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restrictive covenants applicable to Mr. Hays, see “—Narrative Disclosure to Summary Compensation Table—Employment Agreements and Offer Letter”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Mr. Keren’s offer letter, if Mr. Keren’s employment is terminated without cause, provided he first executes a release of claims in favor of the company and its affiliates and personnel in a form reasonably acceptable to the company, he will be paid a severance equal to one half of his annual salary in effect at the time of such termination and, if such termination occurred prior to February 1, 2021, he would have been entitled to a pro-rated amount of any unpaid retention bonus.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of the named executive officers holds equity awards pursuant to award agreements that provide for accelerated vesting upon certain qualifying terminations of employment. Below is a description of the accelerated vesting our such equity awards upon certain qualifying terminations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Class P Units Awarded Prior to the IPO</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of an involuntary termination of the executive officer’s employment without cause or, in the case of Mr. Schuck, the executive officer’s resignation for good reason, in each case, during the 12-month period following a “liquidity event” (which includes a change of control or a liquidation of ZoomInfo OpCo, but did not include the IPO),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(i.e.,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Unit Agreement for each executive officer contains a non-competition covenant during employment and the 24-month period following termination of employment; upon breach of this covenant, all vested units will be forfeited and canceled.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LLC Units of HSKB Funds, LLC</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LLC Agreement governing HSKB Funds, LLC,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LLC Units.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P Units, LTIP Units and RSUs Awarded in Connection with the IPO</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 P Unit, LTIP Unit and RSU awards granted in connection with the IPO are subject to “double triggered” vesting protection, such that vesting will accelerate in the event of a termination without “cause” or a termination for “good reason,” in each case, occurring within 12 months following a change in control. Additionally, Mr. Schuck’s Class P Unit award is subject to potential accelerated vesting upon certain additional employment termination events pursuant to the terms of his employment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Awards under our 2020 Omnibus Incentive Plan</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we may grant equity-based or cash-based awards under the 2020 Omnibus Incentive Plan that will become earned or will vest and become exercisable upon the attainment of Performance Conditions. For purposes of this proxy statement, “Performance Conditions” means specific levels of performance of the Company (and/or one or more of its subsidiaries,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revenue, net revenue, net revenue growth, annual recurring revenue, or net new annual recurring revenue; (iv) gross revenue or gross revenue growth, gross profit or gross profit growth; (v) operating income or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 (xix) stockholder return; (xx) customer/client retention; (xxi)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35" w:right="339" w:bottom="1440" w:gutter="0" w:footer="0" w:header="0"/>
        </w:sectPr>
      </w:pPr>
    </w:p>
    <w:bookmarkStart w:id="33" w:name="page34"/>
    <w:bookmarkEnd w:id="33"/>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customer growth, including growth by customer category or annual contract value; (xxvii) cost of capital, debt leverage, year-end cash position or book value; (xxviii) strategic objectives; or (xxix) any combination of the foregoing. Any one or more of the aforementioned performance criteria may be stated as a percentage of another performance criteria, or used on an absolute or relative basis to measure the performance of one or more of the Company or its subsidiaries as a whole or any divisions or operational and/or business units, product lines, brands, business segments, or administrative departments of the Company and/or one or more of its subsidiaries or any combination thereof, as the Compensation Committee of our Board of Directors or such other committee of our Board of Directors to which it has properly delegated power, or if no such committee or subcommittee exists, our board of directors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Fiscal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non-employee director compensation for the fiscal year ended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Fees Earned or Paid in</w:t>
            </w:r>
          </w:p>
        </w:tc>
        <w:tc>
          <w:tcPr>
            <w:tcW w:w="1800" w:type="dxa"/>
            <w:vAlign w:val="bottom"/>
          </w:tcPr>
          <w:p>
            <w:pPr>
              <w:jc w:val="right"/>
              <w:ind w:right="332"/>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(1)</w:t>
            </w:r>
          </w:p>
        </w:tc>
        <w:tc>
          <w:tcPr>
            <w:tcW w:w="14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08"/>
        </w:trPr>
        <w:tc>
          <w:tcPr>
            <w:tcW w:w="60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560" w:type="dxa"/>
            <w:vAlign w:val="bottom"/>
            <w:tcBorders>
              <w:bottom w:val="single" w:sz="8" w:color="auto"/>
            </w:tcBorders>
          </w:tcPr>
          <w:p>
            <w:pPr>
              <w:jc w:val="right"/>
              <w:ind w:right="435"/>
              <w:spacing w:after="0" w:line="108" w:lineRule="exact"/>
              <w:rPr>
                <w:sz w:val="20"/>
                <w:szCs w:val="20"/>
                <w:color w:val="auto"/>
              </w:rPr>
            </w:pPr>
            <w:r>
              <w:rPr>
                <w:rFonts w:ascii="Arial" w:cs="Arial" w:eastAsia="Arial" w:hAnsi="Arial"/>
                <w:sz w:val="12"/>
                <w:szCs w:val="12"/>
                <w:b w:val="1"/>
                <w:bCs w:val="1"/>
                <w:color w:val="auto"/>
              </w:rPr>
              <w:t>Cash ($)</w:t>
            </w:r>
          </w:p>
        </w:tc>
        <w:tc>
          <w:tcPr>
            <w:tcW w:w="100" w:type="dxa"/>
            <w:vAlign w:val="bottom"/>
            <w:tcBorders>
              <w:bottom w:val="single" w:sz="8" w:color="CCEEFF"/>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Todd Crockett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Mitesh Dhruv</w:t>
            </w:r>
          </w:p>
        </w:tc>
        <w:tc>
          <w:tcPr>
            <w:tcW w:w="1560" w:type="dxa"/>
            <w:vAlign w:val="bottom"/>
          </w:tcPr>
          <w:p>
            <w:pPr>
              <w:jc w:val="right"/>
              <w:ind w:right="115"/>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4"/>
                <w:szCs w:val="24"/>
                <w:color w:val="auto"/>
              </w:rPr>
            </w:pP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538,736</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608,736</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Keith Enright</w:t>
            </w:r>
          </w:p>
        </w:tc>
        <w:tc>
          <w:tcPr>
            <w:tcW w:w="15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57,500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300,006</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357,506</w:t>
            </w:r>
          </w:p>
        </w:tc>
        <w:tc>
          <w:tcPr>
            <w:tcW w:w="0" w:type="dxa"/>
            <w:vAlign w:val="bottom"/>
          </w:tcPr>
          <w:p>
            <w:pPr>
              <w:spacing w:after="0"/>
              <w:rPr>
                <w:sz w:val="1"/>
                <w:szCs w:val="1"/>
                <w:color w:val="auto"/>
              </w:rPr>
            </w:pPr>
          </w:p>
        </w:tc>
      </w:tr>
      <w:tr>
        <w:trPr>
          <w:trHeight w:val="68"/>
        </w:trPr>
        <w:tc>
          <w:tcPr>
            <w:tcW w:w="6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Ashley Evans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Mader</w:t>
            </w:r>
          </w:p>
        </w:tc>
        <w:tc>
          <w:tcPr>
            <w:tcW w:w="15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369,370</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429,370</w:t>
            </w:r>
          </w:p>
        </w:tc>
        <w:tc>
          <w:tcPr>
            <w:tcW w:w="0" w:type="dxa"/>
            <w:vAlign w:val="bottom"/>
          </w:tcPr>
          <w:p>
            <w:pPr>
              <w:spacing w:after="0"/>
              <w:rPr>
                <w:sz w:val="1"/>
                <w:szCs w:val="1"/>
                <w:color w:val="auto"/>
              </w:rPr>
            </w:pPr>
          </w:p>
        </w:tc>
      </w:tr>
      <w:tr>
        <w:trPr>
          <w:trHeight w:val="67"/>
        </w:trPr>
        <w:tc>
          <w:tcPr>
            <w:tcW w:w="6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Patrick McCarter</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Mironov</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6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D. Randall Winn</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7"/>
        </w:trPr>
        <w:tc>
          <w:tcPr>
            <w:tcW w:w="60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80"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restricted stock units granted during 2020 computed in accordance with Topic 718 without taking into account estimated forfeitures. The assumptions used in the valuation are discussed in Note 16: “Equity-based Compensation” to our Consolidated Financial Statements in Part II, Item 8 of our 2020 10-K. The aggregate number of restricted stock units outstanding as of December 31, 2020 for our outside directors was as follows: 22,378 for Mr. Dhruv, 14,286 for Mr. Enright and 15,951 for Mr. Mader.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Fees in 2020</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2020, each of Messrs. Dhruv, Enright, and Mader was entitled to receive $50,000 annually as a cash retainer for their board service, with additional annual cash retainers of (i) $20,000 for Mr. Dhruv for his service as a member and the chair of the audit committee; (ii) $10,000 for Mr. Mader for his service as a member of the audit committee and (iii) $15,000 for Mr. Enright for his service as chair of the Privacy, Security and Technology Committee, prorated for the time served as chair.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each of the outside directors received sign-on equity grants of restricted stock units that were awarded and valued upon the completion of the IPO with the following values, and with each such initial grant to vest in three equal installments on each of the three succeeding anniversaries of the date on which the applicable director commenced serving on our board of directors: (i) in the case of Mr. Dhruv, a $200,000 restricted stock unit award; (ii) in the case of Mr. Enright, a $100,000 restricted stock unit award; and (iii) in the case of Mr. Mader, a $100,000 restricted stock unit award. On July 23, 2020, each of Messrs. Dhruv and Mader received 3,330 and 1,665 additional restricted stock units, respectively, which were intended to give them the benefit of the increase in the value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color w:val="auto"/>
        </w:rPr>
        <w:t>equity since the commencement of their board service. These additional restricted stock unit grants will vest on the same schedule as the sign-on grants that Messrs. Dhruv and Mader received at the time of the IPO.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time of the IPO, each outside director received, and will continue to receive each year following the IPO,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Additionally, all of our directors will continue to be reimbursed for their reasonable out-of-pocket expenses related to their board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21" w:right="339" w:bottom="1440" w:gutter="0" w:footer="0" w:header="0"/>
        </w:sectPr>
      </w:pPr>
    </w:p>
    <w:bookmarkStart w:id="35" w:name="page36"/>
    <w:bookmarkEnd w:id="35"/>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members of our Compensation Committee during 2020 included Todd Crockett, Patrick McCarter and D. Randall Winn. None of the members of our Compensation Committee during 2020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sets forth, as of December 31, 2020, certain information related to our compensation plans under which shares of our Class A common stock may be issued.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2020 Omnibus Incentive Plan</w:t>
      </w:r>
    </w:p>
    <w:p>
      <w:pPr>
        <w:spacing w:after="0" w:line="7" w:lineRule="exact"/>
        <w:rPr>
          <w:sz w:val="20"/>
          <w:szCs w:val="20"/>
          <w:color w:val="auto"/>
        </w:rPr>
      </w:pPr>
    </w:p>
    <w:p>
      <w:pPr>
        <w:ind w:left="20" w:right="480" w:firstLine="648"/>
        <w:spacing w:after="0" w:line="258" w:lineRule="auto"/>
        <w:rPr>
          <w:sz w:val="20"/>
          <w:szCs w:val="20"/>
          <w:color w:val="auto"/>
        </w:rPr>
      </w:pPr>
      <w:r>
        <w:rPr>
          <w:rFonts w:ascii="Arial" w:cs="Arial" w:eastAsia="Arial" w:hAnsi="Arial"/>
          <w:sz w:val="18"/>
          <w:szCs w:val="18"/>
          <w:color w:val="auto"/>
        </w:rPr>
        <w:t>2020 Employee Stock Purchase Plan Equity compensation plans not approved by security holders</w:t>
      </w:r>
      <w:r>
        <w:rPr>
          <w:rFonts w:ascii="Arial" w:cs="Arial" w:eastAsia="Arial" w:hAnsi="Arial"/>
          <w:sz w:val="23"/>
          <w:szCs w:val="23"/>
          <w:color w:val="auto"/>
          <w:vertAlign w:val="superscript"/>
        </w:rPr>
        <w:t>(5)</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7"/>
              </w:rPr>
              <w:t>issued upon exercise of</w:t>
            </w:r>
          </w:p>
        </w:tc>
        <w:tc>
          <w:tcPr>
            <w:tcW w:w="10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Weighted- average exercise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available for future issuance</w:t>
            </w: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options, warrants</w:t>
            </w:r>
          </w:p>
        </w:tc>
        <w:tc>
          <w:tcPr>
            <w:tcW w:w="10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price of outstanding options,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under equity compensation</w:t>
            </w:r>
          </w:p>
        </w:tc>
      </w:tr>
      <w:tr>
        <w:trPr>
          <w:trHeight w:val="186"/>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0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warrants and rights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plans</w:t>
            </w:r>
          </w:p>
        </w:tc>
      </w:tr>
      <w:tr>
        <w:trPr>
          <w:trHeight w:val="26"/>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479"/>
        </w:trPr>
        <w:tc>
          <w:tcPr>
            <w:tcW w:w="2000" w:type="dxa"/>
            <w:vAlign w:val="bottom"/>
          </w:tcPr>
          <w:p>
            <w:pPr>
              <w:jc w:val="right"/>
              <w:spacing w:after="0"/>
              <w:rPr>
                <w:sz w:val="20"/>
                <w:szCs w:val="20"/>
                <w:color w:val="auto"/>
              </w:rPr>
            </w:pPr>
            <w:r>
              <w:rPr>
                <w:rFonts w:ascii="Arial" w:cs="Arial" w:eastAsia="Arial" w:hAnsi="Arial"/>
                <w:sz w:val="18"/>
                <w:szCs w:val="18"/>
                <w:color w:val="auto"/>
              </w:rPr>
              <w:t>1,941,953</w:t>
            </w:r>
            <w:r>
              <w:rPr>
                <w:rFonts w:ascii="Arial" w:cs="Arial" w:eastAsia="Arial" w:hAnsi="Arial"/>
                <w:sz w:val="23"/>
                <w:szCs w:val="23"/>
                <w:color w:val="auto"/>
                <w:vertAlign w:val="superscript"/>
              </w:rPr>
              <w:t>(2)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$21.00</w:t>
            </w:r>
            <w:r>
              <w:rPr>
                <w:rFonts w:ascii="Arial" w:cs="Arial" w:eastAsia="Arial" w:hAnsi="Arial"/>
                <w:sz w:val="23"/>
                <w:szCs w:val="23"/>
                <w:color w:val="auto"/>
                <w:vertAlign w:val="superscript"/>
              </w:rPr>
              <w:t>(3)</w:t>
            </w:r>
          </w:p>
        </w:tc>
        <w:tc>
          <w:tcPr>
            <w:tcW w:w="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16,433,736</w:t>
            </w:r>
            <w:r>
              <w:rPr>
                <w:rFonts w:ascii="Arial" w:cs="Arial" w:eastAsia="Arial" w:hAnsi="Arial"/>
                <w:sz w:val="23"/>
                <w:szCs w:val="23"/>
                <w:color w:val="auto"/>
                <w:vertAlign w:val="superscript"/>
              </w:rPr>
              <w:t>(4)</w:t>
            </w:r>
          </w:p>
        </w:tc>
      </w:tr>
      <w:tr>
        <w:trPr>
          <w:trHeight w:val="230"/>
        </w:trPr>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200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486"/>
        </w:trPr>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11,530,734</w:t>
            </w:r>
          </w:p>
        </w:tc>
        <w:tc>
          <w:tcPr>
            <w:tcW w:w="100" w:type="dxa"/>
            <w:vAlign w:val="bottom"/>
          </w:tcPr>
          <w:p>
            <w:pPr>
              <w:spacing w:after="0"/>
              <w:rPr>
                <w:sz w:val="24"/>
                <w:szCs w:val="24"/>
                <w:color w:val="auto"/>
              </w:rPr>
            </w:pP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000" w:type="dxa"/>
            <w:vAlign w:val="bottom"/>
          </w:tcPr>
          <w:p>
            <w:pPr>
              <w:jc w:val="right"/>
              <w:spacing w:after="0"/>
              <w:rPr>
                <w:sz w:val="20"/>
                <w:szCs w:val="20"/>
                <w:color w:val="auto"/>
              </w:rPr>
            </w:pPr>
            <w:r>
              <w:rPr>
                <w:rFonts w:ascii="Arial" w:cs="Arial" w:eastAsia="Arial" w:hAnsi="Arial"/>
                <w:sz w:val="18"/>
                <w:szCs w:val="18"/>
                <w:color w:val="auto"/>
              </w:rPr>
              <w:t>13,472,687</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23,933,763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-925830</wp:posOffset>
            </wp:positionV>
            <wp:extent cx="683196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17145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-608330</wp:posOffset>
            </wp:positionV>
            <wp:extent cx="683196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14541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-154305</wp:posOffset>
            </wp:positionV>
            <wp:extent cx="683196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320"/>
            <w:col w:w="6640"/>
          </w:cols>
          <w:pgMar w:left="320" w:top="1440" w:right="339" w:bottom="1440" w:gutter="0" w:footer="0" w:header="0"/>
          <w:type w:val="continuous"/>
        </w:sectPr>
      </w:pPr>
    </w:p>
    <w:p>
      <w:pPr>
        <w:spacing w:after="0" w:line="158" w:lineRule="exact"/>
        <w:rPr>
          <w:sz w:val="20"/>
          <w:szCs w:val="20"/>
          <w:color w:val="auto"/>
        </w:rPr>
      </w:pPr>
    </w:p>
    <w:p>
      <w:pPr>
        <w:jc w:val="both"/>
        <w:ind w:left="900" w:right="260" w:hanging="429"/>
        <w:spacing w:after="0" w:line="224" w:lineRule="auto"/>
        <w:tabs>
          <w:tab w:leader="none" w:pos="9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We have two equity compensation plans that have been approved by our stockholders: the 2020 Omnibus Incentive Plan and the 2020 Employee Stock Purchase Plan (the “ESPP”). We have granted awards under the 2020 Omnibus Incentive Plan, however, as of December 31, 2020, we had not offered our employees the opportunity to purchase any shares under the ESPP.</w:t>
      </w:r>
    </w:p>
    <w:p>
      <w:pPr>
        <w:spacing w:after="0" w:line="22" w:lineRule="exact"/>
        <w:rPr>
          <w:rFonts w:ascii="Arial" w:cs="Arial" w:eastAsia="Arial" w:hAnsi="Arial"/>
          <w:sz w:val="19"/>
          <w:szCs w:val="19"/>
          <w:color w:val="auto"/>
          <w:vertAlign w:val="superscript"/>
        </w:rPr>
      </w:pPr>
    </w:p>
    <w:p>
      <w:pPr>
        <w:jc w:val="both"/>
        <w:ind w:left="900" w:right="260" w:hanging="429"/>
        <w:spacing w:after="0" w:line="200" w:lineRule="auto"/>
        <w:tabs>
          <w:tab w:leader="none" w:pos="9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Consists of 986,204 shares of our Class A common stock issuable upon the settlement of RSUs, 355,689 shares of our Class A common stock issuable upon the exchange of Class P Units, 47,620 shares of our Class A common stock issuable upon the conversion of LTIP Units, and 552,440 shares of our Class A common stock issuable upon the exercise of stock options. The number of shares of Class A common stock issuable upon exchange of Class P Units included in the table above is based on the closing market price of our Class A Common Stock on December 31, 2020 of $48.23 per share.</w:t>
      </w:r>
    </w:p>
    <w:p>
      <w:pPr>
        <w:spacing w:after="0" w:line="9" w:lineRule="exact"/>
        <w:rPr>
          <w:rFonts w:ascii="Arial" w:cs="Arial" w:eastAsia="Arial" w:hAnsi="Arial"/>
          <w:sz w:val="19"/>
          <w:szCs w:val="19"/>
          <w:color w:val="auto"/>
          <w:vertAlign w:val="superscript"/>
        </w:rPr>
      </w:pPr>
    </w:p>
    <w:p>
      <w:pPr>
        <w:ind w:left="900" w:right="260" w:hanging="429"/>
        <w:spacing w:after="0" w:line="200" w:lineRule="auto"/>
        <w:tabs>
          <w:tab w:leader="none" w:pos="9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The weighted average exercise price relates only to stock options. The calculation of the weighted average exercise price does not include outstanding equity awards that are received or exercised for no consideration.</w:t>
      </w:r>
    </w:p>
    <w:p>
      <w:pPr>
        <w:spacing w:after="0" w:line="7" w:lineRule="exact"/>
        <w:rPr>
          <w:rFonts w:ascii="Arial" w:cs="Arial" w:eastAsia="Arial" w:hAnsi="Arial"/>
          <w:sz w:val="19"/>
          <w:szCs w:val="19"/>
          <w:color w:val="auto"/>
          <w:vertAlign w:val="superscript"/>
        </w:rPr>
      </w:pPr>
    </w:p>
    <w:p>
      <w:pPr>
        <w:jc w:val="both"/>
        <w:ind w:left="900" w:right="240" w:hanging="429"/>
        <w:spacing w:after="0" w:line="219" w:lineRule="auto"/>
        <w:tabs>
          <w:tab w:leader="none" w:pos="900"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Consists of shares of our Class A common stock available for future stock-based awards under our 2020 Omnibus Incentive Plan which may include, at the discretion of our Compensation Committee or Board of Directors, non-qualified stock options, incentive stock options, stock appreciation rights, RSUs, restricted stock, OpCo Units or other classes of partnership units in ZoomInfo OpCo (including, without limitation, LTIP Units), performance-based awards and other equity-based awards.</w:t>
      </w:r>
    </w:p>
    <w:p>
      <w:pPr>
        <w:spacing w:after="0" w:line="7" w:lineRule="exact"/>
        <w:rPr>
          <w:rFonts w:ascii="Arial" w:cs="Arial" w:eastAsia="Arial" w:hAnsi="Arial"/>
          <w:sz w:val="17"/>
          <w:szCs w:val="17"/>
          <w:color w:val="auto"/>
          <w:vertAlign w:val="superscript"/>
        </w:rPr>
      </w:pPr>
    </w:p>
    <w:p>
      <w:pPr>
        <w:jc w:val="both"/>
        <w:ind w:left="900" w:right="240" w:hanging="429"/>
        <w:spacing w:after="0" w:line="201" w:lineRule="auto"/>
        <w:tabs>
          <w:tab w:leader="none" w:pos="9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Relates to Class P Units awarded prior to our IPO. The Class P Units are “profits interests” having economic characteristics similar to a stock option and have the right to share in any increase in the equity value of ZoomInfo OpCo above a certain participation threshold (i.e., the distribution threshold). Vested Class P units are exchangeable, at the holder’s election, into a number of shares of our Class A common stock equal in value to the “spread value” represented by the excess of the value of shares of Class A common stock at the time of exchange above the “distribution threshold” associated with the Class P Units, multiplied by the number of Class P Units being exchanged. The number of shares of Class A common stock issuable upon exchange of Class P Units included in the table above is based on the closing market price of our Class A common stock on December 31, 2020 of $48.23 per share. All Class P Units awarded since our IPO have been awarded pursuant to the 2020 Omnibus Incentive Plan and all future Class P Units will be awarded pursuant to such plan or another plan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SECURITIES</w:t>
      </w:r>
    </w:p>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shares of our common stock as of March 5, 2021 by (1) each person known to us to beneficially own more than 5% of our outstanding common stock, (2) each of our directors and Named Executive Officers and (3) all of our directors and executive officers as a group. Beneficial ownership is determined in accordance with the rules of the SEC.</w:t>
      </w:r>
    </w:p>
    <w:p>
      <w:pPr>
        <w:spacing w:after="0" w:line="16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percentage of beneficial ownership of shares of our Class A common stock, our Class B common stock, and our Class C common stock is based on 101,554,566 shares of Class A common stock outstanding, 207,393,591 shares of Class B common stock outstanding, and 82,253,336 shares of Class C common stock outstanding as of March 5, 2021.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Name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 Associates</w:t>
      </w:r>
      <w:r>
        <w:rPr>
          <w:rFonts w:ascii="Arial" w:cs="Arial" w:eastAsia="Arial" w:hAnsi="Arial"/>
          <w:sz w:val="18"/>
          <w:szCs w:val="18"/>
          <w:color w:val="auto"/>
          <w:vertAlign w:val="superscript"/>
        </w:rPr>
        <w:t>(5)(23)</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Funds affiliated with Carlyle</w:t>
      </w:r>
      <w:r>
        <w:rPr>
          <w:rFonts w:ascii="Arial" w:cs="Arial" w:eastAsia="Arial" w:hAnsi="Arial"/>
          <w:sz w:val="18"/>
          <w:szCs w:val="18"/>
          <w:color w:val="auto"/>
          <w:vertAlign w:val="superscript"/>
        </w:rPr>
        <w:t>(6)(23)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22C Capital</w:t>
      </w:r>
      <w:r>
        <w:rPr>
          <w:rFonts w:ascii="Arial" w:cs="Arial" w:eastAsia="Arial" w:hAnsi="Arial"/>
          <w:sz w:val="18"/>
          <w:szCs w:val="18"/>
          <w:color w:val="auto"/>
          <w:vertAlign w:val="superscript"/>
        </w:rPr>
        <w:t>(7)(23)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 Holdings (WA), LLC</w:t>
      </w:r>
      <w:r>
        <w:rPr>
          <w:rFonts w:ascii="Arial" w:cs="Arial" w:eastAsia="Arial" w:hAnsi="Arial"/>
          <w:sz w:val="18"/>
          <w:szCs w:val="18"/>
          <w:color w:val="auto"/>
          <w:vertAlign w:val="superscript"/>
        </w:rPr>
        <w:t>(8)(23)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Kirk Brown</w:t>
      </w:r>
      <w:r>
        <w:rPr>
          <w:rFonts w:ascii="Arial" w:cs="Arial" w:eastAsia="Arial" w:hAnsi="Arial"/>
          <w:sz w:val="18"/>
          <w:szCs w:val="18"/>
          <w:color w:val="auto"/>
          <w:vertAlign w:val="superscript"/>
        </w:rPr>
        <w:t>(9)(23)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(10)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Wellington Management Group LLP</w:t>
      </w:r>
      <w:r>
        <w:rPr>
          <w:rFonts w:ascii="Arial" w:cs="Arial" w:eastAsia="Arial" w:hAnsi="Arial"/>
          <w:sz w:val="18"/>
          <w:szCs w:val="18"/>
          <w:color w:val="auto"/>
          <w:vertAlign w:val="superscript"/>
        </w:rPr>
        <w:t>(11)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(12)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Vanguard Group Inc.</w:t>
      </w:r>
      <w:r>
        <w:rPr>
          <w:rFonts w:ascii="Arial" w:cs="Arial" w:eastAsia="Arial" w:hAnsi="Arial"/>
          <w:sz w:val="18"/>
          <w:szCs w:val="18"/>
          <w:color w:val="auto"/>
          <w:vertAlign w:val="superscript"/>
        </w:rPr>
        <w:t>(13)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BAMCO Inc.</w:t>
      </w:r>
      <w:r>
        <w:rPr>
          <w:rFonts w:ascii="Arial" w:cs="Arial" w:eastAsia="Arial" w:hAnsi="Arial"/>
          <w:sz w:val="18"/>
          <w:szCs w:val="18"/>
          <w:color w:val="auto"/>
          <w:vertAlign w:val="superscript"/>
        </w:rPr>
        <w:t>(14)</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Morgan Stanley</w:t>
      </w:r>
      <w:r>
        <w:rPr>
          <w:rFonts w:ascii="Arial" w:cs="Arial" w:eastAsia="Arial" w:hAnsi="Arial"/>
          <w:sz w:val="18"/>
          <w:szCs w:val="18"/>
          <w:color w:val="auto"/>
          <w:vertAlign w:val="superscript"/>
        </w:rPr>
        <w:t>(15)</w:t>
      </w:r>
    </w:p>
    <w:p>
      <w:pPr>
        <w:ind w:left="20"/>
        <w:spacing w:after="0"/>
        <w:rPr>
          <w:sz w:val="20"/>
          <w:szCs w:val="20"/>
          <w:color w:val="auto"/>
        </w:rPr>
      </w:pPr>
      <w:r>
        <w:rPr>
          <w:rFonts w:ascii="Arial" w:cs="Arial" w:eastAsia="Arial" w:hAnsi="Arial"/>
          <w:sz w:val="14"/>
          <w:szCs w:val="14"/>
          <w:color w:val="auto"/>
        </w:rPr>
        <w:t>Allianz Global Investors U.S. Holdings LLC</w:t>
      </w:r>
      <w:r>
        <w:rPr>
          <w:rFonts w:ascii="Arial" w:cs="Arial" w:eastAsia="Arial" w:hAnsi="Arial"/>
          <w:sz w:val="18"/>
          <w:szCs w:val="18"/>
          <w:color w:val="auto"/>
          <w:vertAlign w:val="superscript"/>
        </w:rPr>
        <w:t>(16)</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Capital World Investors</w:t>
      </w:r>
      <w:r>
        <w:rPr>
          <w:rFonts w:ascii="Arial" w:cs="Arial" w:eastAsia="Arial" w:hAnsi="Arial"/>
          <w:sz w:val="18"/>
          <w:szCs w:val="18"/>
          <w:color w:val="auto"/>
          <w:vertAlign w:val="superscript"/>
        </w:rPr>
        <w:t>(17)</w:t>
      </w:r>
    </w:p>
    <w:p>
      <w:pPr>
        <w:ind w:left="20"/>
        <w:spacing w:after="0"/>
        <w:rPr>
          <w:sz w:val="20"/>
          <w:szCs w:val="20"/>
          <w:color w:val="auto"/>
        </w:rPr>
      </w:pPr>
      <w:r>
        <w:rPr>
          <w:rFonts w:ascii="Arial" w:cs="Arial" w:eastAsia="Arial" w:hAnsi="Arial"/>
          <w:sz w:val="14"/>
          <w:szCs w:val="14"/>
          <w:color w:val="auto"/>
        </w:rPr>
        <w:t>Capital Research Global Investors</w:t>
      </w:r>
      <w:r>
        <w:rPr>
          <w:rFonts w:ascii="Arial" w:cs="Arial" w:eastAsia="Arial" w:hAnsi="Arial"/>
          <w:sz w:val="18"/>
          <w:szCs w:val="18"/>
          <w:color w:val="auto"/>
          <w:vertAlign w:val="superscript"/>
        </w:rPr>
        <w:t>(18)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Henry Schuck</w:t>
      </w:r>
      <w:r>
        <w:rPr>
          <w:rFonts w:ascii="Arial" w:cs="Arial" w:eastAsia="Arial" w:hAnsi="Arial"/>
          <w:sz w:val="18"/>
          <w:szCs w:val="18"/>
          <w:color w:val="auto"/>
          <w:vertAlign w:val="superscript"/>
        </w:rPr>
        <w:t>(19)(23)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Nir Keren</w:t>
      </w:r>
      <w:r>
        <w:rPr>
          <w:rFonts w:ascii="Arial" w:cs="Arial" w:eastAsia="Arial" w:hAnsi="Arial"/>
          <w:sz w:val="18"/>
          <w:szCs w:val="18"/>
          <w:color w:val="auto"/>
          <w:vertAlign w:val="superscript"/>
        </w:rPr>
        <w:t>(24)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Chris Hays</w:t>
      </w:r>
      <w:r>
        <w:rPr>
          <w:rFonts w:ascii="Arial" w:cs="Arial" w:eastAsia="Arial" w:hAnsi="Arial"/>
          <w:sz w:val="18"/>
          <w:szCs w:val="18"/>
          <w:color w:val="auto"/>
          <w:vertAlign w:val="superscript"/>
        </w:rPr>
        <w:t>(20)</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Todd Crockett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Mitesh Dhruv</w:t>
      </w:r>
      <w:r>
        <w:rPr>
          <w:rFonts w:ascii="Arial" w:cs="Arial" w:eastAsia="Arial" w:hAnsi="Arial"/>
          <w:sz w:val="18"/>
          <w:szCs w:val="18"/>
          <w:color w:val="auto"/>
          <w:vertAlign w:val="superscript"/>
        </w:rPr>
        <w:t>(21)</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Keith Enright</w:t>
      </w:r>
      <w:r>
        <w:rPr>
          <w:rFonts w:ascii="Arial" w:cs="Arial" w:eastAsia="Arial" w:hAnsi="Arial"/>
          <w:sz w:val="18"/>
          <w:szCs w:val="18"/>
          <w:color w:val="auto"/>
          <w:vertAlign w:val="superscript"/>
        </w:rPr>
        <w:t>(21)</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Ashley Evans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 Mader</w:t>
      </w:r>
      <w:r>
        <w:rPr>
          <w:rFonts w:ascii="Arial" w:cs="Arial" w:eastAsia="Arial" w:hAnsi="Arial"/>
          <w:sz w:val="18"/>
          <w:szCs w:val="18"/>
          <w:color w:val="auto"/>
          <w:vertAlign w:val="superscript"/>
        </w:rPr>
        <w:t>(21)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Patrick McCarter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Jason Mironov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 Randall Winn</w:t>
      </w:r>
      <w:r>
        <w:rPr>
          <w:rFonts w:ascii="Arial" w:cs="Arial" w:eastAsia="Arial" w:hAnsi="Arial"/>
          <w:sz w:val="18"/>
          <w:szCs w:val="18"/>
          <w:color w:val="auto"/>
          <w:vertAlign w:val="superscript"/>
        </w:rPr>
        <w:t>(22)</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Directors and executive officers as a group (12 persons)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88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w w:val="93"/>
              </w:rPr>
              <w:t>Class A Common Stock</w:t>
            </w:r>
          </w:p>
        </w:tc>
        <w:tc>
          <w:tcPr>
            <w:tcW w:w="2120" w:type="dxa"/>
            <w:vAlign w:val="bottom"/>
            <w:gridSpan w:val="6"/>
          </w:tcPr>
          <w:p>
            <w:pPr>
              <w:ind w:left="320"/>
              <w:spacing w:after="0"/>
              <w:rPr>
                <w:sz w:val="20"/>
                <w:szCs w:val="20"/>
                <w:color w:val="auto"/>
              </w:rPr>
            </w:pPr>
            <w:r>
              <w:rPr>
                <w:rFonts w:ascii="Arial" w:cs="Arial" w:eastAsia="Arial" w:hAnsi="Arial"/>
                <w:sz w:val="14"/>
                <w:szCs w:val="14"/>
                <w:b w:val="1"/>
                <w:bCs w:val="1"/>
                <w:color w:val="auto"/>
              </w:rPr>
              <w:t>Class B Common Stock</w:t>
            </w:r>
          </w:p>
        </w:tc>
        <w:tc>
          <w:tcPr>
            <w:tcW w:w="280" w:type="dxa"/>
            <w:vAlign w:val="bottom"/>
          </w:tcPr>
          <w:p>
            <w:pPr>
              <w:spacing w:after="0"/>
              <w:rPr>
                <w:sz w:val="14"/>
                <w:szCs w:val="14"/>
                <w:color w:val="auto"/>
              </w:rPr>
            </w:pPr>
          </w:p>
        </w:tc>
        <w:tc>
          <w:tcPr>
            <w:tcW w:w="192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w w:val="94"/>
              </w:rPr>
              <w:t>Class C Common Stock</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Combined</w:t>
            </w:r>
          </w:p>
        </w:tc>
      </w:tr>
      <w:tr>
        <w:trPr>
          <w:trHeight w:val="215"/>
        </w:trPr>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w w:val="92"/>
              </w:rPr>
              <w:t>Beneficially Owned</w:t>
            </w:r>
            <w:r>
              <w:rPr>
                <w:rFonts w:ascii="Arial" w:cs="Arial" w:eastAsia="Arial" w:hAnsi="Arial"/>
                <w:sz w:val="18"/>
                <w:szCs w:val="18"/>
                <w:b w:val="1"/>
                <w:bCs w:val="1"/>
                <w:color w:val="auto"/>
                <w:w w:val="92"/>
                <w:vertAlign w:val="superscript"/>
              </w:rPr>
              <w:t>(1)(3)</w:t>
            </w: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18"/>
                <w:szCs w:val="18"/>
                <w:b w:val="1"/>
                <w:bCs w:val="1"/>
                <w:color w:val="auto"/>
                <w:vertAlign w:val="superscript"/>
              </w:rPr>
              <w:t>(1)(2)</w:t>
            </w: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w w:val="99"/>
              </w:rPr>
              <w:t>Beneficially Owned</w:t>
            </w:r>
            <w:r>
              <w:rPr>
                <w:rFonts w:ascii="Arial" w:cs="Arial" w:eastAsia="Arial" w:hAnsi="Arial"/>
                <w:sz w:val="18"/>
                <w:szCs w:val="18"/>
                <w:b w:val="1"/>
                <w:bCs w:val="1"/>
                <w:color w:val="auto"/>
                <w:w w:val="99"/>
                <w:vertAlign w:val="superscript"/>
              </w:rPr>
              <w:t>(3)</w:t>
            </w: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Voting Power</w:t>
            </w:r>
            <w:r>
              <w:rPr>
                <w:rFonts w:ascii="Arial" w:cs="Arial" w:eastAsia="Arial" w:hAnsi="Arial"/>
                <w:sz w:val="18"/>
                <w:szCs w:val="18"/>
                <w:b w:val="1"/>
                <w:bCs w:val="1"/>
                <w:color w:val="auto"/>
                <w:w w:val="90"/>
                <w:vertAlign w:val="superscript"/>
              </w:rPr>
              <w:t>(4)</w:t>
            </w:r>
          </w:p>
        </w:tc>
      </w:tr>
      <w:tr>
        <w:trPr>
          <w:trHeight w:val="156"/>
        </w:trPr>
        <w:tc>
          <w:tcPr>
            <w:tcW w:w="300" w:type="dxa"/>
            <w:vAlign w:val="bottom"/>
            <w:tcBorders>
              <w:left w:val="single" w:sz="8" w:color="auto"/>
            </w:tcBorders>
          </w:tcPr>
          <w:p>
            <w:pPr>
              <w:spacing w:after="0"/>
              <w:rPr>
                <w:sz w:val="13"/>
                <w:szCs w:val="13"/>
                <w:color w:val="auto"/>
              </w:rPr>
            </w:pPr>
          </w:p>
        </w:tc>
        <w:tc>
          <w:tcPr>
            <w:tcW w:w="820" w:type="dxa"/>
            <w:vAlign w:val="bottom"/>
            <w:tcBorders>
              <w:right w:val="single" w:sz="8" w:color="auto"/>
            </w:tcBorders>
            <w:gridSpan w:val="2"/>
          </w:tcPr>
          <w:p>
            <w:pPr>
              <w:jc w:val="right"/>
              <w:ind w:right="248"/>
              <w:spacing w:after="0" w:line="155" w:lineRule="exact"/>
              <w:rPr>
                <w:sz w:val="20"/>
                <w:szCs w:val="20"/>
                <w:color w:val="auto"/>
              </w:rPr>
            </w:pPr>
            <w:r>
              <w:rPr>
                <w:rFonts w:ascii="Arial" w:cs="Arial" w:eastAsia="Arial" w:hAnsi="Arial"/>
                <w:sz w:val="14"/>
                <w:szCs w:val="14"/>
                <w:b w:val="1"/>
                <w:bCs w:val="1"/>
                <w:color w:val="auto"/>
                <w:w w:val="90"/>
              </w:rPr>
              <w:t>Number</w:t>
            </w:r>
          </w:p>
        </w:tc>
        <w:tc>
          <w:tcPr>
            <w:tcW w:w="1060" w:type="dxa"/>
            <w:vAlign w:val="bottom"/>
            <w:tcBorders>
              <w:right w:val="single" w:sz="8" w:color="auto"/>
            </w:tcBorders>
            <w:gridSpan w:val="3"/>
          </w:tcPr>
          <w:p>
            <w:pPr>
              <w:jc w:val="right"/>
              <w:ind w:right="388"/>
              <w:spacing w:after="0" w:line="155" w:lineRule="exact"/>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auto"/>
            </w:tcBorders>
            <w:gridSpan w:val="3"/>
          </w:tcPr>
          <w:p>
            <w:pPr>
              <w:ind w:left="320"/>
              <w:spacing w:after="0" w:line="155" w:lineRule="exact"/>
              <w:rPr>
                <w:sz w:val="20"/>
                <w:szCs w:val="20"/>
                <w:color w:val="auto"/>
              </w:rPr>
            </w:pPr>
            <w:r>
              <w:rPr>
                <w:rFonts w:ascii="Arial" w:cs="Arial" w:eastAsia="Arial" w:hAnsi="Arial"/>
                <w:sz w:val="14"/>
                <w:szCs w:val="14"/>
                <w:b w:val="1"/>
                <w:bCs w:val="1"/>
                <w:color w:val="auto"/>
              </w:rPr>
              <w:t>Number</w:t>
            </w:r>
          </w:p>
        </w:tc>
        <w:tc>
          <w:tcPr>
            <w:tcW w:w="960" w:type="dxa"/>
            <w:vAlign w:val="bottom"/>
            <w:tcBorders>
              <w:right w:val="single" w:sz="8" w:color="auto"/>
            </w:tcBorders>
            <w:gridSpan w:val="3"/>
          </w:tcPr>
          <w:p>
            <w:pPr>
              <w:jc w:val="right"/>
              <w:ind w:right="348"/>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auto"/>
            </w:tcBorders>
            <w:gridSpan w:val="3"/>
          </w:tcPr>
          <w:p>
            <w:pPr>
              <w:jc w:val="right"/>
              <w:ind w:right="248"/>
              <w:spacing w:after="0" w:line="155" w:lineRule="exact"/>
              <w:rPr>
                <w:sz w:val="20"/>
                <w:szCs w:val="20"/>
                <w:color w:val="auto"/>
              </w:rPr>
            </w:pPr>
            <w:r>
              <w:rPr>
                <w:rFonts w:ascii="Arial" w:cs="Arial" w:eastAsia="Arial" w:hAnsi="Arial"/>
                <w:sz w:val="14"/>
                <w:szCs w:val="14"/>
                <w:b w:val="1"/>
                <w:bCs w:val="1"/>
                <w:color w:val="auto"/>
              </w:rPr>
              <w:t>Number</w:t>
            </w:r>
          </w:p>
        </w:tc>
        <w:tc>
          <w:tcPr>
            <w:tcW w:w="1100" w:type="dxa"/>
            <w:vAlign w:val="bottom"/>
            <w:tcBorders>
              <w:right w:val="single" w:sz="8" w:color="auto"/>
            </w:tcBorders>
            <w:gridSpan w:val="3"/>
          </w:tcPr>
          <w:p>
            <w:pPr>
              <w:jc w:val="right"/>
              <w:ind w:right="428"/>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w:t>
            </w:r>
          </w:p>
        </w:tc>
      </w:tr>
      <w:tr>
        <w:trPr>
          <w:trHeight w:val="20"/>
        </w:trPr>
        <w:tc>
          <w:tcPr>
            <w:tcW w:w="30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224"/>
        </w:trPr>
        <w:tc>
          <w:tcPr>
            <w:tcW w:w="30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84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75,364,167</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36.3 %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27,754,071</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33.7 %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34.4 %</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37,493,725</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18.1 %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51,792,610</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63.0 %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29.8 %</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502,168</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15,079,367</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7.3 %</w:t>
            </w:r>
          </w:p>
        </w:tc>
        <w:tc>
          <w:tcPr>
            <w:tcW w:w="110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2,706,655</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5.9 %</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58,153,878</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28.0 %</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19.4 %</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58,153,878</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28.0 %</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19.4 %</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7,503,412</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7.4 %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4,994,382</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4.9 %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7,919,497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7.8 %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6,565,853</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6.5 %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4,216,732</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4.2 %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4,532,857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4.5 %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7,018,200</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6.9 %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5,982,269</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5.9 %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4,255,490</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4.2 %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1,357,519</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1.3 %</w:t>
            </w:r>
          </w:p>
        </w:tc>
        <w:tc>
          <w:tcPr>
            <w:tcW w:w="116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68,763,119</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33.2 %</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22.9 %</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924,377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600,767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84,220</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13,808</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11,111</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11,666</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502,168</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21,072,258</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10.2 %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2,706,655</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7.9 %</w:t>
            </w:r>
          </w:p>
        </w:tc>
      </w:tr>
      <w:tr>
        <w:trPr>
          <w:trHeight w:val="216"/>
        </w:trPr>
        <w:tc>
          <w:tcPr>
            <w:tcW w:w="1120" w:type="dxa"/>
            <w:vAlign w:val="bottom"/>
            <w:tcBorders>
              <w:left w:val="single" w:sz="8" w:color="auto"/>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4,269,997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4.1 %</w:t>
            </w:r>
          </w:p>
        </w:tc>
        <w:tc>
          <w:tcPr>
            <w:tcW w:w="116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89,919,597</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43.4 %</w:t>
            </w:r>
          </w:p>
        </w:tc>
        <w:tc>
          <w:tcPr>
            <w:tcW w:w="110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2,706,655</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30.9 %</w:t>
            </w:r>
          </w:p>
        </w:tc>
      </w:tr>
      <w:tr>
        <w:trPr>
          <w:trHeight w:val="25"/>
        </w:trPr>
        <w:tc>
          <w:tcPr>
            <w:tcW w:w="30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bl>
    <w:p>
      <w:pPr>
        <w:spacing w:after="0" w:line="170" w:lineRule="exact"/>
        <w:rPr>
          <w:sz w:val="20"/>
          <w:szCs w:val="20"/>
          <w:color w:val="auto"/>
        </w:rPr>
      </w:pPr>
    </w:p>
    <w:p>
      <w:pPr>
        <w:sectPr>
          <w:pgSz w:w="11900" w:h="16838" w:orient="portrait"/>
          <w:cols w:equalWidth="0" w:num="2">
            <w:col w:w="3240" w:space="420"/>
            <w:col w:w="7600"/>
          </w:cols>
          <w:pgMar w:left="320" w:top="1440" w:right="319" w:bottom="1440" w:gutter="0" w:footer="0" w:header="0"/>
          <w:type w:val="continuous"/>
        </w:sectPr>
      </w:pPr>
    </w:p>
    <w:p>
      <w:pPr>
        <w:spacing w:after="0"/>
        <w:rPr>
          <w:sz w:val="20"/>
          <w:szCs w:val="20"/>
          <w:color w:val="auto"/>
        </w:rPr>
      </w:pPr>
      <w:r>
        <w:rPr>
          <w:rFonts w:ascii="Arial" w:cs="Arial" w:eastAsia="Arial" w:hAnsi="Arial"/>
          <w:sz w:val="14"/>
          <w:szCs w:val="14"/>
          <w:color w:val="auto"/>
        </w:rPr>
        <w:t>* Represents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440" w:right="319" w:bottom="1440" w:gutter="0" w:footer="0" w:header="0"/>
          <w:type w:val="continuous"/>
        </w:sectPr>
      </w:pPr>
    </w:p>
    <w:bookmarkStart w:id="37" w:name="page38"/>
    <w:bookmarkEnd w:id="37"/>
    <w:p>
      <w:pPr>
        <w:jc w:val="both"/>
        <w:ind w:left="820" w:hanging="812"/>
        <w:spacing w:after="0" w:line="247"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See “Certain Relationships and Related Person Transactions—ZoomInfo OpCo Amended and Restated Limited Liability Company Agreement,” and “Certain Relationships and Related Person Transactions— ZoomInfo HoldCo Amended and Restated Limited Liability Company Agreement.”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spacing w:after="0" w:line="31" w:lineRule="exact"/>
        <w:rPr>
          <w:rFonts w:ascii="Arial" w:cs="Arial" w:eastAsia="Arial" w:hAnsi="Arial"/>
          <w:sz w:val="14"/>
          <w:szCs w:val="14"/>
          <w:color w:val="auto"/>
        </w:rPr>
      </w:pPr>
    </w:p>
    <w:p>
      <w:pPr>
        <w:ind w:left="820" w:hanging="812"/>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OpCo Units which are paired with an equal number of shares of Class B common stock, except as noted in footnote (7) below.</w:t>
      </w:r>
    </w:p>
    <w:p>
      <w:pPr>
        <w:spacing w:after="0" w:line="55" w:lineRule="exact"/>
        <w:rPr>
          <w:rFonts w:ascii="Arial" w:cs="Arial" w:eastAsia="Arial" w:hAnsi="Arial"/>
          <w:sz w:val="14"/>
          <w:szCs w:val="14"/>
          <w:color w:val="auto"/>
        </w:rPr>
      </w:pPr>
    </w:p>
    <w:p>
      <w:pPr>
        <w:jc w:val="both"/>
        <w:ind w:left="820" w:hanging="812"/>
        <w:spacing w:after="0" w:line="268" w:lineRule="auto"/>
        <w:tabs>
          <w:tab w:leader="none" w:pos="812"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Beneficial ownership of shares of Class C common stock reflected in this table has not been also reflected as beneficial ownership of shares of our Class A common stock for which such shares may be converted.</w:t>
      </w:r>
    </w:p>
    <w:p>
      <w:pPr>
        <w:spacing w:after="0" w:line="19" w:lineRule="exact"/>
        <w:rPr>
          <w:rFonts w:ascii="Arial" w:cs="Arial" w:eastAsia="Arial" w:hAnsi="Arial"/>
          <w:sz w:val="13"/>
          <w:szCs w:val="13"/>
          <w:color w:val="auto"/>
        </w:rPr>
      </w:pPr>
    </w:p>
    <w:p>
      <w:pPr>
        <w:ind w:left="820" w:right="20" w:hanging="812"/>
        <w:spacing w:after="0" w:line="273"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percentage of voting power of the Class A common stock, Class B common stock, and Class C common stock of ZoomInfo Technologies Inc. voting together as a single class, calculated based on the number of outstanding shares beneficially owned as of March 5, 2021 by the applicable holder.</w:t>
      </w:r>
    </w:p>
    <w:p>
      <w:pPr>
        <w:spacing w:after="0" w:line="11" w:lineRule="exact"/>
        <w:rPr>
          <w:rFonts w:ascii="Arial" w:cs="Arial" w:eastAsia="Arial" w:hAnsi="Arial"/>
          <w:sz w:val="14"/>
          <w:szCs w:val="14"/>
          <w:color w:val="auto"/>
        </w:rPr>
      </w:pPr>
    </w:p>
    <w:p>
      <w:pPr>
        <w:jc w:val="both"/>
        <w:ind w:left="820" w:hanging="812"/>
        <w:spacing w:after="0" w:line="265" w:lineRule="auto"/>
        <w:tabs>
          <w:tab w:leader="none" w:pos="812"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beneficially owned reflect (i) 55,376,065 OpCo Units (and associated shares of Class B common stock) held by TA XI DO AIV, L.P., (ii) 1,429,553 OpCo Units (and associated shares of Class B common stock) held by TA SDF III DO AIV, L.P., (iii) 9,563,394 OpCo Units (and associated shares of Class B common stock) held by TA Atlantic and Pacific VII-A, L.P., (iv) 2,056,642 OpCo Units (and associated shares of Class B common stock) held by TA Investors IV, L.P., (v) 3,621,301 OpCo Units (and associated shares of Class B common stock) held by TA XI DO AIV II, L.P., (vi) 68,287 OpCo Units (and associated shares of Class B common stock) held by TA SDF III DO AIV II, L.P., (vii) 3,248,925 OpCo Units (and associated shares of Class B common stock) held by TA AP VII-B DO Subsidiary Partnership, L.P., (viii) 14,485,209 shares of Class C common stock held by TA XI DO Feeder, L.P., (ix) 273,155 shares of Class C common stock held by TA SDF III DO Feeder, L.P., and (x) 12,995,707 shares of Class C common stock held by TA Atlantic and Pacific VII-B, L.P. (collectively, the “TA Associates Funds”).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20" w:lineRule="exact"/>
        <w:rPr>
          <w:rFonts w:ascii="Arial" w:cs="Arial" w:eastAsia="Arial" w:hAnsi="Arial"/>
          <w:sz w:val="13"/>
          <w:szCs w:val="13"/>
          <w:color w:val="auto"/>
        </w:rPr>
      </w:pPr>
    </w:p>
    <w:p>
      <w:pPr>
        <w:jc w:val="both"/>
        <w:ind w:left="820" w:hanging="812"/>
        <w:spacing w:after="0" w:line="257"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Carlyle Partners VI Evergreen Holdings, L.P. (“Carlyle Evergreen”) is the record holder of 37,493,725 OpCo Units (and associated shares of Class B common stock). CP VI Evergreen Holdings, L.P. (“CP VI Evergreen”) is the record holder of 37,702,342 shares of Class C common stock. Carlyle Partners VI Dash Holdings, L.P. (together with Carlyle Evergreen and CP VI Evergreen, the “Carlyle Investors”) is the record holder of 14,090,268 shares of Class C common stock.</w:t>
      </w:r>
    </w:p>
    <w:p>
      <w:pPr>
        <w:spacing w:after="0" w:line="22" w:lineRule="exact"/>
        <w:rPr>
          <w:rFonts w:ascii="Arial" w:cs="Arial" w:eastAsia="Arial" w:hAnsi="Arial"/>
          <w:sz w:val="14"/>
          <w:szCs w:val="14"/>
          <w:color w:val="auto"/>
        </w:rPr>
      </w:pPr>
    </w:p>
    <w:p>
      <w:pPr>
        <w:jc w:val="both"/>
        <w:ind w:left="820"/>
        <w:spacing w:after="0" w:line="249" w:lineRule="auto"/>
        <w:rPr>
          <w:rFonts w:ascii="Arial" w:cs="Arial" w:eastAsia="Arial" w:hAnsi="Arial"/>
          <w:sz w:val="14"/>
          <w:szCs w:val="14"/>
          <w:color w:val="auto"/>
        </w:rPr>
      </w:pPr>
      <w:r>
        <w:rPr>
          <w:rFonts w:ascii="Arial" w:cs="Arial" w:eastAsia="Arial" w:hAnsi="Arial"/>
          <w:sz w:val="14"/>
          <w:szCs w:val="14"/>
          <w:color w:val="auto"/>
        </w:rPr>
        <w:t>Carlyle Group Management L.L.C. holds an irrevocable proxy to vote a majority of the shares of The Carlyle Group Inc., which is a publicly traded entity listed on the Nasdaq. The Carlyle Group Inc. is the sole shareholder of Carlyle Holdings I GP Inc., which is the managing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8" w:lineRule="exact"/>
        <w:rPr>
          <w:rFonts w:ascii="Arial" w:cs="Arial" w:eastAsia="Arial" w:hAnsi="Arial"/>
          <w:sz w:val="14"/>
          <w:szCs w:val="14"/>
          <w:color w:val="auto"/>
        </w:rPr>
      </w:pPr>
    </w:p>
    <w:p>
      <w:pPr>
        <w:jc w:val="both"/>
        <w:ind w:left="820"/>
        <w:spacing w:after="0" w:line="252" w:lineRule="auto"/>
        <w:rPr>
          <w:rFonts w:ascii="Arial" w:cs="Arial" w:eastAsia="Arial" w:hAnsi="Arial"/>
          <w:sz w:val="14"/>
          <w:szCs w:val="14"/>
          <w:color w:val="auto"/>
        </w:rPr>
      </w:pPr>
      <w:r>
        <w:rPr>
          <w:rFonts w:ascii="Arial" w:cs="Arial" w:eastAsia="Arial" w:hAnsi="Arial"/>
          <w:sz w:val="14"/>
          <w:szCs w:val="14"/>
          <w:color w:val="auto"/>
        </w:rPr>
        <w:t>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spacing w:after="0" w:line="25" w:lineRule="exact"/>
        <w:rPr>
          <w:rFonts w:ascii="Arial" w:cs="Arial" w:eastAsia="Arial" w:hAnsi="Arial"/>
          <w:sz w:val="14"/>
          <w:szCs w:val="14"/>
          <w:color w:val="auto"/>
        </w:rPr>
      </w:pPr>
    </w:p>
    <w:p>
      <w:pPr>
        <w:jc w:val="both"/>
        <w:ind w:left="820"/>
        <w:spacing w:after="0" w:line="249" w:lineRule="auto"/>
        <w:rPr>
          <w:rFonts w:ascii="Arial" w:cs="Arial" w:eastAsia="Arial" w:hAnsi="Arial"/>
          <w:sz w:val="14"/>
          <w:szCs w:val="14"/>
          <w:color w:val="auto"/>
        </w:rPr>
      </w:pPr>
      <w:r>
        <w:rPr>
          <w:rFonts w:ascii="Arial" w:cs="Arial" w:eastAsia="Arial" w:hAnsi="Arial"/>
          <w:sz w:val="14"/>
          <w:szCs w:val="14"/>
          <w:color w:val="auto"/>
        </w:rPr>
        <w:t>Voting and investment determinations with respect to the securities held by Carlyle Evergreen and CP VI Evergreen are made by an investment committee of TC Group VI S1, L.P., and voting and investment determinations with respect to the securities held by Carlyle Partners VI Dash Holdings, L.P. are made by an investment committee of TC Group VI, L.P., each of which is comprised of Allan Holt, William Conway, Jr., Daniel D’Aniello, David Rubenstein, Peter Clare, Kewsong Lee, Norma Kuntz, Sandra Horbach, and Marco De Benedetti, as a non-voting observer. Accordingly, each of the entities and individuals named in this footnote may be deemed to share beneficial ownership of the securities held of record by the Carlyle Investors. Each of them disclaims beneficial ownership of such securities.</w:t>
      </w:r>
    </w:p>
    <w:p>
      <w:pPr>
        <w:spacing w:after="0" w:line="28" w:lineRule="exact"/>
        <w:rPr>
          <w:rFonts w:ascii="Arial" w:cs="Arial" w:eastAsia="Arial" w:hAnsi="Arial"/>
          <w:sz w:val="14"/>
          <w:szCs w:val="14"/>
          <w:color w:val="auto"/>
        </w:rPr>
      </w:pPr>
    </w:p>
    <w:p>
      <w:pPr>
        <w:jc w:val="both"/>
        <w:ind w:left="820"/>
        <w:spacing w:after="0" w:line="257" w:lineRule="auto"/>
        <w:rPr>
          <w:rFonts w:ascii="Arial" w:cs="Arial" w:eastAsia="Arial" w:hAnsi="Arial"/>
          <w:sz w:val="14"/>
          <w:szCs w:val="14"/>
          <w:color w:val="auto"/>
        </w:rPr>
      </w:pPr>
      <w:r>
        <w:rPr>
          <w:rFonts w:ascii="Arial" w:cs="Arial" w:eastAsia="Arial" w:hAnsi="Arial"/>
          <w:sz w:val="14"/>
          <w:szCs w:val="14"/>
          <w:color w:val="auto"/>
        </w:rPr>
        <w:t>The address of each of TC Group Cayman Investment Holdings, L.P. and TC Group Cayman Investment Holdings Sub L.P. is c/o Walkers, Cayman Corporate Center, 27 Hospital Road, George Town, Grand Cayman KY1-9008, Cayman Islands. The address of each of the other entities named in this footnote is c/o The Carlyle Group Inc., 1001 Pennsylvania Avenue, NW, Suite 220 South, Washington, District of Columbia 20004.</w:t>
      </w:r>
    </w:p>
    <w:p>
      <w:pPr>
        <w:spacing w:after="0" w:line="22" w:lineRule="exact"/>
        <w:rPr>
          <w:rFonts w:ascii="Arial" w:cs="Arial" w:eastAsia="Arial" w:hAnsi="Arial"/>
          <w:sz w:val="14"/>
          <w:szCs w:val="14"/>
          <w:color w:val="auto"/>
        </w:rPr>
      </w:pPr>
    </w:p>
    <w:p>
      <w:pPr>
        <w:jc w:val="both"/>
        <w:ind w:left="820" w:hanging="812"/>
        <w:spacing w:after="0" w:line="257"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beneficially owned reflect (i) 2,308,179 shares of Class C common stock and 12,182,507 OpCo Units (and associated shares of Class B common stock) held directly by 22C Magellan Holdings LLC, whose two principal members are 22C DiscoverOrg Investors, LLC and 22C Capital I, L.P., (ii) 398,476 shares of Class C common stock and 76,812 HoldCo Units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17" w:right="339" w:bottom="1440" w:gutter="0" w:footer="0" w:header="0"/>
        </w:sectPr>
      </w:pPr>
    </w:p>
    <w:bookmarkStart w:id="38" w:name="page39"/>
    <w:bookmarkEnd w:id="38"/>
    <w:p>
      <w:pPr>
        <w:spacing w:after="0" w:line="31" w:lineRule="exact"/>
        <w:rPr>
          <w:sz w:val="20"/>
          <w:szCs w:val="20"/>
          <w:color w:val="auto"/>
        </w:rPr>
      </w:pPr>
    </w:p>
    <w:p>
      <w:pPr>
        <w:jc w:val="both"/>
        <w:ind w:left="820"/>
        <w:spacing w:after="0" w:line="244" w:lineRule="auto"/>
        <w:rPr>
          <w:sz w:val="20"/>
          <w:szCs w:val="20"/>
          <w:color w:val="auto"/>
        </w:rPr>
      </w:pPr>
      <w:r>
        <w:rPr>
          <w:rFonts w:ascii="Arial" w:cs="Arial" w:eastAsia="Arial" w:hAnsi="Arial"/>
          <w:sz w:val="14"/>
          <w:szCs w:val="14"/>
          <w:color w:val="auto"/>
        </w:rPr>
        <w:t>associated shares of Class B common stock) held directly by 22C Capital I-A, L.P.; and (iii) 502,168 shares of Class A common stock and 2,820,048 OpCo Units (and associated shares of Class B common stock) held directly by 22C DiscoverOrg MM, LLC. 22C DiscoverOrg MM, LLC is the managing member of 22C DiscoverOrg Investors, LLC. 22C DiscoverOrg Advisors, LLC is the managing member of 22C DiscoverOrg MM, LLC. 22C Capital GP I, L.L.C. is the general partner of 22C Capital I, L.P. and of 22C Capital I-A, L.P. 22C Capital GP I MM LLC is the managing member of 22C Capital GP I, L.L.C. Eric Edell and D. Randall Winn are co-managing members of 22C DiscoverOrg Advisors, LLC and co-members of 22C Capital GP I MM LLC and, in such capacities, exercise voting or investment power over the shares of Class C common stock and OpCo Units (and associated shares of Class B common stock) held directly by 22C Magellan Holdings LLC, the shares of Class C common stock and HoldCo Units (and associated shares of Class B common stock) held directly by 22C Capital I-A, L.P. and the shares of Class A common stock and OpCo Units (and associated shares of Class B common stock) held directly by 22C DiscoverOrg MM, LLC. In addition, as disclosed in footnote (21) below, D. Randall Winn exercises voting and investment power over OpCo Units (and associated shares of Class B common stock) held directly by Mr. Winn in his individual capacity, and over OpCo Units (and associated shares of Class B common stock) held directly by FiveW DiscoverOrg LLC. The address of 22C Magellan Holdings LLC, 22C Capital I-A, L.P., Eric Edell and D. Randall Winn is 445 Park Avenue, 13th Floor, New York, New York 10022.</w:t>
      </w:r>
    </w:p>
    <w:p>
      <w:pPr>
        <w:spacing w:after="0" w:line="36" w:lineRule="exact"/>
        <w:rPr>
          <w:sz w:val="20"/>
          <w:szCs w:val="20"/>
          <w:color w:val="auto"/>
        </w:rPr>
      </w:pPr>
    </w:p>
    <w:p>
      <w:pPr>
        <w:jc w:val="both"/>
        <w:ind w:left="820" w:hanging="812"/>
        <w:spacing w:after="0" w:line="257" w:lineRule="auto"/>
        <w:tabs>
          <w:tab w:leader="none" w:pos="812"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beneficially owned reflect 58,153,878 OpCo Units (and associated shares of Class B common stock) held directly by DO Holdings (WA), LLC. DO Holdings (WA), LLC is owned by Henry Schuck and Kirk Brown. Messrs. Schuck and Brown may be deemed to share voting and dispositive power over the securities held by DO Holdings (WA), LLC. The principal business address of DO Holdings (WA), LLC is c/o 805 Broadway Street, Suite 900 Vancouver, Washington 98660.</w:t>
      </w:r>
    </w:p>
    <w:p>
      <w:pPr>
        <w:spacing w:after="0" w:line="22" w:lineRule="exact"/>
        <w:rPr>
          <w:rFonts w:ascii="Arial" w:cs="Arial" w:eastAsia="Arial" w:hAnsi="Arial"/>
          <w:sz w:val="14"/>
          <w:szCs w:val="14"/>
          <w:color w:val="auto"/>
        </w:rPr>
      </w:pPr>
    </w:p>
    <w:p>
      <w:pPr>
        <w:ind w:left="820" w:hanging="812"/>
        <w:spacing w:after="0" w:line="273" w:lineRule="auto"/>
        <w:tabs>
          <w:tab w:leader="none" w:pos="812"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beneficially owned reflect the 58,153,878 OpCo Units (and associated shares of Class B common stock) held directly by DO Holdings (WA), LLC (as described above). The principal business address of Mr. Brown is c/o 1012 SE 64th Court, Vancouver, Washington 98661.</w:t>
      </w:r>
    </w:p>
    <w:p>
      <w:pPr>
        <w:spacing w:after="0" w:line="11" w:lineRule="exact"/>
        <w:rPr>
          <w:rFonts w:ascii="Arial" w:cs="Arial" w:eastAsia="Arial" w:hAnsi="Arial"/>
          <w:sz w:val="14"/>
          <w:szCs w:val="14"/>
          <w:color w:val="auto"/>
        </w:rPr>
      </w:pPr>
    </w:p>
    <w:p>
      <w:pPr>
        <w:jc w:val="both"/>
        <w:ind w:left="820" w:hanging="812"/>
        <w:spacing w:after="0" w:line="246" w:lineRule="auto"/>
        <w:tabs>
          <w:tab w:leader="none" w:pos="81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January 27, 2021 by BlackRock, Inc. in which BlackRock, Inc. reported sole voting power over 6,868,867 shares of our Class A common stock and sole dispositive power over 7,503,412 shares of our Class A common stock. According to the schedule, the subsidiaries of BlackRock, Inc. that acquired the shares of our Class A common stock reported are: BlackRock International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(UK) Limited, BlackRock (Luxembourg) S.A., BlackRock Investment Management (Australia) Limited, BlackRock Advisors (UK) Limited, BlackRock Fund Advisors and BlackRock Fund Managers Ltd. The principal business address of BlackRock, Inc. is 55 East 52nd St., New York, NY 10055.</w:t>
      </w:r>
    </w:p>
    <w:p>
      <w:pPr>
        <w:spacing w:after="0" w:line="32" w:lineRule="exact"/>
        <w:rPr>
          <w:rFonts w:ascii="Arial" w:cs="Arial" w:eastAsia="Arial" w:hAnsi="Arial"/>
          <w:sz w:val="14"/>
          <w:szCs w:val="14"/>
          <w:color w:val="auto"/>
        </w:rPr>
      </w:pPr>
    </w:p>
    <w:p>
      <w:pPr>
        <w:jc w:val="both"/>
        <w:ind w:left="820" w:hanging="812"/>
        <w:spacing w:after="0" w:line="265" w:lineRule="auto"/>
        <w:tabs>
          <w:tab w:leader="none" w:pos="8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4, 2021 by Wellington Management Group LLP, Wellington Group Holdings LLP, Wellington Investment Advisors Holdings LLP and Wellington Management Company LLP in which they reported that each of Wellington Management Group LLP, Wellington Group Holdings LLP and Wellington Investment Advisors Holdings LLP had share voting power over 4,377,458 shares of our Class A common stock and shared dispositive power over 4,994,375 shares of our Class A common stock and Wellington Management Company LLP had shared voting power over 4,319,301 shares of our Class A common stock and shared dispositive power over 4,698,550 shares of our Class A common stock. According to the schedule, the shares of our Class A common stock reported are owned of record by clients of Wellington Management Company LLP, Wellington Management Canada LLC, Wellington Management Singapore Pte Ltd, Wellington Management Hong Kong Ltd, Wellington Management International Ltd, Wellington Management Japan Pte Ltd and Wellington Management Australia Pty Ltd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address of Wellington Management Group LLP, Wellington Group Holdings LLP, Wellington Investment Advisors Holdings LLP and Wellington Management Company LLP is c/o Wellington Management Company, 280 Congress St., Boston, MA 02210.</w:t>
      </w:r>
    </w:p>
    <w:p>
      <w:pPr>
        <w:spacing w:after="0" w:line="20" w:lineRule="exact"/>
        <w:rPr>
          <w:rFonts w:ascii="Arial" w:cs="Arial" w:eastAsia="Arial" w:hAnsi="Arial"/>
          <w:sz w:val="13"/>
          <w:szCs w:val="13"/>
          <w:color w:val="auto"/>
        </w:rPr>
      </w:pPr>
    </w:p>
    <w:p>
      <w:pPr>
        <w:jc w:val="both"/>
        <w:ind w:left="820" w:hanging="812"/>
        <w:spacing w:after="0" w:line="249" w:lineRule="auto"/>
        <w:tabs>
          <w:tab w:leader="none" w:pos="81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8, 2021 by FMR LLC and Abigail P. Johnson in which they reported that FMR LLC had sole voting power over 472,149 shares of our Class A common stock and sole dispositive power over 7,919,497 shares of our Class A common stock and Abigail P. Johnson had sole dispositive power over 7,919,487 shares of our Class A common stock. According to the schedule, the subsidiaries of FMR LLC that acquired the shares of our Class A common stock reported are: FMR LLC’s subsidiaries Fidelity Institutional Asset Management Trust Company, Fidelity Management &amp; Research Company LLC and Strategic Advisers LLC. The principal business address of FMR LLC and Ms. Johnson is 245 Summer Street, Boston, MA 02210.</w:t>
      </w:r>
    </w:p>
    <w:p>
      <w:pPr>
        <w:spacing w:after="0" w:line="28"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10, 2021 by The Vanguard Group in which The Vanguard Group reported that it had shared voting power over 35,724 shares of our Class A common stock, sole dispositive power over 6,472,945 shares of our Class A common stock, and shared dispositive power over 92,008 shares of our Class A common stock. According to the schedule, the subsidiaries that acquired the shares of our Class A common stock reported are: Vanguard Asset Management, Limited, Vanguard Fiduciary Trust Company, Vanguard Global Advisors, LLC, Vanguard Group (Ireland) Limited, Vanguard Investments Australia Ltd, Vanguard Investments Canada Inc., Vanguard Investments Hong Kong Limited and Vanguard Investments UK, Limited. The principal business address of The Vanguard Group is 100 Vanguard Blvd., Malvern, PA 19355.</w:t>
      </w:r>
    </w:p>
    <w:p>
      <w:pPr>
        <w:spacing w:after="0" w:line="31" w:lineRule="exact"/>
        <w:rPr>
          <w:rFonts w:ascii="Arial" w:cs="Arial" w:eastAsia="Arial" w:hAnsi="Arial"/>
          <w:sz w:val="14"/>
          <w:szCs w:val="14"/>
          <w:color w:val="auto"/>
        </w:rPr>
      </w:pPr>
    </w:p>
    <w:p>
      <w:pPr>
        <w:jc w:val="both"/>
        <w:ind w:left="820" w:hanging="812"/>
        <w:spacing w:after="0" w:line="277" w:lineRule="auto"/>
        <w:tabs>
          <w:tab w:leader="none" w:pos="817"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11, 2021 by BAMCO Inc., Baron Capital Group, Inc., Baron Capital Management, Inc. and Ronald Baron in which they reported that BAMCO Inc. has shared voting and dispositive power over 3,989,506 shares of our Class A common stock, each of Baron Capital Group, Inc. and Ronald Baron has shared voting and dispositive power over 4,216,732 shares of our Class A common stock, and Baron Capital Management, Inc. has shared voting and dispositive power over 227,226 shares of our Class A common stock. The principal business address of BAMCO Inc. is 767 Fifth Ave., 49th Fl., New York, NY 10153.</w:t>
      </w:r>
    </w:p>
    <w:p>
      <w:pPr>
        <w:spacing w:after="0" w:line="11" w:lineRule="exact"/>
        <w:rPr>
          <w:rFonts w:ascii="Arial" w:cs="Arial" w:eastAsia="Arial" w:hAnsi="Arial"/>
          <w:sz w:val="13"/>
          <w:szCs w:val="13"/>
          <w:color w:val="auto"/>
        </w:rPr>
      </w:pPr>
    </w:p>
    <w:p>
      <w:pPr>
        <w:ind w:left="820" w:hanging="812"/>
        <w:spacing w:after="0" w:line="273" w:lineRule="auto"/>
        <w:tabs>
          <w:tab w:leader="none" w:pos="81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12, 2021 by Morgan Stanley and Morgan Stanley Investment Management Inc. (“Morgan Stanley Investment”) in which Morgan Stanley and Morgan Stanley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31" w:lineRule="exact"/>
        <w:rPr>
          <w:sz w:val="20"/>
          <w:szCs w:val="20"/>
          <w:color w:val="auto"/>
        </w:rPr>
      </w:pPr>
    </w:p>
    <w:p>
      <w:pPr>
        <w:ind w:left="820"/>
        <w:spacing w:after="0" w:line="273" w:lineRule="auto"/>
        <w:rPr>
          <w:sz w:val="20"/>
          <w:szCs w:val="20"/>
          <w:color w:val="auto"/>
        </w:rPr>
      </w:pPr>
      <w:r>
        <w:rPr>
          <w:rFonts w:ascii="Arial" w:cs="Arial" w:eastAsia="Arial" w:hAnsi="Arial"/>
          <w:sz w:val="14"/>
          <w:szCs w:val="14"/>
          <w:color w:val="auto"/>
        </w:rPr>
        <w:t>each reported that is has sole voting and dispositive power over 4,532,857 shares of our Class A common stock. The principal business address of Morgan Stanley is 1585 Broadway, New York, NY 10036 and the principal business address of Morgan Stanley Investment is 522 5th Ave., 6th Fl, New York, NY 10036.</w:t>
      </w:r>
    </w:p>
    <w:p>
      <w:pPr>
        <w:spacing w:after="0" w:line="12" w:lineRule="exact"/>
        <w:rPr>
          <w:sz w:val="20"/>
          <w:szCs w:val="20"/>
          <w:color w:val="auto"/>
        </w:rPr>
      </w:pPr>
    </w:p>
    <w:p>
      <w:pPr>
        <w:jc w:val="both"/>
        <w:ind w:left="820" w:hanging="812"/>
        <w:spacing w:after="0" w:line="247" w:lineRule="auto"/>
        <w:tabs>
          <w:tab w:leader="none" w:pos="865"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12, 2021 by Allianz Global Investors U.S. Holdings LLC (“AGI US Holdings”) and Allianz Global Investors GmbH (“AGI GmbH”) in which they reported that Allianz Global Investors U.S. LLC (“AGI US”), a wholly-owned subsidiary of AGI US Holdings, has sole voting power over 2,495,015 shares of our Class A common stock, shared voting power over 71,495 shares of our Class A common stock and sole dispositive power over 2,566,960 shares of our Class A common stock and AGI GmbH has sole voting and dispositive power over 4,451,240 shares of our Class A common stock. The principal business address of AGI US Holdings is 1633 Broadway, New York, NY 10019. The principal business address of AGI GmbH is Bockenheimer Landstrasse 42-44, Frankfurt, 2M 60323 Germany.</w:t>
      </w:r>
    </w:p>
    <w:p>
      <w:pPr>
        <w:spacing w:after="0" w:line="31"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16, 2021 by Capital World Investors (“CWI”) in which CWI reported that it has sole voting and dispositive power over 5,982,269 shares of our Class A common stock. According to the schedule,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 management services under the name "Capital World Investors." The principal business address of CWI is 333 South Hope Street, 55th Fl, Los Angeles, CA 90071.</w:t>
      </w:r>
    </w:p>
    <w:p>
      <w:pPr>
        <w:spacing w:after="0" w:line="31"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16, 2021 by Capital Research Global Investors (“CGRI”) in which CGRI reported that it has sole voting and dispositive power over 4,255,490 shares of our Class A common stock. According to the schedule, CGRI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CRGI's divisions of each of the investment management entities collectively provide investment management services under the name "Capital Research Global Investors." The principal business address of CGRI is 333 South Hope Street, 55th Fl, Los Angeles, CA 90071.</w:t>
      </w:r>
    </w:p>
    <w:p>
      <w:pPr>
        <w:spacing w:after="0" w:line="31"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beneficially owned reflect the vested Class P Units held directly by Henry Schuck (including 80,370 Class P Units that vest within 60 days) exchangeable for 1,357,519 shares of Class A common stock (based on the closing price of our Class A common stock of $45.99 per share reported on Nasdaq on March 5, 2021); 8,647,692 OpCo Units (and associated shares of Class B common stock) held directly by HSKB Funds, LLC; 58,153,878 OpCo Units (and associated shares of Class B common stock) held directly by DO Holdings (WA), LLC (as described above); and 1,961,549 HoldCo Units (and associated shares of Class B common stock) held by HSKB Funds II, LLC. HSKB Funds, LLC and HSKB Funds II, LLC are managed by HLS Management, LLC. Henry Schuck is the sole member of HLS Management, LLC. The principal business address of Mr. Schuck is c/o 805 Broadway Street, Suite 900 Vancouver, Washington 98660.</w:t>
      </w:r>
    </w:p>
    <w:p>
      <w:pPr>
        <w:spacing w:after="0" w:line="31" w:lineRule="exact"/>
        <w:rPr>
          <w:rFonts w:ascii="Arial" w:cs="Arial" w:eastAsia="Arial" w:hAnsi="Arial"/>
          <w:sz w:val="14"/>
          <w:szCs w:val="14"/>
          <w:color w:val="auto"/>
        </w:rPr>
      </w:pPr>
    </w:p>
    <w:p>
      <w:pPr>
        <w:jc w:val="both"/>
        <w:ind w:left="820" w:hanging="812"/>
        <w:spacing w:after="0" w:line="252"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beneficially owned reflect Class P Units held directly by Chris Hays (including 50,964 Class P Units that vest within 60 days) exchangeable for 590,138 shares of Class A common stock (based on the closing price of our Class A common stock of $45.99 per share reported on Nasdaq on March 5, 2021); 10,629 LLC units of HSKB Funds, LLC that vest within 60 days and upon vesting will be exchanged for shares of Class A common stock; and 84,220 OpCo Units (and associated shares of Class B common stock) held directly by Mr. Hays.</w:t>
      </w:r>
    </w:p>
    <w:p>
      <w:pPr>
        <w:spacing w:after="0" w:line="25" w:lineRule="exact"/>
        <w:rPr>
          <w:rFonts w:ascii="Arial" w:cs="Arial" w:eastAsia="Arial" w:hAnsi="Arial"/>
          <w:sz w:val="14"/>
          <w:szCs w:val="14"/>
          <w:color w:val="auto"/>
        </w:rPr>
      </w:pPr>
    </w:p>
    <w:p>
      <w:pPr>
        <w:ind w:left="820" w:hanging="812"/>
        <w:spacing w:after="0"/>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 shown includes 9,524 unvested restricted stock units that vest within 60 days.</w:t>
      </w:r>
    </w:p>
    <w:p>
      <w:pPr>
        <w:spacing w:after="0" w:line="55" w:lineRule="exact"/>
        <w:rPr>
          <w:rFonts w:ascii="Arial" w:cs="Arial" w:eastAsia="Arial" w:hAnsi="Arial"/>
          <w:sz w:val="14"/>
          <w:szCs w:val="14"/>
          <w:color w:val="auto"/>
        </w:rPr>
      </w:pPr>
    </w:p>
    <w:p>
      <w:pPr>
        <w:jc w:val="both"/>
        <w:ind w:left="820" w:hanging="812"/>
        <w:spacing w:after="0" w:line="249"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beneficially owned reflect: (i) 502,168 shares of Class A common stock, 2,706,655 shares of Class C common stock, 15,002,555 OpCo Units (and associated shares of Class B common stock), and 76,812 HoldCo Units (and associated shares of Class B common stock) beneficially owned by 22C Capital, as disclosed in footnote (7) above; (ii) 1,258,117 OpCo Units (and associated shares of Class B common stock) directly held by Mr. Winn in his individual capacity; and (iii) 4,734,774 OpCo Units (and associated shares of Class B common stock) held directly by FiveW DiscoverOrg LLC, over which Mr. Winn exercises voting and investment power. The principal business address of Mr. Winn is 445 Park Avenue, 13th Floor, New York, New York 10022.</w:t>
      </w:r>
    </w:p>
    <w:p>
      <w:pPr>
        <w:spacing w:after="0" w:line="28" w:lineRule="exact"/>
        <w:rPr>
          <w:rFonts w:ascii="Arial" w:cs="Arial" w:eastAsia="Arial" w:hAnsi="Arial"/>
          <w:sz w:val="14"/>
          <w:szCs w:val="14"/>
          <w:color w:val="auto"/>
        </w:rPr>
      </w:pPr>
    </w:p>
    <w:p>
      <w:pPr>
        <w:jc w:val="both"/>
        <w:ind w:left="820" w:hanging="812"/>
        <w:spacing w:after="0" w:line="277" w:lineRule="auto"/>
        <w:tabs>
          <w:tab w:leader="none" w:pos="817"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11" w:lineRule="exact"/>
        <w:rPr>
          <w:rFonts w:ascii="Arial" w:cs="Arial" w:eastAsia="Arial" w:hAnsi="Arial"/>
          <w:sz w:val="13"/>
          <w:szCs w:val="13"/>
          <w:color w:val="auto"/>
        </w:rPr>
      </w:pPr>
    </w:p>
    <w:p>
      <w:pPr>
        <w:ind w:left="820" w:hanging="812"/>
        <w:spacing w:after="0" w:line="273"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beneficially owned reflect Class P Units held directly by Nir Keren exchangeable for 924,377 shares of Class A common stock (based on the closing price of our Class A common stock of $45.99 per share reported on Nasdaq on March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Section 16(a) of the Exchange Act requires executive officers and directors, a company’s chief accounting officer and persons who beneficially own more than 10% of a company’s common stock, to file initial reports of ownership and reports of changes in ownership with the SEC and the Nasdaq.</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solely on our review of copies of such reports and written representations from our executive officers, directors, Carlyle, TA Associates, 22C Capital and our Founders, we believe that our executive officers, directors, Carlyle, TA Associates, 22C Capital and our Founders complied with all Section 16(a) filing requirements during 2020, except that Kirk Brown, one of our Founders, filed his Form 3 in connection with our IPO a day after the date such Form 3 was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Board of Directors has adopted a written statement of policy regarding transactions with related persons, which we refer to as our “related person policy.” Our related person policy requires that information about any “related person transaction” (defined as any transaction that is anticipated would be reportable by us under Item 404(a) of Regulation S-K in which we were or are to be a participant and the amount involved exceeds $120,000 and in which any “related person” (as defined in Item 404(a) of Regulation S-K) had or will have a direct or indirect material interest) proposed to be entered into by the Company must be reported to the Company’s General Counsel. The General Counsel will then promptly communicate that information to our Board of Directors or a duly authorized committee of our Board of Directors. Each related person transaction shall either be approved in advance, or ratified after consummation of the transaction, by our Board of Directors or a committee of our Board of Directors composed solely of independent directors who are disinterested. Our Board of Directors has designated the Audit Committee to serve as such committee. It is our policy that directors interested in a related person transaction will recuse themselves from any vote on a related person transaction in which they have an interest.</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policy also contains a standing approval for transactions with and payments to or from TA Associates, Carlyle and investment funds associated with 22C Capital LLC (“22C Capital”) and/or their respective affiliates (including portfolio companies) (each, a “Sponsor” and, collectively, the “Sponsors”) pursuant to agreements that were in effect at the time of the IPO and certain transactions with or related to the Sponsors, including, without limitation:</w:t>
      </w:r>
    </w:p>
    <w:p>
      <w:pPr>
        <w:spacing w:after="0" w:line="2" w:lineRule="exact"/>
        <w:rPr>
          <w:sz w:val="20"/>
          <w:szCs w:val="20"/>
          <w:color w:val="auto"/>
        </w:rPr>
      </w:pPr>
    </w:p>
    <w:p>
      <w:pPr>
        <w:jc w:val="both"/>
        <w:ind w:firstLine="8"/>
        <w:spacing w:after="0" w:line="290"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transactions involving the Company’s securities in which any Sponsor serves as an underwrite, placement agent, initial purchaser, financial advisor or in a similar capacity, and the fees and commissions received by the Sponsor for such services are no greater (on a per security basis) than those received by other underwriters, placement agents, initial purchasers, financial advisors or persons performing in a similar capacity in the transaction or that would be received by an unaffiliated third party; and (2) the purchase or sale of products or services involving any Sponsor, provided that (a) the appropriate officers of the Company reasonably believe the transaction is an arm’s length transaction, (b) the subject products or services are of a type generally made available to other customers of the Sponsor and (c) the aggregate amount involved in such purchase or sale is expected to be less than $5 million over five years.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unless otherwise noted or the context requires otherwise:</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“HoldCo Units” refers to the class of units of ZoomInfo HoldCo.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“OpCo Units” refers to the class of units of ZoomInfo OpCo and does not include Class P Units.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held HoldCo Units immediately prior to the consummation of the IPO.</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“pre-IPO owners” refers, collectively, to the Sponsors, the Founders, and the management and other equity holders who were the owners of ZoomInfo OpCo immediately prior to the Reorganization Transactions (as defined below).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“Pre-IPO OpCo Unitholders” refers to the pre-IPO owners that held OpCo Units immediately prior to the consummation of the IPO.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are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 consummation of the IPO, in connection with the public offering of such Class A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has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ZoomInfo Technologies Inc. entered into two tax receivable agreements. ZoomInfo Technologies Inc. entered into (i) the Exchange Tax Receivable Agreement with the certain of our Pre-IPO OpCo Unitholders and (ii) the Reorganization Tax Receivable Agreement with the pre-IPO owners that held their interest in us through certain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9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Pre-IPO OpCo Unitholders that are taxable as corporations for U.S. federal income tax purposes (the “Blocker Companies”) immediately prior to the consummation of the IPO (such pre-IPO owners, the “Pre-IPO Blocker Holders”). These tax receivable agreements provide for the payment by ZoomInfo Technologies Inc. or any member of its affiliated, consolidated, combined, or unitary tax group (collectively,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certain reorganization transactions effected in connection with the IPO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are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are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(as described in more detail below),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increase in the ZoomInfo Tax Group’s allocable share of existing tax basis and the anticipated tax basis adjustments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exchange of OpCo Units for shares of Class A common stock, as well as the amount and timing of any payments under the tax receivable agreements, will vary depending upon a number of factors, including:</w:t>
      </w:r>
    </w:p>
    <w:p>
      <w:pPr>
        <w:spacing w:after="0" w:line="62" w:lineRule="exact"/>
        <w:rPr>
          <w:sz w:val="20"/>
          <w:szCs w:val="20"/>
          <w:color w:val="auto"/>
        </w:rPr>
      </w:pPr>
    </w:p>
    <w:p>
      <w:pPr>
        <w:jc w:val="both"/>
        <w:ind w:left="66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the ZoomInfo Tax Group’s allocable share of existing tax basis acquired upon the future exchange of OpCo Units for shares of Class A common stock will vary depending on the amount of remaining existing tax basis at the time of such exchange;</w:t>
      </w:r>
    </w:p>
    <w:p>
      <w:pPr>
        <w:spacing w:after="0" w:line="78"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62"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 and timing of our income—ZoomInfo Technologies Inc. is obligated to pay 85% of the cash tax benefits under the tax receivable agreements as and when realized. If the ZoomInfo Tax Group does not have taxable income, ZoomInfo Technologies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timing and amount of any related payments under the tax receivable agreements is uncertain since both will be dependent on the amount and timing of the ZoomInfo Tax Group’s income and other tax attributes. We expect that as a result of the size of the ZoomInfo Tax Group’s allocable share of existing tax basis acquired in the IPO (including such existing tax basis acquired from the Blocker Companies pursuant to certain transactions involving the mergers of the Blocker Companies with and into ZoomInfo Technologies Inc. (such transactions, the “Blocker Mergers”)),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we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 (together with a corresponding number of shares of Class B common stock) for shares of Class A common stock on December 31, 2020) is approximately $295.2 million (assuming a price of $48.23 per share of Class A common stock, which is the last reported sale price of our Class A common stock on the Nasdaq on December 31, 2020). There may be a material negative effect on our liquidity if, as a result of timing discrepancies or otherwise, the payments under the tax receivable agreements exceed the actual cash tax benefits that the ZoomInfo Tax Group realizes in respect of the tax attributes subject to the tax receivable agreements and/or distributions to the ZoomInfo Tax Group by ZoomInfo OpCo are not sufficient to permit ZoomInfo Technologies Inc. to make payments under the tax receivable agreements after it has paid taxes. Certain late payments under the tax receivable agreements generally will accrue interest at an uncapped rate equal to a per annum rate of LIBOR (or its successor rate) plus 500 basis points. The payments under the tax receivable agreements are not conditioned upon continued ownership of us by the exchanging holders of OpCo Units.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tax receivable agreements provide that upon certain changes of control, ZoomInfo Technologies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a per annum rate of the lesser of (i) 6.5% and (ii) LIBOR, or its successor rate, plus 100 basis points) of the anticipated future tax benefits determined using assumptions (ii) through (v) of the following paragraph.</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Furthermore, ZoomInfo Technologies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 anticipated future cash tax benefits are discounted at a per annum rate equal to the lesser of (i) 6.5% and (ii) LIBOR, or its successor rate, plus 100 basis points. Assuming that the market value of a share of Class A common stock were to be equal to $48.23 per share, which is the last reported sale price of our Class A common stock on the Nasdaq on December 31, 2020, and that LIBOR were to be 0.34% and based upon certain other assumptions described herein, we estimate that if ZoomInfo Technologies Inc. were to exercise its termination right on December 31, 2020 the aggregate amount of these termination payments would be approximately $2,323.9 million.</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change of control provisions and the early termination right, ZoomInfo Technologies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Decisions made by our pre-IPO owners in the course of running our business may influence the timing and amount of payments that are received by a pre-IPO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increase a pre-IPO owner’s tax liability without giving rise to any rights of a pre-IPO owner to receive payments under the tax receivable agreements.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Payments under the tax receivable agreements will be based on the tax reporting positions that we will determine. ZoomInfo Technologies Inc. will not be reimbursed for any payments previously made under the tax receivable agreements if the ZoomInfo Tax Group’s allocable share of existing tax basis acquired in the IPO and increased upon the exchange of OpCo Units for shares of Class A common stock, the anticipated tax basis adjustments or our utilization of tax attributes are successfully challenged by the IRS, although such amounts may reduce our future obligations, if any, under the tax receivable agreements. As a result, in certain circumstances, payments could be made under the tax receivable agreements in excess of the ZoomInfo Tax Group’s cash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ZoomInfo OpCo Amended and Restated Limited Liability Company Agreement</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of the Reorganization Transactions and certain transactions effected in connection with the IPO (the “IPO Transactions”), ZoomInfo Technologies Inc. holds HoldCo Units in ZoomInfo HoldCo and has control over ZoomInfo HoldCo, and ZoomInfo HoldCo holds OpCo Units in ZoomInfo OpCo and is the sole managing member of ZoomInfo OpCo. Accordingly, ZoomInfo Technologies Inc. operates and controls all of the business and affairs of ZoomInfo OpCo through ZoomInfo HoldCo and, through ZoomInfo OpCo and its operating entity subsidiaries, conducts our business.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amended and restated limited liability company agreement of ZoomInfo OpCo, ZoomInfo HoldCo has the right to determine when distributions will be made to holders of OpCo Units and the amount of any such distributions. If a distribution is authorized, such distribution will be made to the holders of OpCo Units pro rata in accordance with the percentages of their respective limited liability company interests.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distributions will be made in respect of unvested OpCo Units and instead such amounts will be distributed to holders of vested OpCo Units pro rata in accordance with their vested interests.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OpCo Units and Class P Units (whether vested or unvested) if ZoomInfo HoldCo, as the sole managing member of ZoomInfo OpCo, determines that a holder, by reason of holding OpCo Units or Class P Unit, as applicable, incurs an income tax liability. Generally, these tax distributions will be computed based on our estimate of the net taxable income of ZoomInfo OpCo allocated to the holder of OpCo Units that receives the greatest proportionate allocation of income multiplied by an assumed tax rate. Tax distributions with respect to Class P Units will be determined based on the assumed tax liability of such Class P Unitholder with respect to such Class P Units rather than on a pro rata basis.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have the right to exchange their vested Class P Units into a number of shares of Class A common stock that will generally be equal to (a) the product of (X) the number of vested Class P Units to be exchanged with a given per unit participation threshold (i.e., the strike price) and (Y) then-current difference between the per share value of an OpCo Unit at the time of the exchange (based on the public trading price of Class A common stock) and the per unit participation threshold (i.e.,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for shares of Class A common stock, the number of HoldCo Units held by ZoomInfo Technologies Inc. in exchange for the exchanged OpCo Units is correspondingly increased as it acquires the exchanged OpCo Units.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amended and restated limited liability company agreement of ZoomInfo OpCo also provides for the ability to issue LTIP Units, which are a class of partnership units that are intended to qualify as “profits interests”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 OpCo Units, in turn, may be exchanged into shares of Class A common stock of ZoomInfo Technologies Inc. on a one-for-one basis, subject to the terms and conditions described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ZoomInfo HoldCo Amended and Restated Limited Liability Company Agreement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Reorganization Transactions and the IPO Transactions, ZoomInfo Technologies Inc. holds HoldCo Units in ZoomInfo HoldCo and has control over ZoomInfo HoldCo. ZoomInfo HoldCo has elected to be treated as a corporation for U.S. federal income tax purposes effective upon its date of formation. ZoomInfo HoldCo intends to make payments to us such that we are able to cover all applicable taxes payable by us, any payments we are obligated to make under the tax receivable agreements.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Reorganization Transaction,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ZoomInfo Technologies Inc. may impose restrictions on exchange that it determines in good faith to be necessary so that ZoomInfo OpCo is not treated as a “publicly traded partnership” for U.S. federal income tax purposes.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OpCo Units and Payment of Blocker Merger Consideration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used approximately $42.2 million of the net proceeds we received from the IPO, in addition to purchasing newly issued HoldCo Units from ZoomInfo HoldCo, to purchase OpCo Units from certain of our Sponsors, and to fund $5.5 million of merger consideration (an aggregate cash amount equal to 275,269 shares of Class C common stock multiplied by the public offering price per share of Class A common stock in the IPO, less the underwriting discount) payable to certain of our Sponsors in connection with the Blocker Mergers, at a price per OpCo Unit or share of Class C common stock, respectively, equal to the initial public offering price per share of Class A common stock in the IPO, less the underwriting discount. Upon each purchase of OpCo Units, the corresponding shares of Class B common stock were canceled. The table below sets forth the number of OpCo Units purchased from certain of our Sponsors, and the shares of Class C common stock underlying the merger consideration payable to the Sponsors.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4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of OpCo Units Purchased</w:t>
            </w:r>
          </w:p>
        </w:tc>
        <w:tc>
          <w:tcPr>
            <w:tcW w:w="32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3"/>
              </w:rPr>
              <w:t># of Shares of Class C Common Stock Purchased</w:t>
            </w:r>
          </w:p>
        </w:tc>
        <w:tc>
          <w:tcPr>
            <w:tcW w:w="340" w:type="dxa"/>
            <w:vAlign w:val="bottom"/>
          </w:tcPr>
          <w:p>
            <w:pPr>
              <w:spacing w:after="0"/>
              <w:rPr>
                <w:sz w:val="14"/>
                <w:szCs w:val="14"/>
                <w:color w:val="auto"/>
              </w:rPr>
            </w:pPr>
          </w:p>
        </w:tc>
        <w:tc>
          <w:tcPr>
            <w:tcW w:w="2240" w:type="dxa"/>
            <w:vAlign w:val="bottom"/>
          </w:tcPr>
          <w:p>
            <w:pPr>
              <w:jc w:val="center"/>
              <w:ind w:right="222"/>
              <w:spacing w:after="0"/>
              <w:rPr>
                <w:sz w:val="20"/>
                <w:szCs w:val="20"/>
                <w:color w:val="auto"/>
              </w:rPr>
            </w:pPr>
            <w:r>
              <w:rPr>
                <w:rFonts w:ascii="Arial" w:cs="Arial" w:eastAsia="Arial" w:hAnsi="Arial"/>
                <w:sz w:val="14"/>
                <w:szCs w:val="14"/>
                <w:b w:val="1"/>
                <w:bCs w:val="1"/>
                <w:color w:val="auto"/>
                <w:w w:val="90"/>
              </w:rPr>
              <w:t>Aggregate Purchase Price</w:t>
            </w:r>
          </w:p>
        </w:tc>
        <w:tc>
          <w:tcPr>
            <w:tcW w:w="0" w:type="dxa"/>
            <w:vAlign w:val="bottom"/>
          </w:tcPr>
          <w:p>
            <w:pPr>
              <w:spacing w:after="0"/>
              <w:rPr>
                <w:sz w:val="1"/>
                <w:szCs w:val="1"/>
                <w:color w:val="auto"/>
              </w:rPr>
            </w:pPr>
          </w:p>
        </w:tc>
      </w:tr>
      <w:tr>
        <w:trPr>
          <w:trHeight w:val="105"/>
        </w:trPr>
        <w:tc>
          <w:tcPr>
            <w:tcW w:w="29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9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Sponsors</w:t>
            </w:r>
          </w:p>
        </w:tc>
        <w:tc>
          <w:tcPr>
            <w:tcW w:w="2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1,841,818</w:t>
            </w:r>
          </w:p>
        </w:tc>
        <w:tc>
          <w:tcPr>
            <w:tcW w:w="3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275,269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Michelle Brewer, our Vice President, Human Resources, is the sister-in-law of Henry Schuck, our Chief Executive Officer. Total compensation paid by the Company to Michelle Brewer, including salary, bonus, and equity compensation, for the year ended December 31, 2020 was approximately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Hila Nir, our Chief Marketing Officer, is the sister-in-law of Nir Keren, our Chief Technology Officer. Total compensation paid by the Company to Hila Nir, including salary and equity compensation, for the year ended December 31, 2020 was approximately $0.7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the Company paid approximately $0.2 million in aggregate fees for outsourced demand generation services to Be Relevant Group LLC, a firm in which Stephen Hays, the brother of Chris Hays, our Chief Operating Officer, owns a majority 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Transactions with Our Sponsors and Sponsor Portfolio Companies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limited complimentary access to our platform to 22C Capital, Carlyle and TA Associates. We estimate the value of such access provided to each of 22C Capital, Carlyle and TA Associates in 2020 to be approximately $7,500, $7,500 and $5,000, respectively. In addition, we provide our services to TA Associates and the Carlyle Group in the ordinary course of our business. We recorded revenues from TA Associates and The Carlyle Group in 2020 of approximately $137,000 and $25,000,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THE 2022 ANNUAL MEETING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stockholder wishes to propose a matter for consideration at our 2022 Annual Meeting of Stockholders (the “2022 Annual Meeting”), the proposal should be mailed by certified mail return receipt requested, to our Secretary, ZoomInfo Technologies Inc., 805 Broadway Street, Suite 900, Vancouver, Washington 98660. To be eligible under the SEC’s stockholder proposal rule (Rule 14a-8(e) of the Exchange Act) for inclusion in our proxy statement for the 2022 Annual Meeting, a proposal must be received by our Secretary on or before November 16, 2021. Failure to deliver a proposal in accordance with this procedure may result in it not being deemed timely received.</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our Bylaws permit stockholders to nominate candidates for director and present other business for consideration at our annual meeting of stockholders. To make a director nomination or present other business for consideration at the 2022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date of the first anniversary of the preceding year’s annual meeting. Therefore, to be presented at our 2022 Annual Meeting, such a proposal must be received on or after December 28, 2021, but not later than January 27, 2022. In the event that the date of the 2022 Annual Meeting is advanced by more than 30 days, or delayed by more than 70 days, from the anniversary date of this year’s Annual Meeting of Stockholders, notice by the stockholder to be timely must be so delivered not earlier than the 120th day prior to the 2022 Annual Meeting and not later than the close of business on the later of the 90th day prior to the 2022 Annual Meeting or the tenth day following the day on which public announcement of the date of the 2022 Annual Meeting is first made. If the number of directors to be elected to the Board of Directors at an annual meeting is increased and there is no public announcement by the Corporation naming all of the nominees for director or specifying the size of the increased Board of Directors at least 100 calendar days prior to the first anniversary of this year’s Annual Meeting, notice by a stockholder will be considered timely, but only with respect to nominees for any new positions created by such increase, if it is if it is delivered not later than the close of business on the tenth calendar day following the day on which such public announcement is first made. Any such proposal will be considered timely only if it is otherwise in compliance with the requirements set forth in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does not know of any other matters to be brought before the meeting. If other matters are presented, the proxy holders have discretionary authority to vote all proxies in accordance with their best judgment.</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48895</wp:posOffset>
            </wp:positionV>
            <wp:extent cx="1594485" cy="36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44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Anthony Stark</w:t>
      </w:r>
    </w:p>
    <w:p>
      <w:pPr>
        <w:spacing w:after="0" w:line="50"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Secretary</w:t>
      </w:r>
    </w:p>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We make available, free of charge on our website, all of our filings that are made electronically with the SEC, including Forms 10-K, 10-Q and 8-K. To access these filings, go to our website </w:t>
      </w:r>
      <w:r>
        <w:rPr>
          <w:rFonts w:ascii="Arial" w:cs="Arial" w:eastAsia="Arial" w:hAnsi="Arial"/>
          <w:sz w:val="18"/>
          <w:szCs w:val="18"/>
          <w:b w:val="1"/>
          <w:bCs w:val="1"/>
          <w:i w:val="1"/>
          <w:iCs w:val="1"/>
          <w:color w:val="auto"/>
        </w:rPr>
        <w:t>(ir.zoominfo.com)</w:t>
      </w:r>
      <w:r>
        <w:rPr>
          <w:rFonts w:ascii="Arial" w:cs="Arial" w:eastAsia="Arial" w:hAnsi="Arial"/>
          <w:sz w:val="18"/>
          <w:szCs w:val="18"/>
          <w:b w:val="1"/>
          <w:bCs w:val="1"/>
          <w:color w:val="auto"/>
        </w:rPr>
        <w:t xml:space="preserve"> and click on “SEC Filings” under the “Financials” heading. Copies of our Annual Report on Form 10-K for the year ended December 31, 2020, including financial statements and schedules thereto, filed with the SEC, are also available without charge to stockholders upon written request addressed to:</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ZoomInfo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805 Broadway Street, Suite 900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Vancouver, Washington 98660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
      <w:numFmt w:val="bullet"/>
      <w:start w:val="1"/>
    </w:lvl>
    <w:lvl w:ilvl="1">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lvl w:ilvl="1">
      <w:lvlJc w:val="left"/>
      <w:lvlText w:val="•"/>
      <w:numFmt w:val="bullet"/>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8"/>
    </w:lvl>
  </w:abstractNum>
  <w:abstractNum w:abstractNumId="25">
    <w:nsid w:val="71F32454"/>
    <w:multiLevelType w:val="hybridMultilevel"/>
    <w:lvl w:ilvl="0">
      <w:lvlJc w:val="left"/>
      <w:lvlText w:val="(%1)"/>
      <w:numFmt w:val="decimal"/>
      <w:start w:val="16"/>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2021-03-16T08:00:51Z</dcterms:created>
  <dcterms:modified xsi:type="dcterms:W3CDTF">2021-03-16T08:00:51Z</dcterms:modified>
</cp:coreProperties>
</file>