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586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6295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92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Hays Joseph Christopher</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140"/>
        <w:spacing w:after="0" w:line="322" w:lineRule="auto"/>
        <w:rPr>
          <w:sz w:val="20"/>
          <w:szCs w:val="20"/>
          <w:color w:val="auto"/>
        </w:rPr>
      </w:pPr>
      <w:r>
        <w:rPr>
          <w:rFonts w:ascii="Arial" w:cs="Arial" w:eastAsia="Arial" w:hAnsi="Arial"/>
          <w:sz w:val="16"/>
          <w:szCs w:val="16"/>
          <w:color w:val="0000FF"/>
        </w:rPr>
        <w:t>C/O ZOOMINFO TECHNOLOGIES INC., 805 BROADWAY STREET, 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ZoomInfo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06/10/2021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9"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99"/>
        <w:spacing w:after="0"/>
        <w:rPr>
          <w:sz w:val="20"/>
          <w:szCs w:val="20"/>
          <w:color w:val="auto"/>
        </w:rPr>
      </w:pPr>
      <w:r>
        <w:rPr>
          <w:rFonts w:ascii="Arial" w:cs="Arial" w:eastAsia="Arial" w:hAnsi="Arial"/>
          <w:sz w:val="17"/>
          <w:szCs w:val="17"/>
          <w:color w:val="0000FF"/>
        </w:rPr>
        <w:t>Chief Operating Officer</w:t>
      </w:r>
    </w:p>
    <w:p>
      <w:pPr>
        <w:spacing w:after="0" w:line="427" w:lineRule="exact"/>
        <w:rPr>
          <w:sz w:val="24"/>
          <w:szCs w:val="24"/>
          <w:color w:val="auto"/>
        </w:rPr>
      </w:pPr>
    </w:p>
    <w:p>
      <w:pPr>
        <w:sectPr>
          <w:pgSz w:w="11900" w:h="16838" w:orient="portrait"/>
          <w:cols w:equalWidth="0" w:num="3">
            <w:col w:w="3180" w:space="720"/>
            <w:col w:w="3101" w:space="720"/>
            <w:col w:w="3359"/>
          </w:cols>
          <w:pgMar w:left="460" w:top="221" w:right="359" w:bottom="922"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6"/>
          </w:tcPr>
          <w:p>
            <w:pPr>
              <w:jc w:val="center"/>
              <w:ind w:right="73"/>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10"/>
          </w:tcPr>
          <w:p>
            <w:pPr>
              <w:ind w:left="26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2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VANCOUVER   WA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98660</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120"/>
              <w:spacing w:after="0"/>
              <w:rPr>
                <w:sz w:val="20"/>
                <w:szCs w:val="20"/>
                <w:color w:val="auto"/>
              </w:rPr>
            </w:pPr>
            <w:r>
              <w:rPr>
                <w:rFonts w:ascii="Arial" w:cs="Arial" w:eastAsia="Arial" w:hAnsi="Arial"/>
                <w:sz w:val="13"/>
                <w:szCs w:val="13"/>
                <w:color w:val="auto"/>
                <w:w w:val="92"/>
              </w:rPr>
              <w:t>Person</w:t>
            </w: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18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center"/>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40" w:type="dxa"/>
            <w:vAlign w:val="bottom"/>
            <w:gridSpan w:val="3"/>
          </w:tcPr>
          <w:p>
            <w:pPr>
              <w:jc w:val="center"/>
              <w:ind w:left="589"/>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89"/>
              </w:rPr>
              <w:t>if any</w:t>
            </w:r>
          </w:p>
        </w:tc>
        <w:tc>
          <w:tcPr>
            <w:tcW w:w="70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jc w:val="center"/>
              <w:ind w:right="33"/>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06/10/2021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(1)(2)</w:t>
            </w:r>
          </w:p>
        </w:tc>
        <w:tc>
          <w:tcPr>
            <w:tcW w:w="7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8"/>
              </w:rPr>
              <w:t>15,000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4</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06/10/2021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24"/>
              <w:spacing w:after="0"/>
              <w:rPr>
                <w:sz w:val="20"/>
                <w:szCs w:val="20"/>
                <w:color w:val="auto"/>
              </w:rPr>
            </w:pPr>
            <w:r>
              <w:rPr>
                <w:rFonts w:ascii="Arial" w:cs="Arial" w:eastAsia="Arial" w:hAnsi="Arial"/>
                <w:sz w:val="25"/>
                <w:szCs w:val="25"/>
                <w:color w:val="0000FF"/>
                <w:w w:val="86"/>
                <w:vertAlign w:val="subscript"/>
              </w:rPr>
              <w:t>F</w:t>
            </w:r>
            <w:r>
              <w:rPr>
                <w:rFonts w:ascii="Arial" w:cs="Arial" w:eastAsia="Arial" w:hAnsi="Arial"/>
                <w:sz w:val="11"/>
                <w:szCs w:val="11"/>
                <w:color w:val="008000"/>
                <w:w w:val="86"/>
              </w:rPr>
              <w:t>(2)(3)</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4"/>
              </w:rPr>
              <w:t>1,337</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44.88</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13,663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06/10/2021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4"/>
              </w:rPr>
              <w:t>3,900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45.17</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9,763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06/10/2021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4"/>
              </w:rPr>
              <w:t>8,463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45.93</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1,300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06/10/2021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2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4"/>
              </w:rPr>
              <w:t>1,300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46.41</w:t>
            </w:r>
            <w:r>
              <w:rPr>
                <w:rFonts w:ascii="Arial" w:cs="Arial" w:eastAsia="Arial" w:hAnsi="Arial"/>
                <w:sz w:val="21"/>
                <w:szCs w:val="21"/>
                <w:color w:val="008000"/>
                <w:w w:val="86"/>
                <w:vertAlign w:val="superscript"/>
              </w:rPr>
              <w:t>(6)</w:t>
            </w: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19"/>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2"/>
          </w:tcPr>
          <w:p>
            <w:pPr>
              <w:jc w:val="center"/>
              <w:ind w:right="34"/>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P</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Units of</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gridSpan w:val="2"/>
            <w:vMerge w:val="restart"/>
          </w:tcPr>
          <w:p>
            <w:pPr>
              <w:ind w:left="60"/>
              <w:spacing w:after="0" w:line="282"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(1)(2)</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ZoomInfo</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w:t>
            </w:r>
          </w:p>
        </w:tc>
        <w:tc>
          <w:tcPr>
            <w:tcW w:w="1040" w:type="dxa"/>
            <w:vAlign w:val="bottom"/>
          </w:tcPr>
          <w:p>
            <w:pPr>
              <w:ind w:left="240"/>
              <w:spacing w:after="0" w:line="141" w:lineRule="exact"/>
              <w:rPr>
                <w:sz w:val="20"/>
                <w:szCs w:val="20"/>
                <w:color w:val="auto"/>
              </w:rPr>
            </w:pPr>
            <w:r>
              <w:rPr>
                <w:rFonts w:ascii="Arial" w:cs="Arial" w:eastAsia="Arial" w:hAnsi="Arial"/>
                <w:sz w:val="13"/>
                <w:szCs w:val="13"/>
                <w:color w:val="0000FF"/>
              </w:rPr>
              <w:t>06/10/2021</w:t>
            </w:r>
          </w:p>
        </w:tc>
        <w:tc>
          <w:tcPr>
            <w:tcW w:w="11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ind w:left="300"/>
              <w:spacing w:after="0" w:line="141" w:lineRule="exact"/>
              <w:rPr>
                <w:sz w:val="20"/>
                <w:szCs w:val="20"/>
                <w:color w:val="auto"/>
              </w:rPr>
            </w:pPr>
            <w:r>
              <w:rPr>
                <w:rFonts w:ascii="Arial" w:cs="Arial" w:eastAsia="Arial" w:hAnsi="Arial"/>
                <w:sz w:val="13"/>
                <w:szCs w:val="13"/>
                <w:color w:val="0000FF"/>
                <w:w w:val="95"/>
              </w:rPr>
              <w:t>15,000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tcPr>
          <w:p>
            <w:pPr>
              <w:ind w:left="280"/>
              <w:spacing w:after="0" w:line="141" w:lineRule="exact"/>
              <w:rPr>
                <w:sz w:val="20"/>
                <w:szCs w:val="20"/>
                <w:color w:val="auto"/>
              </w:rPr>
            </w:pPr>
            <w:r>
              <w:rPr>
                <w:rFonts w:ascii="Arial" w:cs="Arial" w:eastAsia="Arial" w:hAnsi="Arial"/>
                <w:sz w:val="13"/>
                <w:szCs w:val="13"/>
                <w:color w:val="0000FF"/>
              </w:rPr>
              <w:t>225,704</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Holdings</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LLC</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4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Class P limited liability company units of ZoomInfo Holdings LLC ("Class P Units") which are profits interests that are economically similar to a stock settled stock option. Vested Class P units are exchangeable, at the holder's election, into a number of shares of Class A common stock ("Class A Common Stock") of ZoomInfo Technologies Inc. (the "Issuer") equal in value to the "spread value" represented by the excess of the value of shares of Class A Common Stock at the time of exchange above the "distribution threshold" associated with the Class P Units, multiplied by the number of Class P Units being exchanged. The number reflected in Table II reflects the number of Class P Units held by the Reporting Person. Reflects an original amount of 350,704 Class P Units, of which 50% vested on July 1, 2020, and the remaining 50% vest in equal monthly installments during the 24 months following July 1, 2020.</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deemed to be withheld in connection with the exchange of Class P Units described herein.</w:t>
      </w:r>
    </w:p>
    <w:p>
      <w:pPr>
        <w:spacing w:after="0" w:line="42" w:lineRule="exact"/>
        <w:rPr>
          <w:rFonts w:ascii="Arial" w:cs="Arial" w:eastAsia="Arial" w:hAnsi="Arial"/>
          <w:sz w:val="13"/>
          <w:szCs w:val="13"/>
          <w:color w:val="008000"/>
        </w:rPr>
      </w:pPr>
    </w:p>
    <w:p>
      <w:pPr>
        <w:ind w:left="40" w:right="180" w:firstLine="1"/>
        <w:spacing w:after="0" w:line="31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$44.36 to $45.35,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ind w:left="40" w:right="180" w:firstLine="1"/>
        <w:spacing w:after="0" w:line="31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$45.37 to $46.36,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ind w:left="40" w:right="180" w:firstLine="1"/>
        <w:spacing w:after="0" w:line="30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$46.37 to $46.46,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ectPr>
          <w:pgSz w:w="11900" w:h="16838" w:orient="portrait"/>
          <w:cols w:equalWidth="0" w:num="1">
            <w:col w:w="11080"/>
          </w:cols>
          <w:pgMar w:left="460" w:top="221" w:right="359" w:bottom="922"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Anthony Stark,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25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299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4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80" w:space="120"/>
            <w:col w:w="2280"/>
          </w:cols>
          <w:pgMar w:left="460" w:top="221" w:right="359" w:bottom="922"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9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3655"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2021-06-14T19:22:38Z</dcterms:created>
  <dcterms:modified xsi:type="dcterms:W3CDTF">2021-06-14T19:22:38Z</dcterms:modified>
</cp:coreProperties>
</file>