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2"/>
          <w:szCs w:val="12"/>
          <w:color w:val="auto"/>
        </w:rPr>
        <w:t>As filed with the Securities and Exchange Commission on November 30, 2020</w:t>
      </w:r>
    </w:p>
    <w:p>
      <w:pPr>
        <w:spacing w:after="0" w:line="386"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71120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5"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51435</wp:posOffset>
            </wp:positionV>
            <wp:extent cx="1226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67" w:lineRule="exact"/>
        <w:rPr>
          <w:sz w:val="24"/>
          <w:szCs w:val="24"/>
          <w:color w:val="auto"/>
        </w:rPr>
      </w:pPr>
    </w:p>
    <w:p>
      <w:pPr>
        <w:jc w:val="center"/>
        <w:ind w:right="-319"/>
        <w:spacing w:after="0"/>
        <w:rPr>
          <w:sz w:val="20"/>
          <w:szCs w:val="20"/>
          <w:color w:val="auto"/>
        </w:rPr>
      </w:pPr>
      <w:r>
        <w:rPr>
          <w:rFonts w:ascii="Arial" w:cs="Arial" w:eastAsia="Arial" w:hAnsi="Arial"/>
          <w:sz w:val="19"/>
          <w:szCs w:val="19"/>
          <w:b w:val="1"/>
          <w:bCs w:val="1"/>
          <w:color w:val="auto"/>
        </w:rPr>
        <w:t>FORM S-1</w:t>
      </w:r>
    </w:p>
    <w:p>
      <w:pPr>
        <w:spacing w:after="0" w:line="22" w:lineRule="exact"/>
        <w:rPr>
          <w:sz w:val="24"/>
          <w:szCs w:val="24"/>
          <w:color w:val="auto"/>
        </w:rPr>
      </w:pPr>
    </w:p>
    <w:p>
      <w:pPr>
        <w:jc w:val="center"/>
        <w:ind w:right="-319"/>
        <w:spacing w:after="0"/>
        <w:rPr>
          <w:sz w:val="20"/>
          <w:szCs w:val="20"/>
          <w:color w:val="auto"/>
        </w:rPr>
      </w:pPr>
      <w:r>
        <w:rPr>
          <w:rFonts w:ascii="Arial" w:cs="Arial" w:eastAsia="Arial" w:hAnsi="Arial"/>
          <w:sz w:val="19"/>
          <w:szCs w:val="19"/>
          <w:b w:val="1"/>
          <w:bCs w:val="1"/>
          <w:color w:val="auto"/>
        </w:rPr>
        <w:t>REGISTRATION STATEMENT</w:t>
      </w:r>
    </w:p>
    <w:p>
      <w:pPr>
        <w:spacing w:after="0" w:line="5"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i w:val="1"/>
          <w:iCs w:val="1"/>
          <w:color w:val="auto"/>
        </w:rPr>
        <w:t>UNDER</w:t>
      </w:r>
    </w:p>
    <w:p>
      <w:pPr>
        <w:spacing w:after="0" w:line="8" w:lineRule="exact"/>
        <w:rPr>
          <w:sz w:val="24"/>
          <w:szCs w:val="24"/>
          <w:color w:val="auto"/>
        </w:rPr>
      </w:pPr>
    </w:p>
    <w:p>
      <w:pPr>
        <w:jc w:val="center"/>
        <w:ind w:right="-31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51435</wp:posOffset>
            </wp:positionV>
            <wp:extent cx="1226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75" w:lineRule="exact"/>
        <w:rPr>
          <w:sz w:val="24"/>
          <w:szCs w:val="24"/>
          <w:color w:val="auto"/>
        </w:rPr>
      </w:pPr>
    </w:p>
    <w:p>
      <w:pPr>
        <w:jc w:val="center"/>
        <w:ind w:right="-319"/>
        <w:spacing w:after="0"/>
        <w:rPr>
          <w:sz w:val="20"/>
          <w:szCs w:val="20"/>
          <w:color w:val="auto"/>
        </w:rPr>
      </w:pPr>
      <w:r>
        <w:rPr>
          <w:rFonts w:ascii="Arial" w:cs="Arial" w:eastAsia="Arial" w:hAnsi="Arial"/>
          <w:sz w:val="31"/>
          <w:szCs w:val="31"/>
          <w:b w:val="1"/>
          <w:bCs w:val="1"/>
          <w:color w:val="auto"/>
        </w:rPr>
        <w:t>ZoomInfo Technologies Inc.</w:t>
      </w:r>
    </w:p>
    <w:p>
      <w:pPr>
        <w:spacing w:after="0" w:line="28"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53975</wp:posOffset>
            </wp:positionV>
            <wp:extent cx="1226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92"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1700" w:type="dxa"/>
            <w:vAlign w:val="bottom"/>
          </w:tcPr>
          <w:p>
            <w:pPr>
              <w:jc w:val="center"/>
              <w:ind w:left="100"/>
              <w:spacing w:after="0"/>
              <w:rPr>
                <w:sz w:val="20"/>
                <w:szCs w:val="20"/>
                <w:color w:val="auto"/>
              </w:rPr>
            </w:pPr>
            <w:r>
              <w:rPr>
                <w:rFonts w:ascii="Arial" w:cs="Arial" w:eastAsia="Arial" w:hAnsi="Arial"/>
                <w:sz w:val="12"/>
                <w:szCs w:val="12"/>
                <w:b w:val="1"/>
                <w:bCs w:val="1"/>
                <w:color w:val="auto"/>
                <w:w w:val="94"/>
              </w:rPr>
              <w:t>Delaware</w:t>
            </w:r>
          </w:p>
        </w:tc>
        <w:tc>
          <w:tcPr>
            <w:tcW w:w="3960" w:type="dxa"/>
            <w:vAlign w:val="bottom"/>
            <w:gridSpan w:val="2"/>
          </w:tcPr>
          <w:p>
            <w:pPr>
              <w:jc w:val="center"/>
              <w:ind w:left="1940"/>
              <w:spacing w:after="0"/>
              <w:rPr>
                <w:sz w:val="20"/>
                <w:szCs w:val="20"/>
                <w:color w:val="auto"/>
              </w:rPr>
            </w:pPr>
            <w:r>
              <w:rPr>
                <w:rFonts w:ascii="Arial" w:cs="Arial" w:eastAsia="Arial" w:hAnsi="Arial"/>
                <w:sz w:val="12"/>
                <w:szCs w:val="12"/>
                <w:b w:val="1"/>
                <w:bCs w:val="1"/>
                <w:color w:val="auto"/>
                <w:w w:val="89"/>
              </w:rPr>
              <w:t>7372</w:t>
            </w:r>
          </w:p>
        </w:tc>
        <w:tc>
          <w:tcPr>
            <w:tcW w:w="2060" w:type="dxa"/>
            <w:vAlign w:val="bottom"/>
          </w:tcPr>
          <w:p>
            <w:pPr>
              <w:spacing w:after="0"/>
              <w:rPr>
                <w:sz w:val="13"/>
                <w:szCs w:val="13"/>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b w:val="1"/>
                <w:bCs w:val="1"/>
                <w:color w:val="auto"/>
              </w:rPr>
              <w:t>84-3721253</w:t>
            </w:r>
          </w:p>
        </w:tc>
      </w:tr>
      <w:tr>
        <w:trPr>
          <w:trHeight w:val="178"/>
        </w:trPr>
        <w:tc>
          <w:tcPr>
            <w:tcW w:w="1700" w:type="dxa"/>
            <w:vAlign w:val="bottom"/>
          </w:tcPr>
          <w:p>
            <w:pPr>
              <w:jc w:val="center"/>
              <w:ind w:left="100"/>
              <w:spacing w:after="0"/>
              <w:rPr>
                <w:sz w:val="20"/>
                <w:szCs w:val="20"/>
                <w:color w:val="auto"/>
              </w:rPr>
            </w:pPr>
            <w:r>
              <w:rPr>
                <w:rFonts w:ascii="Arial" w:cs="Arial" w:eastAsia="Arial" w:hAnsi="Arial"/>
                <w:sz w:val="12"/>
                <w:szCs w:val="12"/>
                <w:b w:val="1"/>
                <w:bCs w:val="1"/>
                <w:color w:val="auto"/>
                <w:w w:val="91"/>
              </w:rPr>
              <w:t>(State or other jurisdiction of</w:t>
            </w:r>
          </w:p>
        </w:tc>
        <w:tc>
          <w:tcPr>
            <w:tcW w:w="2020" w:type="dxa"/>
            <w:vAlign w:val="bottom"/>
          </w:tcPr>
          <w:p>
            <w:pPr>
              <w:spacing w:after="0"/>
              <w:rPr>
                <w:sz w:val="15"/>
                <w:szCs w:val="15"/>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94"/>
              </w:rPr>
              <w:t>(Primary Standard Industrial</w:t>
            </w:r>
          </w:p>
        </w:tc>
        <w:tc>
          <w:tcPr>
            <w:tcW w:w="1140" w:type="dxa"/>
            <w:vAlign w:val="bottom"/>
          </w:tcPr>
          <w:p>
            <w:pPr>
              <w:jc w:val="center"/>
              <w:ind w:left="220"/>
              <w:spacing w:after="0"/>
              <w:rPr>
                <w:sz w:val="20"/>
                <w:szCs w:val="20"/>
                <w:color w:val="auto"/>
              </w:rPr>
            </w:pPr>
            <w:r>
              <w:rPr>
                <w:rFonts w:ascii="Arial" w:cs="Arial" w:eastAsia="Arial" w:hAnsi="Arial"/>
                <w:sz w:val="12"/>
                <w:szCs w:val="12"/>
                <w:b w:val="1"/>
                <w:bCs w:val="1"/>
                <w:color w:val="auto"/>
                <w:w w:val="93"/>
              </w:rPr>
              <w:t>(I.R.S. Employer</w:t>
            </w:r>
          </w:p>
        </w:tc>
      </w:tr>
      <w:tr>
        <w:trPr>
          <w:trHeight w:val="157"/>
        </w:trPr>
        <w:tc>
          <w:tcPr>
            <w:tcW w:w="1700" w:type="dxa"/>
            <w:vAlign w:val="bottom"/>
          </w:tcPr>
          <w:p>
            <w:pPr>
              <w:spacing w:after="0"/>
              <w:rPr>
                <w:sz w:val="20"/>
                <w:szCs w:val="20"/>
                <w:color w:val="auto"/>
              </w:rPr>
            </w:pPr>
            <w:r>
              <w:rPr>
                <w:rFonts w:ascii="Arial" w:cs="Arial" w:eastAsia="Arial" w:hAnsi="Arial"/>
                <w:sz w:val="12"/>
                <w:szCs w:val="12"/>
                <w:b w:val="1"/>
                <w:bCs w:val="1"/>
                <w:color w:val="auto"/>
                <w:w w:val="98"/>
              </w:rPr>
              <w:t>incorporation or organization)</w:t>
            </w:r>
          </w:p>
        </w:tc>
        <w:tc>
          <w:tcPr>
            <w:tcW w:w="2020" w:type="dxa"/>
            <w:vAlign w:val="bottom"/>
          </w:tcPr>
          <w:p>
            <w:pPr>
              <w:spacing w:after="0"/>
              <w:rPr>
                <w:sz w:val="13"/>
                <w:szCs w:val="13"/>
                <w:color w:val="auto"/>
              </w:rPr>
            </w:pPr>
          </w:p>
        </w:tc>
        <w:tc>
          <w:tcPr>
            <w:tcW w:w="4000" w:type="dxa"/>
            <w:vAlign w:val="bottom"/>
            <w:gridSpan w:val="2"/>
          </w:tcPr>
          <w:p>
            <w:pPr>
              <w:ind w:left="60"/>
              <w:spacing w:after="0"/>
              <w:rPr>
                <w:sz w:val="20"/>
                <w:szCs w:val="20"/>
                <w:color w:val="auto"/>
              </w:rPr>
            </w:pPr>
            <w:r>
              <w:rPr>
                <w:rFonts w:ascii="Arial" w:cs="Arial" w:eastAsia="Arial" w:hAnsi="Arial"/>
                <w:sz w:val="12"/>
                <w:szCs w:val="12"/>
                <w:b w:val="1"/>
                <w:bCs w:val="1"/>
                <w:color w:val="auto"/>
              </w:rPr>
              <w:t>Classification Code Number)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Identification No.)</w:t>
            </w:r>
          </w:p>
        </w:tc>
      </w:tr>
      <w:tr>
        <w:trPr>
          <w:trHeight w:val="281"/>
        </w:trPr>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90"/>
              </w:rPr>
              <w:t>805 Broadway Street, Suite 900</w:t>
            </w:r>
          </w:p>
        </w:tc>
        <w:tc>
          <w:tcPr>
            <w:tcW w:w="1140" w:type="dxa"/>
            <w:vAlign w:val="bottom"/>
          </w:tcPr>
          <w:p>
            <w:pPr>
              <w:spacing w:after="0"/>
              <w:rPr>
                <w:sz w:val="24"/>
                <w:szCs w:val="24"/>
                <w:color w:val="auto"/>
              </w:rPr>
            </w:pPr>
          </w:p>
        </w:tc>
      </w:tr>
      <w:tr>
        <w:trPr>
          <w:trHeight w:val="142"/>
        </w:trPr>
        <w:tc>
          <w:tcPr>
            <w:tcW w:w="1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89"/>
              </w:rPr>
              <w:t>Vancouver, Washington 98660</w:t>
            </w:r>
          </w:p>
        </w:tc>
        <w:tc>
          <w:tcPr>
            <w:tcW w:w="114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91"/>
              </w:rPr>
              <w:t>Telephone: (800) 914-1220</w:t>
            </w:r>
          </w:p>
        </w:tc>
        <w:tc>
          <w:tcPr>
            <w:tcW w:w="1140" w:type="dxa"/>
            <w:vAlign w:val="bottom"/>
          </w:tcPr>
          <w:p>
            <w:pPr>
              <w:spacing w:after="0"/>
              <w:rPr>
                <w:sz w:val="12"/>
                <w:szCs w:val="12"/>
                <w:color w:val="auto"/>
              </w:rPr>
            </w:pPr>
          </w:p>
        </w:tc>
      </w:tr>
      <w:tr>
        <w:trPr>
          <w:trHeight w:val="157"/>
        </w:trPr>
        <w:tc>
          <w:tcPr>
            <w:tcW w:w="1700" w:type="dxa"/>
            <w:vAlign w:val="bottom"/>
          </w:tcPr>
          <w:p>
            <w:pPr>
              <w:spacing w:after="0"/>
              <w:rPr>
                <w:sz w:val="13"/>
                <w:szCs w:val="13"/>
                <w:color w:val="auto"/>
              </w:rPr>
            </w:pPr>
          </w:p>
        </w:tc>
        <w:tc>
          <w:tcPr>
            <w:tcW w:w="60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88"/>
              </w:rPr>
              <w:t>(Address, including zip code, and telephone number, including area code, of registrant’s principal executive offices)</w:t>
            </w:r>
          </w:p>
        </w:tc>
        <w:tc>
          <w:tcPr>
            <w:tcW w:w="1140" w:type="dxa"/>
            <w:vAlign w:val="bottom"/>
          </w:tcPr>
          <w:p>
            <w:pPr>
              <w:spacing w:after="0"/>
              <w:rPr>
                <w:sz w:val="13"/>
                <w:szCs w:val="13"/>
                <w:color w:val="auto"/>
              </w:rPr>
            </w:pPr>
          </w:p>
        </w:tc>
      </w:tr>
      <w:tr>
        <w:trPr>
          <w:trHeight w:val="80"/>
        </w:trPr>
        <w:tc>
          <w:tcPr>
            <w:tcW w:w="17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20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45"/>
        </w:trPr>
        <w:tc>
          <w:tcPr>
            <w:tcW w:w="17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92"/>
              </w:rPr>
              <w:t>Anthony Stark</w:t>
            </w:r>
          </w:p>
        </w:tc>
        <w:tc>
          <w:tcPr>
            <w:tcW w:w="1140" w:type="dxa"/>
            <w:vAlign w:val="bottom"/>
          </w:tcPr>
          <w:p>
            <w:pPr>
              <w:spacing w:after="0"/>
              <w:rPr>
                <w:sz w:val="21"/>
                <w:szCs w:val="21"/>
                <w:color w:val="auto"/>
              </w:rPr>
            </w:pPr>
          </w:p>
        </w:tc>
      </w:tr>
      <w:tr>
        <w:trPr>
          <w:trHeight w:val="142"/>
        </w:trPr>
        <w:tc>
          <w:tcPr>
            <w:tcW w:w="1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0" w:type="dxa"/>
            <w:vAlign w:val="bottom"/>
            <w:gridSpan w:val="2"/>
          </w:tcPr>
          <w:p>
            <w:pPr>
              <w:jc w:val="center"/>
              <w:ind w:right="2100"/>
              <w:spacing w:after="0"/>
              <w:rPr>
                <w:sz w:val="20"/>
                <w:szCs w:val="20"/>
                <w:color w:val="auto"/>
              </w:rPr>
            </w:pPr>
            <w:r>
              <w:rPr>
                <w:rFonts w:ascii="Arial" w:cs="Arial" w:eastAsia="Arial" w:hAnsi="Arial"/>
                <w:sz w:val="12"/>
                <w:szCs w:val="12"/>
                <w:b w:val="1"/>
                <w:bCs w:val="1"/>
                <w:color w:val="auto"/>
                <w:w w:val="90"/>
              </w:rPr>
              <w:t>General Counsel</w:t>
            </w:r>
          </w:p>
        </w:tc>
        <w:tc>
          <w:tcPr>
            <w:tcW w:w="114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90"/>
              </w:rPr>
              <w:t>ZoomInfo Technologies Inc.</w:t>
            </w:r>
          </w:p>
        </w:tc>
        <w:tc>
          <w:tcPr>
            <w:tcW w:w="114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90"/>
              </w:rPr>
              <w:t>805 Broadway Street, Suite 900</w:t>
            </w:r>
          </w:p>
        </w:tc>
        <w:tc>
          <w:tcPr>
            <w:tcW w:w="114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89"/>
              </w:rPr>
              <w:t>Vancouver, Washington 98660</w:t>
            </w:r>
          </w:p>
        </w:tc>
        <w:tc>
          <w:tcPr>
            <w:tcW w:w="1140" w:type="dxa"/>
            <w:vAlign w:val="bottom"/>
          </w:tcPr>
          <w:p>
            <w:pPr>
              <w:spacing w:after="0"/>
              <w:rPr>
                <w:sz w:val="12"/>
                <w:szCs w:val="12"/>
                <w:color w:val="auto"/>
              </w:rPr>
            </w:pPr>
          </w:p>
        </w:tc>
      </w:tr>
      <w:tr>
        <w:trPr>
          <w:trHeight w:val="142"/>
        </w:trPr>
        <w:tc>
          <w:tcPr>
            <w:tcW w:w="1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91"/>
              </w:rPr>
              <w:t>Telephone: (800) 914-1220</w:t>
            </w:r>
          </w:p>
        </w:tc>
        <w:tc>
          <w:tcPr>
            <w:tcW w:w="1140" w:type="dxa"/>
            <w:vAlign w:val="bottom"/>
          </w:tcPr>
          <w:p>
            <w:pPr>
              <w:spacing w:after="0"/>
              <w:rPr>
                <w:sz w:val="12"/>
                <w:szCs w:val="12"/>
                <w:color w:val="auto"/>
              </w:rPr>
            </w:pPr>
          </w:p>
        </w:tc>
      </w:tr>
      <w:tr>
        <w:trPr>
          <w:trHeight w:val="157"/>
        </w:trPr>
        <w:tc>
          <w:tcPr>
            <w:tcW w:w="1700" w:type="dxa"/>
            <w:vAlign w:val="bottom"/>
          </w:tcPr>
          <w:p>
            <w:pPr>
              <w:spacing w:after="0"/>
              <w:rPr>
                <w:sz w:val="13"/>
                <w:szCs w:val="13"/>
                <w:color w:val="auto"/>
              </w:rPr>
            </w:pPr>
          </w:p>
        </w:tc>
        <w:tc>
          <w:tcPr>
            <w:tcW w:w="60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88"/>
              </w:rPr>
              <w:t>(Name, address, including zip code, and telephone number, including area code, of agent for service)</w:t>
            </w:r>
          </w:p>
        </w:tc>
        <w:tc>
          <w:tcPr>
            <w:tcW w:w="1140" w:type="dxa"/>
            <w:vAlign w:val="bottom"/>
          </w:tcPr>
          <w:p>
            <w:pPr>
              <w:spacing w:after="0"/>
              <w:rPr>
                <w:sz w:val="13"/>
                <w:szCs w:val="13"/>
                <w:color w:val="auto"/>
              </w:rPr>
            </w:pPr>
          </w:p>
        </w:tc>
      </w:tr>
      <w:tr>
        <w:trPr>
          <w:trHeight w:val="80"/>
        </w:trPr>
        <w:tc>
          <w:tcPr>
            <w:tcW w:w="17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20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61"/>
        </w:trPr>
        <w:tc>
          <w:tcPr>
            <w:tcW w:w="17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4000" w:type="dxa"/>
            <w:vAlign w:val="bottom"/>
            <w:gridSpan w:val="2"/>
          </w:tcPr>
          <w:p>
            <w:pPr>
              <w:jc w:val="center"/>
              <w:ind w:right="2080"/>
              <w:spacing w:after="0"/>
              <w:rPr>
                <w:sz w:val="20"/>
                <w:szCs w:val="20"/>
                <w:color w:val="auto"/>
              </w:rPr>
            </w:pPr>
            <w:r>
              <w:rPr>
                <w:rFonts w:ascii="Arial" w:cs="Arial" w:eastAsia="Arial" w:hAnsi="Arial"/>
                <w:sz w:val="12"/>
                <w:szCs w:val="12"/>
                <w:b w:val="1"/>
                <w:bCs w:val="1"/>
                <w:color w:val="auto"/>
                <w:w w:val="88"/>
              </w:rPr>
              <w:t>Copies to:</w:t>
            </w:r>
          </w:p>
        </w:tc>
        <w:tc>
          <w:tcPr>
            <w:tcW w:w="1140" w:type="dxa"/>
            <w:vAlign w:val="bottom"/>
          </w:tcPr>
          <w:p>
            <w:pPr>
              <w:spacing w:after="0"/>
              <w:rPr>
                <w:sz w:val="22"/>
                <w:szCs w:val="22"/>
                <w:color w:val="auto"/>
              </w:rPr>
            </w:pPr>
          </w:p>
        </w:tc>
      </w:tr>
    </w:tbl>
    <w:p>
      <w:pPr>
        <w:spacing w:after="0" w:line="6" w:lineRule="exact"/>
        <w:rPr>
          <w:sz w:val="24"/>
          <w:szCs w:val="24"/>
          <w:color w:val="auto"/>
        </w:rPr>
      </w:pPr>
    </w:p>
    <w:tbl>
      <w:tblPr>
        <w:tblLayout w:type="fixed"/>
        <w:tblInd w:w="1960" w:type="dxa"/>
        <w:tblCellMar>
          <w:top w:w="0" w:type="dxa"/>
          <w:left w:w="0" w:type="dxa"/>
          <w:bottom w:w="0" w:type="dxa"/>
          <w:right w:w="0" w:type="dxa"/>
        </w:tblCellMar>
      </w:tblPr>
      <w:tr>
        <w:trPr>
          <w:trHeight w:val="138"/>
        </w:trPr>
        <w:tc>
          <w:tcPr>
            <w:tcW w:w="3740" w:type="dxa"/>
            <w:vAlign w:val="bottom"/>
          </w:tcPr>
          <w:p>
            <w:pPr>
              <w:jc w:val="center"/>
              <w:ind w:right="1960"/>
              <w:spacing w:after="0"/>
              <w:rPr>
                <w:sz w:val="20"/>
                <w:szCs w:val="20"/>
                <w:color w:val="auto"/>
              </w:rPr>
            </w:pPr>
            <w:r>
              <w:rPr>
                <w:rFonts w:ascii="Arial" w:cs="Arial" w:eastAsia="Arial" w:hAnsi="Arial"/>
                <w:sz w:val="12"/>
                <w:szCs w:val="12"/>
                <w:b w:val="1"/>
                <w:bCs w:val="1"/>
                <w:color w:val="auto"/>
                <w:w w:val="91"/>
              </w:rPr>
              <w:t>Richard A. Fenyes</w:t>
            </w:r>
          </w:p>
        </w:tc>
        <w:tc>
          <w:tcPr>
            <w:tcW w:w="3440" w:type="dxa"/>
            <w:vAlign w:val="bottom"/>
          </w:tcPr>
          <w:p>
            <w:pPr>
              <w:jc w:val="center"/>
              <w:ind w:left="1980"/>
              <w:spacing w:after="0"/>
              <w:rPr>
                <w:sz w:val="20"/>
                <w:szCs w:val="20"/>
                <w:color w:val="auto"/>
              </w:rPr>
            </w:pPr>
            <w:r>
              <w:rPr>
                <w:rFonts w:ascii="Arial" w:cs="Arial" w:eastAsia="Arial" w:hAnsi="Arial"/>
                <w:sz w:val="12"/>
                <w:szCs w:val="12"/>
                <w:b w:val="1"/>
                <w:bCs w:val="1"/>
                <w:color w:val="auto"/>
                <w:w w:val="96"/>
              </w:rPr>
              <w:t>Marc D. Jaffe</w:t>
            </w:r>
          </w:p>
        </w:tc>
      </w:tr>
      <w:tr>
        <w:trPr>
          <w:trHeight w:val="116"/>
        </w:trPr>
        <w:tc>
          <w:tcPr>
            <w:tcW w:w="3740" w:type="dxa"/>
            <w:vAlign w:val="bottom"/>
          </w:tcPr>
          <w:p>
            <w:pPr>
              <w:jc w:val="center"/>
              <w:ind w:right="1960"/>
              <w:spacing w:after="0" w:line="116" w:lineRule="exact"/>
              <w:rPr>
                <w:sz w:val="20"/>
                <w:szCs w:val="20"/>
                <w:color w:val="auto"/>
              </w:rPr>
            </w:pPr>
            <w:r>
              <w:rPr>
                <w:rFonts w:ascii="Arial" w:cs="Arial" w:eastAsia="Arial" w:hAnsi="Arial"/>
                <w:sz w:val="12"/>
                <w:szCs w:val="12"/>
                <w:b w:val="1"/>
                <w:bCs w:val="1"/>
                <w:color w:val="auto"/>
                <w:w w:val="93"/>
              </w:rPr>
              <w:t>Simpson Thacher &amp; Bartlett LLP</w:t>
            </w:r>
          </w:p>
        </w:tc>
        <w:tc>
          <w:tcPr>
            <w:tcW w:w="3440" w:type="dxa"/>
            <w:vAlign w:val="bottom"/>
          </w:tcPr>
          <w:p>
            <w:pPr>
              <w:jc w:val="center"/>
              <w:ind w:left="1980"/>
              <w:spacing w:after="0" w:line="116" w:lineRule="exact"/>
              <w:rPr>
                <w:sz w:val="20"/>
                <w:szCs w:val="20"/>
                <w:color w:val="auto"/>
              </w:rPr>
            </w:pPr>
            <w:r>
              <w:rPr>
                <w:rFonts w:ascii="Arial" w:cs="Arial" w:eastAsia="Arial" w:hAnsi="Arial"/>
                <w:sz w:val="12"/>
                <w:szCs w:val="12"/>
                <w:b w:val="1"/>
                <w:bCs w:val="1"/>
                <w:color w:val="auto"/>
                <w:w w:val="91"/>
              </w:rPr>
              <w:t>Jason M. Licht</w:t>
            </w:r>
          </w:p>
        </w:tc>
      </w:tr>
      <w:tr>
        <w:trPr>
          <w:trHeight w:val="116"/>
        </w:trPr>
        <w:tc>
          <w:tcPr>
            <w:tcW w:w="3740" w:type="dxa"/>
            <w:vAlign w:val="bottom"/>
          </w:tcPr>
          <w:p>
            <w:pPr>
              <w:jc w:val="center"/>
              <w:ind w:right="1980"/>
              <w:spacing w:after="0" w:line="116" w:lineRule="exact"/>
              <w:rPr>
                <w:sz w:val="20"/>
                <w:szCs w:val="20"/>
                <w:color w:val="auto"/>
              </w:rPr>
            </w:pPr>
            <w:r>
              <w:rPr>
                <w:rFonts w:ascii="Arial" w:cs="Arial" w:eastAsia="Arial" w:hAnsi="Arial"/>
                <w:sz w:val="12"/>
                <w:szCs w:val="12"/>
                <w:b w:val="1"/>
                <w:bCs w:val="1"/>
                <w:color w:val="auto"/>
                <w:w w:val="89"/>
              </w:rPr>
              <w:t>425 Lexington Avenue</w:t>
            </w:r>
          </w:p>
        </w:tc>
        <w:tc>
          <w:tcPr>
            <w:tcW w:w="3440" w:type="dxa"/>
            <w:vAlign w:val="bottom"/>
          </w:tcPr>
          <w:p>
            <w:pPr>
              <w:jc w:val="center"/>
              <w:ind w:left="1980"/>
              <w:spacing w:after="0" w:line="116" w:lineRule="exact"/>
              <w:rPr>
                <w:sz w:val="20"/>
                <w:szCs w:val="20"/>
                <w:color w:val="auto"/>
              </w:rPr>
            </w:pPr>
            <w:r>
              <w:rPr>
                <w:rFonts w:ascii="Arial" w:cs="Arial" w:eastAsia="Arial" w:hAnsi="Arial"/>
                <w:sz w:val="12"/>
                <w:szCs w:val="12"/>
                <w:b w:val="1"/>
                <w:bCs w:val="1"/>
                <w:color w:val="auto"/>
                <w:w w:val="88"/>
              </w:rPr>
              <w:t>Stelios G. Saffos</w:t>
            </w:r>
          </w:p>
        </w:tc>
      </w:tr>
      <w:tr>
        <w:trPr>
          <w:trHeight w:val="116"/>
        </w:trPr>
        <w:tc>
          <w:tcPr>
            <w:tcW w:w="3740" w:type="dxa"/>
            <w:vAlign w:val="bottom"/>
          </w:tcPr>
          <w:p>
            <w:pPr>
              <w:jc w:val="center"/>
              <w:ind w:right="1960"/>
              <w:spacing w:after="0" w:line="116" w:lineRule="exact"/>
              <w:rPr>
                <w:sz w:val="20"/>
                <w:szCs w:val="20"/>
                <w:color w:val="auto"/>
              </w:rPr>
            </w:pPr>
            <w:r>
              <w:rPr>
                <w:rFonts w:ascii="Arial" w:cs="Arial" w:eastAsia="Arial" w:hAnsi="Arial"/>
                <w:sz w:val="12"/>
                <w:szCs w:val="12"/>
                <w:b w:val="1"/>
                <w:bCs w:val="1"/>
                <w:color w:val="auto"/>
                <w:w w:val="91"/>
              </w:rPr>
              <w:t>New York, New York 10017</w:t>
            </w:r>
          </w:p>
        </w:tc>
        <w:tc>
          <w:tcPr>
            <w:tcW w:w="3440" w:type="dxa"/>
            <w:vAlign w:val="bottom"/>
          </w:tcPr>
          <w:p>
            <w:pPr>
              <w:jc w:val="center"/>
              <w:ind w:left="1960"/>
              <w:spacing w:after="0" w:line="116" w:lineRule="exact"/>
              <w:rPr>
                <w:sz w:val="20"/>
                <w:szCs w:val="20"/>
                <w:color w:val="auto"/>
              </w:rPr>
            </w:pPr>
            <w:r>
              <w:rPr>
                <w:rFonts w:ascii="Arial" w:cs="Arial" w:eastAsia="Arial" w:hAnsi="Arial"/>
                <w:sz w:val="12"/>
                <w:szCs w:val="12"/>
                <w:b w:val="1"/>
                <w:bCs w:val="1"/>
                <w:color w:val="auto"/>
                <w:w w:val="96"/>
              </w:rPr>
              <w:t>Latham &amp; Watkins LLP</w:t>
            </w:r>
          </w:p>
        </w:tc>
      </w:tr>
      <w:tr>
        <w:trPr>
          <w:trHeight w:val="116"/>
        </w:trPr>
        <w:tc>
          <w:tcPr>
            <w:tcW w:w="3740" w:type="dxa"/>
            <w:vAlign w:val="bottom"/>
          </w:tcPr>
          <w:p>
            <w:pPr>
              <w:jc w:val="center"/>
              <w:ind w:right="1980"/>
              <w:spacing w:after="0" w:line="116" w:lineRule="exact"/>
              <w:rPr>
                <w:sz w:val="20"/>
                <w:szCs w:val="20"/>
                <w:color w:val="auto"/>
              </w:rPr>
            </w:pPr>
            <w:r>
              <w:rPr>
                <w:rFonts w:ascii="Arial" w:cs="Arial" w:eastAsia="Arial" w:hAnsi="Arial"/>
                <w:sz w:val="12"/>
                <w:szCs w:val="12"/>
                <w:b w:val="1"/>
                <w:bCs w:val="1"/>
                <w:color w:val="auto"/>
                <w:w w:val="89"/>
              </w:rPr>
              <w:t>Telephone: (212) 455-2000</w:t>
            </w:r>
          </w:p>
        </w:tc>
        <w:tc>
          <w:tcPr>
            <w:tcW w:w="3440" w:type="dxa"/>
            <w:vAlign w:val="bottom"/>
          </w:tcPr>
          <w:p>
            <w:pPr>
              <w:jc w:val="center"/>
              <w:ind w:left="1980"/>
              <w:spacing w:after="0" w:line="116" w:lineRule="exact"/>
              <w:rPr>
                <w:sz w:val="20"/>
                <w:szCs w:val="20"/>
                <w:color w:val="auto"/>
              </w:rPr>
            </w:pPr>
            <w:r>
              <w:rPr>
                <w:rFonts w:ascii="Arial" w:cs="Arial" w:eastAsia="Arial" w:hAnsi="Arial"/>
                <w:sz w:val="12"/>
                <w:szCs w:val="12"/>
                <w:b w:val="1"/>
                <w:bCs w:val="1"/>
                <w:color w:val="auto"/>
                <w:w w:val="91"/>
              </w:rPr>
              <w:t>885 Third Avenue</w:t>
            </w:r>
          </w:p>
        </w:tc>
      </w:tr>
      <w:tr>
        <w:trPr>
          <w:trHeight w:val="116"/>
        </w:trPr>
        <w:tc>
          <w:tcPr>
            <w:tcW w:w="3740" w:type="dxa"/>
            <w:vAlign w:val="bottom"/>
          </w:tcPr>
          <w:p>
            <w:pPr>
              <w:spacing w:after="0"/>
              <w:rPr>
                <w:sz w:val="10"/>
                <w:szCs w:val="10"/>
                <w:color w:val="auto"/>
              </w:rPr>
            </w:pPr>
          </w:p>
        </w:tc>
        <w:tc>
          <w:tcPr>
            <w:tcW w:w="3440" w:type="dxa"/>
            <w:vAlign w:val="bottom"/>
          </w:tcPr>
          <w:p>
            <w:pPr>
              <w:jc w:val="center"/>
              <w:ind w:left="1980"/>
              <w:spacing w:after="0" w:line="116" w:lineRule="exact"/>
              <w:rPr>
                <w:sz w:val="20"/>
                <w:szCs w:val="20"/>
                <w:color w:val="auto"/>
              </w:rPr>
            </w:pPr>
            <w:r>
              <w:rPr>
                <w:rFonts w:ascii="Arial" w:cs="Arial" w:eastAsia="Arial" w:hAnsi="Arial"/>
                <w:sz w:val="12"/>
                <w:szCs w:val="12"/>
                <w:b w:val="1"/>
                <w:bCs w:val="1"/>
                <w:color w:val="auto"/>
                <w:w w:val="91"/>
              </w:rPr>
              <w:t>New York, New York 10022</w:t>
            </w:r>
          </w:p>
        </w:tc>
      </w:tr>
      <w:tr>
        <w:trPr>
          <w:trHeight w:val="157"/>
        </w:trPr>
        <w:tc>
          <w:tcPr>
            <w:tcW w:w="3740" w:type="dxa"/>
            <w:vAlign w:val="bottom"/>
          </w:tcPr>
          <w:p>
            <w:pPr>
              <w:spacing w:after="0"/>
              <w:rPr>
                <w:sz w:val="13"/>
                <w:szCs w:val="13"/>
                <w:color w:val="auto"/>
              </w:rPr>
            </w:pPr>
          </w:p>
        </w:tc>
        <w:tc>
          <w:tcPr>
            <w:tcW w:w="3440" w:type="dxa"/>
            <w:vAlign w:val="bottom"/>
          </w:tcPr>
          <w:p>
            <w:pPr>
              <w:jc w:val="center"/>
              <w:ind w:left="1960"/>
              <w:spacing w:after="0"/>
              <w:rPr>
                <w:sz w:val="20"/>
                <w:szCs w:val="20"/>
                <w:color w:val="auto"/>
              </w:rPr>
            </w:pPr>
            <w:r>
              <w:rPr>
                <w:rFonts w:ascii="Arial" w:cs="Arial" w:eastAsia="Arial" w:hAnsi="Arial"/>
                <w:sz w:val="12"/>
                <w:szCs w:val="12"/>
                <w:b w:val="1"/>
                <w:bCs w:val="1"/>
                <w:color w:val="auto"/>
                <w:w w:val="89"/>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71755</wp:posOffset>
            </wp:positionV>
            <wp:extent cx="1226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17" w:lineRule="exact"/>
        <w:rPr>
          <w:sz w:val="24"/>
          <w:szCs w:val="24"/>
          <w:color w:val="auto"/>
        </w:rPr>
      </w:pPr>
    </w:p>
    <w:p>
      <w:pPr>
        <w:ind w:left="320"/>
        <w:spacing w:after="0"/>
        <w:rPr>
          <w:sz w:val="20"/>
          <w:szCs w:val="20"/>
          <w:color w:val="auto"/>
        </w:rPr>
      </w:pPr>
      <w:r>
        <w:rPr>
          <w:rFonts w:ascii="Arial" w:cs="Arial" w:eastAsia="Arial" w:hAnsi="Arial"/>
          <w:sz w:val="12"/>
          <w:szCs w:val="12"/>
          <w:color w:val="auto"/>
        </w:rPr>
        <w:t xml:space="preserve">Approximate date of commencement of proposed sale to the public: </w:t>
      </w:r>
      <w:r>
        <w:rPr>
          <w:rFonts w:ascii="Arial" w:cs="Arial" w:eastAsia="Arial" w:hAnsi="Arial"/>
          <w:sz w:val="12"/>
          <w:szCs w:val="12"/>
          <w:b w:val="1"/>
          <w:bCs w:val="1"/>
          <w:color w:val="auto"/>
        </w:rPr>
        <w:t>As soon as practicable after this Registration Statement is declared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62865</wp:posOffset>
            </wp:positionV>
            <wp:extent cx="1226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84" w:lineRule="exact"/>
        <w:rPr>
          <w:sz w:val="24"/>
          <w:szCs w:val="24"/>
          <w:color w:val="auto"/>
        </w:rPr>
      </w:pPr>
    </w:p>
    <w:p>
      <w:pPr>
        <w:ind w:left="32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78" w:lineRule="exact"/>
        <w:rPr>
          <w:sz w:val="24"/>
          <w:szCs w:val="24"/>
          <w:color w:val="auto"/>
        </w:rPr>
      </w:pPr>
    </w:p>
    <w:p>
      <w:pPr>
        <w:ind w:right="20" w:firstLine="309"/>
        <w:spacing w:after="0" w:line="153"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9" w:lineRule="exact"/>
        <w:rPr>
          <w:sz w:val="24"/>
          <w:szCs w:val="24"/>
          <w:color w:val="auto"/>
        </w:rPr>
      </w:pPr>
    </w:p>
    <w:p>
      <w:pPr>
        <w:ind w:right="160" w:firstLine="309"/>
        <w:spacing w:after="0" w:line="153"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9" w:lineRule="exact"/>
        <w:rPr>
          <w:sz w:val="24"/>
          <w:szCs w:val="24"/>
          <w:color w:val="auto"/>
        </w:rPr>
      </w:pPr>
    </w:p>
    <w:p>
      <w:pPr>
        <w:ind w:right="160" w:firstLine="309"/>
        <w:spacing w:after="0" w:line="153"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9" w:lineRule="exact"/>
        <w:rPr>
          <w:sz w:val="24"/>
          <w:szCs w:val="24"/>
          <w:color w:val="auto"/>
        </w:rPr>
      </w:pPr>
    </w:p>
    <w:p>
      <w:pPr>
        <w:ind w:right="120" w:firstLine="309"/>
        <w:spacing w:after="0" w:line="27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13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020" w:type="dxa"/>
            <w:vAlign w:val="bottom"/>
          </w:tcPr>
          <w:p>
            <w:pPr>
              <w:ind w:left="260"/>
              <w:spacing w:after="0" w:line="121" w:lineRule="exact"/>
              <w:rPr>
                <w:sz w:val="20"/>
                <w:szCs w:val="20"/>
                <w:color w:val="auto"/>
              </w:rPr>
            </w:pPr>
            <w:r>
              <w:rPr>
                <w:rFonts w:ascii="MS PGothic" w:cs="MS PGothic" w:eastAsia="MS PGothic" w:hAnsi="MS PGothic"/>
                <w:sz w:val="12"/>
                <w:szCs w:val="12"/>
                <w:color w:val="auto"/>
              </w:rPr>
              <w:t>☐</w:t>
            </w:r>
          </w:p>
        </w:tc>
        <w:tc>
          <w:tcPr>
            <w:tcW w:w="5260" w:type="dxa"/>
            <w:vAlign w:val="bottom"/>
          </w:tcPr>
          <w:p>
            <w:pPr>
              <w:ind w:left="3620"/>
              <w:spacing w:after="0"/>
              <w:rPr>
                <w:sz w:val="20"/>
                <w:szCs w:val="20"/>
                <w:color w:val="auto"/>
              </w:rPr>
            </w:pPr>
            <w:r>
              <w:rPr>
                <w:rFonts w:ascii="Arial" w:cs="Arial" w:eastAsia="Arial" w:hAnsi="Arial"/>
                <w:sz w:val="12"/>
                <w:szCs w:val="12"/>
                <w:color w:val="auto"/>
              </w:rPr>
              <w:t>Accelerated filer</w:t>
            </w:r>
          </w:p>
        </w:tc>
        <w:tc>
          <w:tcPr>
            <w:tcW w:w="420" w:type="dxa"/>
            <w:vAlign w:val="bottom"/>
          </w:tcPr>
          <w:p>
            <w:pPr>
              <w:ind w:left="3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7"/>
        </w:trPr>
        <w:tc>
          <w:tcPr>
            <w:tcW w:w="1340" w:type="dxa"/>
            <w:vAlign w:val="bottom"/>
          </w:tcPr>
          <w:p>
            <w:pPr>
              <w:spacing w:after="0"/>
              <w:rPr>
                <w:sz w:val="20"/>
                <w:szCs w:val="20"/>
                <w:color w:val="auto"/>
              </w:rPr>
            </w:pPr>
            <w:r>
              <w:rPr>
                <w:rFonts w:ascii="Arial" w:cs="Arial" w:eastAsia="Arial" w:hAnsi="Arial"/>
                <w:sz w:val="12"/>
                <w:szCs w:val="12"/>
                <w:color w:val="auto"/>
              </w:rPr>
              <w:t>Non-accelerated filer</w:t>
            </w:r>
          </w:p>
        </w:tc>
        <w:tc>
          <w:tcPr>
            <w:tcW w:w="4020" w:type="dxa"/>
            <w:vAlign w:val="bottom"/>
          </w:tcPr>
          <w:p>
            <w:pPr>
              <w:ind w:left="260"/>
              <w:spacing w:after="0" w:line="121" w:lineRule="exact"/>
              <w:rPr>
                <w:sz w:val="20"/>
                <w:szCs w:val="20"/>
                <w:color w:val="auto"/>
              </w:rPr>
            </w:pPr>
            <w:r>
              <w:rPr>
                <w:rFonts w:ascii="MS PGothic" w:cs="MS PGothic" w:eastAsia="MS PGothic" w:hAnsi="MS PGothic"/>
                <w:sz w:val="12"/>
                <w:szCs w:val="12"/>
                <w:color w:val="auto"/>
              </w:rPr>
              <w:t>☒</w:t>
            </w:r>
          </w:p>
        </w:tc>
        <w:tc>
          <w:tcPr>
            <w:tcW w:w="5260" w:type="dxa"/>
            <w:vAlign w:val="bottom"/>
          </w:tcPr>
          <w:p>
            <w:pPr>
              <w:ind w:left="3620"/>
              <w:spacing w:after="0"/>
              <w:rPr>
                <w:sz w:val="20"/>
                <w:szCs w:val="20"/>
                <w:color w:val="auto"/>
              </w:rPr>
            </w:pPr>
            <w:r>
              <w:rPr>
                <w:rFonts w:ascii="Arial" w:cs="Arial" w:eastAsia="Arial" w:hAnsi="Arial"/>
                <w:sz w:val="12"/>
                <w:szCs w:val="12"/>
                <w:color w:val="auto"/>
              </w:rPr>
              <w:t>Smaller reporting company</w:t>
            </w:r>
          </w:p>
        </w:tc>
        <w:tc>
          <w:tcPr>
            <w:tcW w:w="420" w:type="dxa"/>
            <w:vAlign w:val="bottom"/>
          </w:tcPr>
          <w:p>
            <w:pPr>
              <w:ind w:left="3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1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260" w:type="dxa"/>
            <w:vAlign w:val="bottom"/>
          </w:tcPr>
          <w:p>
            <w:pPr>
              <w:ind w:left="3620"/>
              <w:spacing w:after="0"/>
              <w:rPr>
                <w:sz w:val="20"/>
                <w:szCs w:val="20"/>
                <w:color w:val="auto"/>
              </w:rPr>
            </w:pPr>
            <w:r>
              <w:rPr>
                <w:rFonts w:ascii="Arial" w:cs="Arial" w:eastAsia="Arial" w:hAnsi="Arial"/>
                <w:sz w:val="12"/>
                <w:szCs w:val="12"/>
                <w:color w:val="auto"/>
              </w:rPr>
              <w:t>Emerging growth company</w:t>
            </w:r>
          </w:p>
        </w:tc>
        <w:tc>
          <w:tcPr>
            <w:tcW w:w="420" w:type="dxa"/>
            <w:vAlign w:val="bottom"/>
          </w:tcPr>
          <w:p>
            <w:pPr>
              <w:ind w:left="3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7" w:lineRule="exact"/>
        <w:rPr>
          <w:sz w:val="24"/>
          <w:szCs w:val="24"/>
          <w:color w:val="auto"/>
        </w:rPr>
      </w:pPr>
    </w:p>
    <w:p>
      <w:pPr>
        <w:ind w:right="120" w:firstLine="309"/>
        <w:spacing w:after="0" w:line="15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43815</wp:posOffset>
            </wp:positionV>
            <wp:extent cx="1226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72"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29"/>
        </w:trPr>
        <w:tc>
          <w:tcPr>
            <w:tcW w:w="2300" w:type="dxa"/>
            <w:vAlign w:val="bottom"/>
            <w:tcBorders>
              <w:top w:val="single" w:sz="8" w:color="auto"/>
              <w:right w:val="single" w:sz="8" w:color="auto"/>
            </w:tcBorders>
          </w:tcPr>
          <w:p>
            <w:pPr>
              <w:ind w:left="200"/>
              <w:spacing w:after="0" w:line="129" w:lineRule="exact"/>
              <w:rPr>
                <w:sz w:val="20"/>
                <w:szCs w:val="20"/>
                <w:color w:val="auto"/>
              </w:rPr>
            </w:pPr>
            <w:r>
              <w:rPr>
                <w:rFonts w:ascii="Arial" w:cs="Arial" w:eastAsia="Arial" w:hAnsi="Arial"/>
                <w:sz w:val="12"/>
                <w:szCs w:val="12"/>
                <w:b w:val="1"/>
                <w:bCs w:val="1"/>
                <w:color w:val="auto"/>
                <w:w w:val="96"/>
              </w:rPr>
              <w:t>Title of Each Class of Securities to be</w:t>
            </w:r>
          </w:p>
        </w:tc>
        <w:tc>
          <w:tcPr>
            <w:tcW w:w="22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9"/>
              </w:rPr>
              <w:t>Amount to be Registered</w:t>
            </w:r>
            <w:r>
              <w:rPr>
                <w:rFonts w:ascii="Arial" w:cs="Arial" w:eastAsia="Arial" w:hAnsi="Arial"/>
                <w:sz w:val="15"/>
                <w:szCs w:val="15"/>
                <w:b w:val="1"/>
                <w:bCs w:val="1"/>
                <w:color w:val="auto"/>
                <w:w w:val="89"/>
                <w:vertAlign w:val="superscript"/>
              </w:rPr>
              <w:t>(1)</w:t>
            </w:r>
          </w:p>
        </w:tc>
        <w:tc>
          <w:tcPr>
            <w:tcW w:w="2240" w:type="dxa"/>
            <w:vAlign w:val="bottom"/>
            <w:tcBorders>
              <w:top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2"/>
              </w:rPr>
              <w:t>Proposed Maximum Offering Price per</w:t>
            </w:r>
          </w:p>
        </w:tc>
        <w:tc>
          <w:tcPr>
            <w:tcW w:w="2240" w:type="dxa"/>
            <w:vAlign w:val="bottom"/>
            <w:tcBorders>
              <w:top w:val="single" w:sz="8" w:color="auto"/>
              <w:right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9"/>
              </w:rPr>
              <w:t>Proposed Maximum Aggregate</w:t>
            </w:r>
          </w:p>
        </w:tc>
        <w:tc>
          <w:tcPr>
            <w:tcW w:w="2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3"/>
              </w:rPr>
              <w:t>Amount of</w:t>
            </w:r>
          </w:p>
        </w:tc>
        <w:tc>
          <w:tcPr>
            <w:tcW w:w="0" w:type="dxa"/>
            <w:vAlign w:val="bottom"/>
          </w:tcPr>
          <w:p>
            <w:pPr>
              <w:spacing w:after="0"/>
              <w:rPr>
                <w:sz w:val="1"/>
                <w:szCs w:val="1"/>
                <w:color w:val="auto"/>
              </w:rPr>
            </w:pPr>
          </w:p>
        </w:tc>
      </w:tr>
      <w:tr>
        <w:trPr>
          <w:trHeight w:val="167"/>
        </w:trPr>
        <w:tc>
          <w:tcPr>
            <w:tcW w:w="23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2"/>
                <w:szCs w:val="12"/>
                <w:b w:val="1"/>
                <w:bCs w:val="1"/>
                <w:color w:val="auto"/>
              </w:rPr>
              <w:t>Registered</w:t>
            </w:r>
          </w:p>
        </w:tc>
        <w:tc>
          <w:tcPr>
            <w:tcW w:w="2240" w:type="dxa"/>
            <w:vAlign w:val="bottom"/>
            <w:tcBorders>
              <w:bottom w:val="single" w:sz="8" w:color="auto"/>
              <w:right w:val="single" w:sz="8" w:color="auto"/>
            </w:tcBorders>
            <w:vMerge w:val="continue"/>
          </w:tcPr>
          <w:p>
            <w:pPr>
              <w:spacing w:after="0"/>
              <w:rPr>
                <w:sz w:val="14"/>
                <w:szCs w:val="14"/>
                <w:color w:val="auto"/>
              </w:rPr>
            </w:pPr>
          </w:p>
        </w:tc>
        <w:tc>
          <w:tcPr>
            <w:tcW w:w="2240" w:type="dxa"/>
            <w:vAlign w:val="bottom"/>
            <w:tcBorders>
              <w:bottom w:val="single" w:sz="8" w:color="auto"/>
              <w:right w:val="single" w:sz="8" w:color="auto"/>
            </w:tcBorders>
          </w:tcPr>
          <w:p>
            <w:pPr>
              <w:jc w:val="center"/>
              <w:spacing w:after="0" w:line="167" w:lineRule="exact"/>
              <w:rPr>
                <w:sz w:val="20"/>
                <w:szCs w:val="20"/>
                <w:color w:val="auto"/>
              </w:rPr>
            </w:pPr>
            <w:r>
              <w:rPr>
                <w:rFonts w:ascii="Arial" w:cs="Arial" w:eastAsia="Arial" w:hAnsi="Arial"/>
                <w:sz w:val="12"/>
                <w:szCs w:val="12"/>
                <w:b w:val="1"/>
                <w:bCs w:val="1"/>
                <w:color w:val="auto"/>
                <w:w w:val="83"/>
              </w:rPr>
              <w:t>Share</w:t>
            </w:r>
            <w:r>
              <w:rPr>
                <w:rFonts w:ascii="Arial" w:cs="Arial" w:eastAsia="Arial" w:hAnsi="Arial"/>
                <w:sz w:val="15"/>
                <w:szCs w:val="15"/>
                <w:b w:val="1"/>
                <w:bCs w:val="1"/>
                <w:color w:val="auto"/>
                <w:w w:val="83"/>
                <w:vertAlign w:val="superscript"/>
              </w:rPr>
              <w:t>(2)</w:t>
            </w:r>
          </w:p>
        </w:tc>
        <w:tc>
          <w:tcPr>
            <w:tcW w:w="2240" w:type="dxa"/>
            <w:vAlign w:val="bottom"/>
            <w:tcBorders>
              <w:bottom w:val="single" w:sz="8" w:color="auto"/>
              <w:right w:val="single" w:sz="8" w:color="auto"/>
            </w:tcBorders>
          </w:tcPr>
          <w:p>
            <w:pPr>
              <w:jc w:val="center"/>
              <w:spacing w:after="0" w:line="167" w:lineRule="exact"/>
              <w:rPr>
                <w:sz w:val="20"/>
                <w:szCs w:val="20"/>
                <w:color w:val="auto"/>
              </w:rPr>
            </w:pPr>
            <w:r>
              <w:rPr>
                <w:rFonts w:ascii="Arial" w:cs="Arial" w:eastAsia="Arial" w:hAnsi="Arial"/>
                <w:sz w:val="12"/>
                <w:szCs w:val="12"/>
                <w:b w:val="1"/>
                <w:bCs w:val="1"/>
                <w:color w:val="auto"/>
                <w:w w:val="86"/>
              </w:rPr>
              <w:t>Offering Price</w:t>
            </w:r>
            <w:r>
              <w:rPr>
                <w:rFonts w:ascii="Arial" w:cs="Arial" w:eastAsia="Arial" w:hAnsi="Arial"/>
                <w:sz w:val="15"/>
                <w:szCs w:val="15"/>
                <w:b w:val="1"/>
                <w:bCs w:val="1"/>
                <w:color w:val="auto"/>
                <w:w w:val="86"/>
                <w:vertAlign w:val="superscript"/>
              </w:rPr>
              <w:t>(1)(2)</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Registration Fee</w:t>
            </w:r>
          </w:p>
        </w:tc>
        <w:tc>
          <w:tcPr>
            <w:tcW w:w="0" w:type="dxa"/>
            <w:vAlign w:val="bottom"/>
          </w:tcPr>
          <w:p>
            <w:pPr>
              <w:spacing w:after="0"/>
              <w:rPr>
                <w:sz w:val="1"/>
                <w:szCs w:val="1"/>
                <w:color w:val="auto"/>
              </w:rPr>
            </w:pPr>
          </w:p>
        </w:tc>
      </w:tr>
      <w:tr>
        <w:trPr>
          <w:trHeight w:val="109"/>
        </w:trPr>
        <w:tc>
          <w:tcPr>
            <w:tcW w:w="2300" w:type="dxa"/>
            <w:vAlign w:val="bottom"/>
            <w:tcBorders>
              <w:right w:val="single" w:sz="8" w:color="auto"/>
            </w:tcBorders>
          </w:tcPr>
          <w:p>
            <w:pPr>
              <w:ind w:left="20"/>
              <w:spacing w:after="0" w:line="109" w:lineRule="exact"/>
              <w:rPr>
                <w:sz w:val="20"/>
                <w:szCs w:val="20"/>
                <w:color w:val="auto"/>
              </w:rPr>
            </w:pPr>
            <w:r>
              <w:rPr>
                <w:rFonts w:ascii="Arial" w:cs="Arial" w:eastAsia="Arial" w:hAnsi="Arial"/>
                <w:sz w:val="12"/>
                <w:szCs w:val="12"/>
                <w:color w:val="auto"/>
                <w:w w:val="94"/>
              </w:rPr>
              <w:t>Class A Common Stock, par value $0.01 per</w:t>
            </w:r>
          </w:p>
        </w:tc>
        <w:tc>
          <w:tcPr>
            <w:tcW w:w="2240" w:type="dxa"/>
            <w:vAlign w:val="bottom"/>
            <w:tcBorders>
              <w:right w:val="single" w:sz="8" w:color="auto"/>
            </w:tcBorders>
            <w:vMerge w:val="restart"/>
          </w:tcPr>
          <w:p>
            <w:pPr>
              <w:jc w:val="right"/>
              <w:ind w:right="800"/>
              <w:spacing w:after="0"/>
              <w:rPr>
                <w:sz w:val="20"/>
                <w:szCs w:val="20"/>
                <w:color w:val="auto"/>
              </w:rPr>
            </w:pPr>
            <w:r>
              <w:rPr>
                <w:rFonts w:ascii="Arial" w:cs="Arial" w:eastAsia="Arial" w:hAnsi="Arial"/>
                <w:sz w:val="12"/>
                <w:szCs w:val="12"/>
                <w:color w:val="auto"/>
              </w:rPr>
              <w:t>14,375,000</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$49.91</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$717,456,250</w:t>
            </w:r>
          </w:p>
        </w:tc>
        <w:tc>
          <w:tcPr>
            <w:tcW w:w="2220" w:type="dxa"/>
            <w:vAlign w:val="bottom"/>
            <w:vMerge w:val="restart"/>
          </w:tcPr>
          <w:p>
            <w:pPr>
              <w:jc w:val="center"/>
              <w:spacing w:after="0"/>
              <w:rPr>
                <w:sz w:val="20"/>
                <w:szCs w:val="20"/>
                <w:color w:val="auto"/>
              </w:rPr>
            </w:pPr>
            <w:r>
              <w:rPr>
                <w:rFonts w:ascii="Arial" w:cs="Arial" w:eastAsia="Arial" w:hAnsi="Arial"/>
                <w:sz w:val="12"/>
                <w:szCs w:val="12"/>
                <w:color w:val="auto"/>
                <w:w w:val="87"/>
              </w:rPr>
              <w:t>$78,275</w:t>
            </w:r>
          </w:p>
        </w:tc>
        <w:tc>
          <w:tcPr>
            <w:tcW w:w="0" w:type="dxa"/>
            <w:vAlign w:val="bottom"/>
          </w:tcPr>
          <w:p>
            <w:pPr>
              <w:spacing w:after="0"/>
              <w:rPr>
                <w:sz w:val="1"/>
                <w:szCs w:val="1"/>
                <w:color w:val="auto"/>
              </w:rPr>
            </w:pPr>
          </w:p>
        </w:tc>
      </w:tr>
      <w:tr>
        <w:trPr>
          <w:trHeight w:val="160"/>
        </w:trPr>
        <w:tc>
          <w:tcPr>
            <w:tcW w:w="23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2"/>
                <w:szCs w:val="12"/>
                <w:color w:val="auto"/>
              </w:rPr>
              <w:t>share</w:t>
            </w:r>
          </w:p>
        </w:tc>
        <w:tc>
          <w:tcPr>
            <w:tcW w:w="2240" w:type="dxa"/>
            <w:vAlign w:val="bottom"/>
            <w:tcBorders>
              <w:bottom w:val="single" w:sz="8" w:color="auto"/>
              <w:right w:val="single" w:sz="8" w:color="auto"/>
            </w:tcBorders>
            <w:vMerge w:val="continue"/>
          </w:tcPr>
          <w:p>
            <w:pPr>
              <w:spacing w:after="0"/>
              <w:rPr>
                <w:sz w:val="13"/>
                <w:szCs w:val="13"/>
                <w:color w:val="auto"/>
              </w:rPr>
            </w:pPr>
          </w:p>
        </w:tc>
        <w:tc>
          <w:tcPr>
            <w:tcW w:w="2240" w:type="dxa"/>
            <w:vAlign w:val="bottom"/>
            <w:tcBorders>
              <w:bottom w:val="single" w:sz="8" w:color="auto"/>
              <w:right w:val="single" w:sz="8" w:color="auto"/>
            </w:tcBorders>
            <w:vMerge w:val="continue"/>
          </w:tcPr>
          <w:p>
            <w:pPr>
              <w:spacing w:after="0"/>
              <w:rPr>
                <w:sz w:val="13"/>
                <w:szCs w:val="13"/>
                <w:color w:val="auto"/>
              </w:rPr>
            </w:pPr>
          </w:p>
        </w:tc>
        <w:tc>
          <w:tcPr>
            <w:tcW w:w="2240" w:type="dxa"/>
            <w:vAlign w:val="bottom"/>
            <w:tcBorders>
              <w:bottom w:val="single" w:sz="8" w:color="auto"/>
              <w:right w:val="single" w:sz="8" w:color="auto"/>
            </w:tcBorders>
            <w:vMerge w:val="continue"/>
          </w:tcPr>
          <w:p>
            <w:pPr>
              <w:spacing w:after="0"/>
              <w:rPr>
                <w:sz w:val="13"/>
                <w:szCs w:val="13"/>
                <w:color w:val="auto"/>
              </w:rPr>
            </w:pPr>
          </w:p>
        </w:tc>
        <w:tc>
          <w:tcPr>
            <w:tcW w:w="2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left="320" w:hanging="317"/>
        <w:spacing w:after="0"/>
        <w:tabs>
          <w:tab w:leader="none" w:pos="32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1,875,000 shares of Class A common stock that are subject to the underwriters’ option to purchase additional shares.</w:t>
      </w:r>
    </w:p>
    <w:p>
      <w:pPr>
        <w:spacing w:after="0" w:line="13" w:lineRule="exact"/>
        <w:rPr>
          <w:rFonts w:ascii="Arial" w:cs="Arial" w:eastAsia="Arial" w:hAnsi="Arial"/>
          <w:sz w:val="12"/>
          <w:szCs w:val="12"/>
          <w:color w:val="auto"/>
        </w:rPr>
      </w:pPr>
    </w:p>
    <w:p>
      <w:pPr>
        <w:ind w:left="320" w:right="260" w:hanging="317"/>
        <w:spacing w:after="0" w:line="300" w:lineRule="auto"/>
        <w:tabs>
          <w:tab w:leader="none" w:pos="318"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computing the amount of the registration fee in accordance with Rule 457(c) under the Securities Act of 1933, as amended. The proposed maximum offering price per share and proposed maximum aggregate offering price are based on the average of the high and low sales prices of the registrant’s Class A common stock as reported on the Nasdaq Global Select Market on November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-1270</wp:posOffset>
            </wp:positionV>
            <wp:extent cx="1226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88" w:lineRule="exact"/>
        <w:rPr>
          <w:sz w:val="24"/>
          <w:szCs w:val="24"/>
          <w:color w:val="auto"/>
        </w:rPr>
      </w:pPr>
    </w:p>
    <w:p>
      <w:pPr>
        <w:ind w:firstLine="309"/>
        <w:spacing w:after="0" w:line="262"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542290</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43180</wp:posOffset>
            </wp:positionV>
            <wp:extent cx="71386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 w:name="page2"/>
    <w:bookmarkEnd w:id="1"/>
    <w:p>
      <w:pPr>
        <w:jc w:val="both"/>
        <w:ind w:left="5" w:right="119"/>
        <w:spacing w:after="0" w:line="262" w:lineRule="auto"/>
        <w:rPr>
          <w:sz w:val="20"/>
          <w:szCs w:val="20"/>
          <w:color w:val="auto"/>
        </w:rPr>
      </w:pPr>
      <w:r>
        <w:rPr>
          <w:rFonts w:ascii="Arial" w:cs="Arial" w:eastAsia="Arial" w:hAnsi="Arial"/>
          <w:sz w:val="12"/>
          <w:szCs w:val="12"/>
          <w:b w:val="1"/>
          <w:bCs w:val="1"/>
          <w:color w:val="EE2724"/>
        </w:rPr>
        <w:drawing>
          <wp:anchor simplePos="0" relativeHeight="251657728" behindDoc="1" locked="0" layoutInCell="0" allowOverlap="1">
            <wp:simplePos x="0" y="0"/>
            <wp:positionH relativeFrom="page">
              <wp:posOffset>441960</wp:posOffset>
            </wp:positionH>
            <wp:positionV relativeFrom="page">
              <wp:posOffset>309880</wp:posOffset>
            </wp:positionV>
            <wp:extent cx="6680835" cy="8700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0835" cy="8700770"/>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7" w:lineRule="exact"/>
        <w:rPr>
          <w:sz w:val="20"/>
          <w:szCs w:val="20"/>
          <w:color w:val="auto"/>
        </w:rPr>
      </w:pPr>
    </w:p>
    <w:p>
      <w:pPr>
        <w:ind w:left="5"/>
        <w:spacing w:after="0"/>
        <w:rPr>
          <w:sz w:val="20"/>
          <w:szCs w:val="20"/>
          <w:color w:val="auto"/>
        </w:rPr>
      </w:pPr>
      <w:r>
        <w:rPr>
          <w:rFonts w:ascii="Arial" w:cs="Arial" w:eastAsia="Arial" w:hAnsi="Arial"/>
          <w:sz w:val="14"/>
          <w:szCs w:val="14"/>
          <w:color w:val="EE2724"/>
        </w:rPr>
        <w:t>SUBJECT TO COMPLETION, DATED NOVEMBER 30, 2020</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4"/>
          <w:szCs w:val="14"/>
          <w:b w:val="1"/>
          <w:bCs w:val="1"/>
          <w:i w:val="1"/>
          <w:iCs w:val="1"/>
          <w:color w:val="FFFFFF"/>
        </w:rPr>
        <w:t>PROSPECTUS</w:t>
      </w:r>
    </w:p>
    <w:p>
      <w:pPr>
        <w:spacing w:after="0" w:line="349" w:lineRule="exact"/>
        <w:rPr>
          <w:sz w:val="20"/>
          <w:szCs w:val="20"/>
          <w:color w:val="auto"/>
        </w:rPr>
      </w:pPr>
    </w:p>
    <w:p>
      <w:pPr>
        <w:jc w:val="center"/>
        <w:ind w:right="935"/>
        <w:spacing w:after="0"/>
        <w:rPr>
          <w:sz w:val="20"/>
          <w:szCs w:val="20"/>
          <w:color w:val="auto"/>
        </w:rPr>
      </w:pPr>
      <w:r>
        <w:rPr>
          <w:rFonts w:ascii="Arial" w:cs="Arial" w:eastAsia="Arial" w:hAnsi="Arial"/>
          <w:sz w:val="29"/>
          <w:szCs w:val="29"/>
          <w:b w:val="1"/>
          <w:bCs w:val="1"/>
          <w:color w:val="FFFFFF"/>
        </w:rPr>
        <w:t>12,500,000 Shares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5"/>
        <w:spacing w:after="0"/>
        <w:rPr>
          <w:sz w:val="20"/>
          <w:szCs w:val="20"/>
          <w:color w:val="auto"/>
        </w:rPr>
      </w:pPr>
      <w:r>
        <w:rPr>
          <w:rFonts w:ascii="Arial" w:cs="Arial" w:eastAsia="Arial" w:hAnsi="Arial"/>
          <w:sz w:val="29"/>
          <w:szCs w:val="29"/>
          <w:b w:val="1"/>
          <w:bCs w:val="1"/>
          <w:color w:val="FFFFFF"/>
        </w:rPr>
        <w:t>ZoomInfo Technologies Inc.</w:t>
      </w:r>
    </w:p>
    <w:p>
      <w:pPr>
        <w:spacing w:after="0" w:line="49" w:lineRule="exact"/>
        <w:rPr>
          <w:sz w:val="20"/>
          <w:szCs w:val="20"/>
          <w:color w:val="auto"/>
        </w:rPr>
      </w:pPr>
    </w:p>
    <w:p>
      <w:pPr>
        <w:ind w:left="3505"/>
        <w:spacing w:after="0"/>
        <w:rPr>
          <w:sz w:val="20"/>
          <w:szCs w:val="20"/>
          <w:color w:val="auto"/>
        </w:rPr>
      </w:pPr>
      <w:r>
        <w:rPr>
          <w:rFonts w:ascii="Arial" w:cs="Arial" w:eastAsia="Arial" w:hAnsi="Arial"/>
          <w:sz w:val="21"/>
          <w:szCs w:val="21"/>
          <w:b w:val="1"/>
          <w:bCs w:val="1"/>
          <w:i w:val="1"/>
          <w:iCs w:val="1"/>
          <w:color w:val="FFFFFF"/>
        </w:rPr>
        <w:t>Class A Common Stock</w:t>
      </w:r>
    </w:p>
    <w:p>
      <w:pPr>
        <w:spacing w:after="0" w:line="23" w:lineRule="exact"/>
        <w:rPr>
          <w:sz w:val="20"/>
          <w:szCs w:val="20"/>
          <w:color w:val="auto"/>
        </w:rPr>
      </w:pPr>
    </w:p>
    <w:p>
      <w:pPr>
        <w:ind w:left="4385"/>
        <w:spacing w:after="0"/>
        <w:rPr>
          <w:sz w:val="20"/>
          <w:szCs w:val="20"/>
          <w:color w:val="auto"/>
        </w:rPr>
      </w:pPr>
      <w:r>
        <w:rPr>
          <w:rFonts w:ascii="Arial" w:cs="Arial" w:eastAsia="Arial" w:hAnsi="Arial"/>
          <w:sz w:val="21"/>
          <w:szCs w:val="21"/>
          <w:b w:val="1"/>
          <w:bCs w:val="1"/>
          <w:i w:val="1"/>
          <w:iCs w:val="1"/>
          <w:color w:val="FFFFFF"/>
        </w:rPr>
        <w:t>per share</w:t>
      </w:r>
    </w:p>
    <w:p>
      <w:pPr>
        <w:spacing w:after="0" w:line="276" w:lineRule="exact"/>
        <w:rPr>
          <w:sz w:val="20"/>
          <w:szCs w:val="20"/>
          <w:color w:val="auto"/>
        </w:rPr>
      </w:pPr>
    </w:p>
    <w:p>
      <w:pPr>
        <w:jc w:val="both"/>
        <w:ind w:left="5" w:right="59"/>
        <w:spacing w:after="0" w:line="235" w:lineRule="auto"/>
        <w:rPr>
          <w:sz w:val="20"/>
          <w:szCs w:val="20"/>
          <w:color w:val="auto"/>
        </w:rPr>
      </w:pPr>
      <w:r>
        <w:rPr>
          <w:rFonts w:ascii="Arial" w:cs="Arial" w:eastAsia="Arial" w:hAnsi="Arial"/>
          <w:sz w:val="14"/>
          <w:szCs w:val="14"/>
          <w:color w:val="FFFFFF"/>
        </w:rPr>
        <w:t>The selling stockholders identified in this prospectus are selling 12,500,000 shares of our Class A common stock. We are not selling any shares of our Class A common stock under this prospectus and will not receive any proceeds from the sale of the shares by the selling stockholders.</w:t>
      </w:r>
    </w:p>
    <w:p>
      <w:pPr>
        <w:spacing w:after="0" w:line="71" w:lineRule="exact"/>
        <w:rPr>
          <w:sz w:val="20"/>
          <w:szCs w:val="20"/>
          <w:color w:val="auto"/>
        </w:rPr>
      </w:pPr>
    </w:p>
    <w:p>
      <w:pPr>
        <w:jc w:val="both"/>
        <w:ind w:left="5" w:right="39"/>
        <w:spacing w:after="0" w:line="235" w:lineRule="auto"/>
        <w:rPr>
          <w:sz w:val="20"/>
          <w:szCs w:val="20"/>
          <w:color w:val="auto"/>
        </w:rPr>
      </w:pPr>
      <w:r>
        <w:rPr>
          <w:rFonts w:ascii="Arial" w:cs="Arial" w:eastAsia="Arial" w:hAnsi="Arial"/>
          <w:sz w:val="14"/>
          <w:szCs w:val="14"/>
          <w:color w:val="FFFFFF"/>
        </w:rPr>
        <w:t>Our Class A common stock is listed and traded on the Nasdaq Global Select Market (the “Nasdaq”) under the trading symbol “ZI.” On November 27, 2020 the closing price of our Class A common stock as reported on the Nasdaq was $48.78 per share.</w:t>
      </w:r>
    </w:p>
    <w:p>
      <w:pPr>
        <w:spacing w:after="0" w:line="71" w:lineRule="exact"/>
        <w:rPr>
          <w:sz w:val="20"/>
          <w:szCs w:val="20"/>
          <w:color w:val="auto"/>
        </w:rPr>
      </w:pPr>
    </w:p>
    <w:p>
      <w:pPr>
        <w:jc w:val="both"/>
        <w:ind w:left="5" w:right="39"/>
        <w:spacing w:after="0" w:line="277" w:lineRule="auto"/>
        <w:rPr>
          <w:sz w:val="20"/>
          <w:szCs w:val="20"/>
          <w:color w:val="auto"/>
        </w:rPr>
      </w:pPr>
      <w:r>
        <w:rPr>
          <w:rFonts w:ascii="Arial" w:cs="Arial" w:eastAsia="Arial" w:hAnsi="Arial"/>
          <w:sz w:val="11"/>
          <w:szCs w:val="11"/>
          <w:color w:val="FFFFFF"/>
        </w:rPr>
        <w:t>We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ZoomInfo Technologies Inc. is a holding company whose sole material asset is a controlling equity interest in ZoomInfo HoldCo (as defined herein), which is a holding company whose sole material asset is a controlling equity interest in ZoomInfo OpCo (as defined herein). The number of outstanding OpCo Units (as defined herein) of ZoomInfo OpCo equals the aggregate number of outstanding shares of Class A common stock, Class B common stock, and Class C common stock. See “Organizational Structure—IPO Transactions.”</w:t>
      </w:r>
    </w:p>
    <w:p>
      <w:pPr>
        <w:spacing w:after="0" w:line="197" w:lineRule="exact"/>
        <w:rPr>
          <w:sz w:val="20"/>
          <w:szCs w:val="20"/>
          <w:color w:val="auto"/>
        </w:rPr>
      </w:pPr>
    </w:p>
    <w:p>
      <w:pPr>
        <w:jc w:val="both"/>
        <w:ind w:left="5" w:right="39"/>
        <w:spacing w:after="0" w:line="223" w:lineRule="auto"/>
        <w:rPr>
          <w:sz w:val="20"/>
          <w:szCs w:val="20"/>
          <w:color w:val="auto"/>
        </w:rPr>
      </w:pPr>
      <w:r>
        <w:rPr>
          <w:rFonts w:ascii="Arial" w:cs="Arial" w:eastAsia="Arial" w:hAnsi="Arial"/>
          <w:sz w:val="14"/>
          <w:szCs w:val="14"/>
          <w:color w:val="FFFFFF"/>
        </w:rPr>
        <w:t>Prior to the consummation of this offering, the selling stockholders will exchange OpCo Units and HoldCo Units, as applicable, and associated shares of our Class B common stock for, or convert their shares of our Class C common stock into, as applicable, shares of our Class A common stock. Upon the completion of the exchange of OpCo Units or conversion of shares of our Class C common stock as applicable, the associated shares of Class B common stock will be cancelled and shares of Class C common stock will be retired and not available for reissuance.</w:t>
      </w:r>
    </w:p>
    <w:p>
      <w:pPr>
        <w:spacing w:after="0" w:line="71" w:lineRule="exact"/>
        <w:rPr>
          <w:sz w:val="20"/>
          <w:szCs w:val="20"/>
          <w:color w:val="auto"/>
        </w:rPr>
      </w:pPr>
    </w:p>
    <w:p>
      <w:pPr>
        <w:jc w:val="both"/>
        <w:ind w:left="5" w:right="39"/>
        <w:spacing w:after="0" w:line="299" w:lineRule="auto"/>
        <w:rPr>
          <w:sz w:val="20"/>
          <w:szCs w:val="20"/>
          <w:color w:val="auto"/>
        </w:rPr>
      </w:pPr>
      <w:r>
        <w:rPr>
          <w:rFonts w:ascii="Arial" w:cs="Arial" w:eastAsia="Arial" w:hAnsi="Arial"/>
          <w:sz w:val="11"/>
          <w:szCs w:val="11"/>
          <w:color w:val="FFFFFF"/>
        </w:rPr>
        <w:t>Certain affiliates of each of TA Associates, Carlyle, and our Founders (each as defined herein) are parties to a stockholders agreement and, after giving effect to this offering, will beneficially own approximately 88.7% of the combined voting power of our Class A, Class B, and Class C common stock (or 88.6% if the underwriters exercise in full their option to purchase additional shares of Class A common stock). As a result, we will continue to be a “controlled company” within the meaning of the Nasdaq corporate governance standards. See “Management—Controlled Company Exception” and “Principal and Selling Stockholders.”</w:t>
      </w:r>
    </w:p>
    <w:p>
      <w:pPr>
        <w:spacing w:after="0" w:line="39" w:lineRule="exact"/>
        <w:rPr>
          <w:sz w:val="20"/>
          <w:szCs w:val="20"/>
          <w:color w:val="auto"/>
        </w:rPr>
      </w:pPr>
    </w:p>
    <w:p>
      <w:pPr>
        <w:jc w:val="both"/>
        <w:ind w:left="5" w:right="39"/>
        <w:spacing w:after="0" w:line="235" w:lineRule="auto"/>
        <w:rPr>
          <w:sz w:val="20"/>
          <w:szCs w:val="20"/>
          <w:color w:val="auto"/>
        </w:rPr>
      </w:pPr>
      <w:r>
        <w:rPr>
          <w:rFonts w:ascii="Arial" w:cs="Arial" w:eastAsia="Arial" w:hAnsi="Arial"/>
          <w:sz w:val="14"/>
          <w:szCs w:val="14"/>
          <w:color w:val="FFFFFF"/>
        </w:rPr>
        <w:t>We are an “emerging growth company” as defined under the federal securities laws and, as such, have elected to comply with certain reduced public company reporting requirements. See “Summary—Implications of Being an Emerging Growth Company.”</w:t>
      </w:r>
    </w:p>
    <w:p>
      <w:pPr>
        <w:spacing w:after="0" w:line="67" w:lineRule="exact"/>
        <w:rPr>
          <w:sz w:val="20"/>
          <w:szCs w:val="20"/>
          <w:color w:val="auto"/>
        </w:rPr>
      </w:pPr>
    </w:p>
    <w:p>
      <w:pPr>
        <w:ind w:left="5"/>
        <w:spacing w:after="0"/>
        <w:rPr>
          <w:rFonts w:ascii="Arial" w:cs="Arial" w:eastAsia="Arial" w:hAnsi="Arial"/>
          <w:sz w:val="14"/>
          <w:szCs w:val="14"/>
          <w:b w:val="1"/>
          <w:bCs w:val="1"/>
          <w:color w:val="FFFFFF"/>
        </w:rPr>
      </w:pPr>
      <w:r>
        <w:rPr>
          <w:rFonts w:ascii="Arial" w:cs="Arial" w:eastAsia="Arial" w:hAnsi="Arial"/>
          <w:sz w:val="14"/>
          <w:szCs w:val="14"/>
          <w:b w:val="1"/>
          <w:bCs w:val="1"/>
          <w:color w:val="FFFFFF"/>
        </w:rPr>
        <w:t xml:space="preserve">Investing in shares of our Class A common stock involves risks. See “Risk Factors” beginning on page </w:t>
      </w:r>
      <w:hyperlink w:anchor="page34">
        <w:r>
          <w:rPr>
            <w:rFonts w:ascii="Arial" w:cs="Arial" w:eastAsia="Arial" w:hAnsi="Arial"/>
            <w:sz w:val="14"/>
            <w:szCs w:val="14"/>
            <w:b w:val="1"/>
            <w:bCs w:val="1"/>
            <w:color w:val="FFFFFF"/>
          </w:rPr>
          <w:t>29.</w:t>
        </w:r>
      </w:hyperlink>
    </w:p>
    <w:p>
      <w:pPr>
        <w:spacing w:after="0" w:line="88" w:lineRule="exact"/>
        <w:rPr>
          <w:sz w:val="20"/>
          <w:szCs w:val="20"/>
          <w:color w:val="auto"/>
        </w:rPr>
      </w:pPr>
    </w:p>
    <w:p>
      <w:pPr>
        <w:jc w:val="both"/>
        <w:ind w:left="5" w:right="39"/>
        <w:spacing w:after="0" w:line="235" w:lineRule="auto"/>
        <w:rPr>
          <w:sz w:val="20"/>
          <w:szCs w:val="20"/>
          <w:color w:val="auto"/>
        </w:rPr>
      </w:pPr>
      <w:r>
        <w:rPr>
          <w:rFonts w:ascii="Arial" w:cs="Arial" w:eastAsia="Arial" w:hAnsi="Arial"/>
          <w:sz w:val="14"/>
          <w:szCs w:val="14"/>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399" w:lineRule="exact"/>
        <w:rPr>
          <w:sz w:val="20"/>
          <w:szCs w:val="20"/>
          <w:color w:val="auto"/>
        </w:rPr>
      </w:pPr>
    </w:p>
    <w:tbl>
      <w:tblPr>
        <w:tblLayout w:type="fixed"/>
        <w:tblInd w:w="3545" w:type="dxa"/>
        <w:tblCellMar>
          <w:top w:w="0" w:type="dxa"/>
          <w:left w:w="0" w:type="dxa"/>
          <w:bottom w:w="0" w:type="dxa"/>
          <w:right w:w="0" w:type="dxa"/>
        </w:tblCellMar>
      </w:tblPr>
      <w:tr>
        <w:trPr>
          <w:trHeight w:val="193"/>
        </w:trPr>
        <w:tc>
          <w:tcPr>
            <w:tcW w:w="4380" w:type="dxa"/>
            <w:vAlign w:val="bottom"/>
            <w:shd w:val="clear" w:color="auto" w:fill="231F20"/>
          </w:tcPr>
          <w:p>
            <w:pPr>
              <w:ind w:left="3360"/>
              <w:spacing w:after="0"/>
              <w:rPr>
                <w:sz w:val="20"/>
                <w:szCs w:val="20"/>
                <w:color w:val="auto"/>
              </w:rPr>
            </w:pPr>
            <w:r>
              <w:rPr>
                <w:rFonts w:ascii="Arial" w:cs="Arial" w:eastAsia="Arial" w:hAnsi="Arial"/>
                <w:sz w:val="13"/>
                <w:szCs w:val="13"/>
                <w:b w:val="1"/>
                <w:bCs w:val="1"/>
                <w:color w:val="FFFFFF"/>
              </w:rPr>
              <w:t>Per Share</w:t>
            </w:r>
          </w:p>
        </w:tc>
        <w:tc>
          <w:tcPr>
            <w:tcW w:w="1100" w:type="dxa"/>
            <w:vAlign w:val="bottom"/>
            <w:shd w:val="clear" w:color="auto" w:fill="231F20"/>
          </w:tcPr>
          <w:p>
            <w:pPr>
              <w:ind w:left="460"/>
              <w:spacing w:after="0"/>
              <w:rPr>
                <w:sz w:val="20"/>
                <w:szCs w:val="20"/>
                <w:color w:val="auto"/>
              </w:rPr>
            </w:pPr>
            <w:r>
              <w:rPr>
                <w:rFonts w:ascii="Arial" w:cs="Arial" w:eastAsia="Arial" w:hAnsi="Arial"/>
                <w:sz w:val="13"/>
                <w:szCs w:val="13"/>
                <w:b w:val="1"/>
                <w:bCs w:val="1"/>
                <w:color w:val="FFFFFF"/>
              </w:rPr>
              <w:t>Total</w:t>
            </w:r>
          </w:p>
        </w:tc>
      </w:tr>
      <w:tr>
        <w:trPr>
          <w:trHeight w:val="26"/>
        </w:trPr>
        <w:tc>
          <w:tcPr>
            <w:tcW w:w="4380" w:type="dxa"/>
            <w:vAlign w:val="bottom"/>
            <w:shd w:val="clear" w:color="auto" w:fill="231F20"/>
          </w:tcPr>
          <w:p>
            <w:pPr>
              <w:spacing w:after="0"/>
              <w:rPr>
                <w:sz w:val="2"/>
                <w:szCs w:val="2"/>
                <w:color w:val="auto"/>
              </w:rPr>
            </w:pPr>
          </w:p>
        </w:tc>
        <w:tc>
          <w:tcPr>
            <w:tcW w:w="1100" w:type="dxa"/>
            <w:vAlign w:val="bottom"/>
            <w:shd w:val="clear" w:color="auto" w:fill="231F20"/>
          </w:tcPr>
          <w:p>
            <w:pPr>
              <w:spacing w:after="0"/>
              <w:rPr>
                <w:sz w:val="2"/>
                <w:szCs w:val="2"/>
                <w:color w:val="auto"/>
              </w:rPr>
            </w:pPr>
          </w:p>
        </w:tc>
      </w:tr>
    </w:tbl>
    <w:p>
      <w:pPr>
        <w:spacing w:after="0" w:line="20" w:lineRule="exact"/>
        <w:rPr>
          <w:sz w:val="20"/>
          <w:szCs w:val="20"/>
          <w:color w:val="auto"/>
        </w:rPr>
      </w:pPr>
    </w:p>
    <w:p>
      <w:pPr>
        <w:ind w:left="5"/>
        <w:spacing w:after="0"/>
        <w:rPr>
          <w:sz w:val="20"/>
          <w:szCs w:val="20"/>
          <w:color w:val="auto"/>
        </w:rPr>
      </w:pPr>
      <w:r>
        <w:rPr>
          <w:rFonts w:ascii="Arial" w:cs="Arial" w:eastAsia="Arial" w:hAnsi="Arial"/>
          <w:sz w:val="13"/>
          <w:szCs w:val="13"/>
          <w:color w:val="FFFFFF"/>
        </w:rPr>
        <w:t>Public offering price.......................................................................................................................................................</w:t>
      </w:r>
    </w:p>
    <w:p>
      <w:pPr>
        <w:spacing w:after="0" w:line="52" w:lineRule="exact"/>
        <w:rPr>
          <w:sz w:val="20"/>
          <w:szCs w:val="20"/>
          <w:color w:val="auto"/>
        </w:rPr>
      </w:pPr>
    </w:p>
    <w:p>
      <w:pPr>
        <w:ind w:left="5"/>
        <w:spacing w:after="0"/>
        <w:rPr>
          <w:sz w:val="20"/>
          <w:szCs w:val="20"/>
          <w:color w:val="auto"/>
        </w:rPr>
      </w:pPr>
      <w:r>
        <w:rPr>
          <w:rFonts w:ascii="Arial" w:cs="Arial" w:eastAsia="Arial" w:hAnsi="Arial"/>
          <w:sz w:val="13"/>
          <w:szCs w:val="13"/>
          <w:color w:val="FFFFFF"/>
        </w:rPr>
        <w:t>Underwriting discount</w:t>
      </w:r>
      <w:r>
        <w:rPr>
          <w:rFonts w:ascii="Arial" w:cs="Arial" w:eastAsia="Arial" w:hAnsi="Arial"/>
          <w:sz w:val="16"/>
          <w:szCs w:val="16"/>
          <w:color w:val="FFFFFF"/>
          <w:vertAlign w:val="superscript"/>
        </w:rPr>
        <w:t>(1)</w:t>
      </w:r>
      <w:r>
        <w:rPr>
          <w:rFonts w:ascii="Arial" w:cs="Arial" w:eastAsia="Arial" w:hAnsi="Arial"/>
          <w:sz w:val="13"/>
          <w:szCs w:val="13"/>
          <w:color w:val="FFFFFF"/>
        </w:rPr>
        <w:t>.................................................................................................................................................</w:t>
      </w:r>
    </w:p>
    <w:p>
      <w:pPr>
        <w:spacing w:after="0" w:line="49" w:lineRule="exact"/>
        <w:rPr>
          <w:sz w:val="20"/>
          <w:szCs w:val="20"/>
          <w:color w:val="auto"/>
        </w:rPr>
      </w:pPr>
    </w:p>
    <w:p>
      <w:pPr>
        <w:ind w:left="45"/>
        <w:spacing w:after="0"/>
        <w:rPr>
          <w:sz w:val="20"/>
          <w:szCs w:val="20"/>
          <w:color w:val="auto"/>
        </w:rPr>
      </w:pPr>
      <w:r>
        <w:rPr>
          <w:rFonts w:ascii="Arial" w:cs="Arial" w:eastAsia="Arial" w:hAnsi="Arial"/>
          <w:sz w:val="11"/>
          <w:szCs w:val="11"/>
          <w:color w:val="FFFFFF"/>
        </w:rPr>
        <w:t>Proceeds, before expenses, to the selling stockholders.................................................................................................</w:t>
      </w:r>
    </w:p>
    <w:p>
      <w:pPr>
        <w:spacing w:after="0" w:line="165" w:lineRule="exact"/>
        <w:rPr>
          <w:sz w:val="20"/>
          <w:szCs w:val="20"/>
          <w:color w:val="auto"/>
        </w:rPr>
      </w:pPr>
    </w:p>
    <w:p>
      <w:pPr>
        <w:ind w:left="305" w:hanging="305"/>
        <w:spacing w:after="0"/>
        <w:tabs>
          <w:tab w:leader="none" w:pos="305" w:val="left"/>
        </w:tabs>
        <w:numPr>
          <w:ilvl w:val="0"/>
          <w:numId w:val="2"/>
        </w:numPr>
        <w:rPr>
          <w:rFonts w:ascii="Arial" w:cs="Arial" w:eastAsia="Arial" w:hAnsi="Arial"/>
          <w:sz w:val="12"/>
          <w:szCs w:val="12"/>
          <w:color w:val="FFFFFF"/>
        </w:rPr>
      </w:pPr>
      <w:r>
        <w:rPr>
          <w:rFonts w:ascii="Arial" w:cs="Arial" w:eastAsia="Arial" w:hAnsi="Arial"/>
          <w:sz w:val="12"/>
          <w:szCs w:val="12"/>
          <w:color w:val="FFFFFF"/>
        </w:rPr>
        <w:t>Please see the section entitled “Underwriting” for a description of compensation payable to the underwriters.</w:t>
      </w:r>
    </w:p>
    <w:p>
      <w:pPr>
        <w:spacing w:after="0" w:line="244" w:lineRule="exact"/>
        <w:rPr>
          <w:sz w:val="20"/>
          <w:szCs w:val="20"/>
          <w:color w:val="auto"/>
        </w:rPr>
      </w:pPr>
    </w:p>
    <w:p>
      <w:pPr>
        <w:jc w:val="both"/>
        <w:ind w:left="5" w:right="39"/>
        <w:spacing w:after="0" w:line="208" w:lineRule="auto"/>
        <w:rPr>
          <w:sz w:val="20"/>
          <w:szCs w:val="20"/>
          <w:color w:val="auto"/>
        </w:rPr>
      </w:pPr>
      <w:r>
        <w:rPr>
          <w:rFonts w:ascii="Arial" w:cs="Arial" w:eastAsia="Arial" w:hAnsi="Arial"/>
          <w:sz w:val="14"/>
          <w:szCs w:val="14"/>
          <w:color w:val="FFFFFF"/>
        </w:rPr>
        <w:t>To the extent that the underwriters sell more than 12,500,000 shares of our Class A common stock, the underwriters have the option, within 30 days from the date of this prospectus, to purchase up to an additional 1,875,000 shares of our Class A common stock from the selling stockholders at the public offering price less the underwriting discount. We will not receive any proceeds from the sale of our Class A common stock pursuant to any exercise of the underwriters’ option to purchase additional shares.</w:t>
      </w:r>
    </w:p>
    <w:p>
      <w:pPr>
        <w:spacing w:after="0" w:line="253" w:lineRule="exact"/>
        <w:rPr>
          <w:sz w:val="20"/>
          <w:szCs w:val="20"/>
          <w:color w:val="auto"/>
        </w:rPr>
      </w:pPr>
    </w:p>
    <w:p>
      <w:pPr>
        <w:jc w:val="center"/>
        <w:ind w:right="-84"/>
        <w:spacing w:after="0"/>
        <w:rPr>
          <w:sz w:val="20"/>
          <w:szCs w:val="20"/>
          <w:color w:val="auto"/>
        </w:rPr>
      </w:pPr>
      <w:r>
        <w:rPr>
          <w:rFonts w:ascii="Arial" w:cs="Arial" w:eastAsia="Arial" w:hAnsi="Arial"/>
          <w:sz w:val="14"/>
          <w:szCs w:val="14"/>
          <w:b w:val="1"/>
          <w:bCs w:val="1"/>
          <w:i w:val="1"/>
          <w:iCs w:val="1"/>
          <w:color w:val="FFFFFF"/>
        </w:rPr>
        <w:t>Joint Book-Running Managers</w:t>
      </w:r>
    </w:p>
    <w:p>
      <w:pPr>
        <w:sectPr>
          <w:pgSz w:w="11900" w:h="16838" w:orient="portrait"/>
          <w:cols w:equalWidth="0" w:num="1">
            <w:col w:w="9044"/>
          </w:cols>
          <w:pgMar w:left="1415" w:top="1203" w:right="1440" w:bottom="1440" w:gutter="0" w:footer="0" w:header="0"/>
        </w:sectPr>
      </w:pPr>
    </w:p>
    <w:p>
      <w:pPr>
        <w:spacing w:after="0" w:line="35" w:lineRule="exact"/>
        <w:rPr>
          <w:sz w:val="20"/>
          <w:szCs w:val="20"/>
          <w:color w:val="auto"/>
        </w:rPr>
      </w:pPr>
    </w:p>
    <w:p>
      <w:pPr>
        <w:ind w:left="5"/>
        <w:spacing w:after="0"/>
        <w:rPr>
          <w:sz w:val="20"/>
          <w:szCs w:val="20"/>
          <w:color w:val="auto"/>
        </w:rPr>
      </w:pPr>
      <w:r>
        <w:rPr>
          <w:rFonts w:ascii="Arial" w:cs="Arial" w:eastAsia="Arial" w:hAnsi="Arial"/>
          <w:sz w:val="21"/>
          <w:szCs w:val="21"/>
          <w:color w:val="FFFFFF"/>
        </w:rPr>
        <w:t>J.P. Morgan</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FFFFFF"/>
        </w:rPr>
        <w:t>Morgan Stanley</w:t>
      </w:r>
    </w:p>
    <w:p>
      <w:pPr>
        <w:spacing w:after="0" w:line="200" w:lineRule="exact"/>
        <w:rPr>
          <w:sz w:val="20"/>
          <w:szCs w:val="20"/>
          <w:color w:val="auto"/>
        </w:rPr>
      </w:pPr>
    </w:p>
    <w:p>
      <w:pPr>
        <w:sectPr>
          <w:pgSz w:w="11900" w:h="16838" w:orient="portrait"/>
          <w:cols w:equalWidth="0" w:num="2">
            <w:col w:w="6745" w:space="720"/>
            <w:col w:w="1579"/>
          </w:cols>
          <w:pgMar w:left="1415" w:top="12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65"/>
        <w:spacing w:after="0"/>
        <w:tabs>
          <w:tab w:leader="none" w:pos="5344" w:val="left"/>
        </w:tabs>
        <w:rPr>
          <w:sz w:val="20"/>
          <w:szCs w:val="20"/>
          <w:color w:val="auto"/>
        </w:rPr>
      </w:pPr>
      <w:r>
        <w:rPr>
          <w:rFonts w:ascii="Arial" w:cs="Arial" w:eastAsia="Arial" w:hAnsi="Arial"/>
          <w:sz w:val="14"/>
          <w:szCs w:val="14"/>
          <w:color w:val="FFFFFF"/>
        </w:rPr>
        <w:t>The date of this prospectus is</w:t>
      </w:r>
      <w:r>
        <w:rPr>
          <w:sz w:val="20"/>
          <w:szCs w:val="20"/>
          <w:color w:val="auto"/>
        </w:rPr>
        <w:tab/>
      </w:r>
      <w:r>
        <w:rPr>
          <w:rFonts w:ascii="Arial" w:cs="Arial" w:eastAsia="Arial" w:hAnsi="Arial"/>
          <w:sz w:val="11"/>
          <w:szCs w:val="11"/>
          <w:color w:val="FFFFFF"/>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448945</wp:posOffset>
            </wp:positionV>
            <wp:extent cx="71386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9044"/>
          </w:cols>
          <w:pgMar w:left="1415" w:top="1203" w:right="1440" w:bottom="1440" w:gutter="0" w:footer="0" w:header="0"/>
          <w:type w:val="continuous"/>
        </w:sectPr>
      </w:pPr>
    </w:p>
    <w:bookmarkStart w:id="2" w:name="page3"/>
    <w:bookmarkEnd w:id="2"/>
    <w:tbl>
      <w:tblPr>
        <w:tblLayout w:type="fixed"/>
        <w:tblInd w:w="20" w:type="dxa"/>
        <w:tblCellMar>
          <w:top w:w="0" w:type="dxa"/>
          <w:left w:w="0" w:type="dxa"/>
          <w:bottom w:w="0" w:type="dxa"/>
          <w:right w:w="0" w:type="dxa"/>
        </w:tblCellMar>
      </w:tblPr>
      <w:tr>
        <w:trPr>
          <w:trHeight w:val="223"/>
        </w:trPr>
        <w:tc>
          <w:tcPr>
            <w:tcW w:w="8480" w:type="dxa"/>
            <w:vAlign w:val="bottom"/>
          </w:tcPr>
          <w:p>
            <w:pPr>
              <w:ind w:left="4960"/>
              <w:spacing w:after="0"/>
              <w:rPr>
                <w:sz w:val="20"/>
                <w:szCs w:val="20"/>
                <w:color w:val="auto"/>
              </w:rPr>
            </w:pPr>
            <w:r>
              <w:rPr>
                <w:rFonts w:ascii="Arial" w:cs="Arial" w:eastAsia="Arial" w:hAnsi="Arial"/>
                <w:sz w:val="17"/>
                <w:szCs w:val="17"/>
                <w:b w:val="1"/>
                <w:bCs w:val="1"/>
                <w:color w:val="auto"/>
              </w:rPr>
              <w:t>Table of Contents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1"/>
        </w:trPr>
        <w:tc>
          <w:tcPr>
            <w:tcW w:w="8480" w:type="dxa"/>
            <w:vAlign w:val="bottom"/>
          </w:tcPr>
          <w:p>
            <w:pPr>
              <w:spacing w:after="0"/>
              <w:rPr>
                <w:sz w:val="24"/>
                <w:szCs w:val="24"/>
                <w:color w:val="auto"/>
              </w:rPr>
            </w:pPr>
          </w:p>
        </w:tc>
        <w:tc>
          <w:tcPr>
            <w:tcW w:w="2500" w:type="dxa"/>
            <w:vAlign w:val="bottom"/>
            <w:gridSpan w:val="3"/>
          </w:tcPr>
          <w:p>
            <w:pPr>
              <w:jc w:val="center"/>
              <w:ind w:left="2135"/>
              <w:spacing w:after="0"/>
              <w:rPr>
                <w:sz w:val="20"/>
                <w:szCs w:val="20"/>
                <w:color w:val="auto"/>
              </w:rPr>
            </w:pPr>
            <w:r>
              <w:rPr>
                <w:rFonts w:ascii="Arial" w:cs="Arial" w:eastAsia="Arial" w:hAnsi="Arial"/>
                <w:sz w:val="14"/>
                <w:szCs w:val="14"/>
                <w:b w:val="1"/>
                <w:bCs w:val="1"/>
                <w:color w:val="auto"/>
                <w:w w:val="83"/>
              </w:rPr>
              <w:t>Page</w:t>
            </w:r>
          </w:p>
        </w:tc>
      </w:tr>
      <w:tr>
        <w:trPr>
          <w:trHeight w:val="229"/>
        </w:trPr>
        <w:tc>
          <w:tcPr>
            <w:tcW w:w="8480" w:type="dxa"/>
            <w:vAlign w:val="bottom"/>
          </w:tcPr>
          <w:p>
            <w:pPr>
              <w:spacing w:after="0"/>
              <w:rPr>
                <w:rFonts w:ascii="Arial" w:cs="Arial" w:eastAsia="Arial" w:hAnsi="Arial"/>
                <w:sz w:val="17"/>
                <w:szCs w:val="17"/>
                <w:u w:val="single" w:color="auto"/>
                <w:color w:val="0000FF"/>
              </w:rPr>
            </w:pPr>
            <w:hyperlink w:anchor="page6">
              <w:r>
                <w:rPr>
                  <w:rFonts w:ascii="Arial" w:cs="Arial" w:eastAsia="Arial" w:hAnsi="Arial"/>
                  <w:sz w:val="17"/>
                  <w:szCs w:val="17"/>
                  <w:u w:val="single" w:color="auto"/>
                  <w:color w:val="0000FF"/>
                </w:rPr>
                <w:t>Summary</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6">
              <w:r>
                <w:rPr>
                  <w:rFonts w:ascii="Arial" w:cs="Arial" w:eastAsia="Arial" w:hAnsi="Arial"/>
                  <w:sz w:val="17"/>
                  <w:szCs w:val="17"/>
                  <w:u w:val="single" w:color="auto"/>
                  <w:color w:val="0000FF"/>
                  <w:w w:val="84"/>
                </w:rPr>
                <w:t>1</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34">
              <w:r>
                <w:rPr>
                  <w:rFonts w:ascii="Arial" w:cs="Arial" w:eastAsia="Arial" w:hAnsi="Arial"/>
                  <w:sz w:val="17"/>
                  <w:szCs w:val="17"/>
                  <w:u w:val="single" w:color="auto"/>
                  <w:color w:val="0000FF"/>
                </w:rPr>
                <w:t>Risk Factors</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34">
              <w:r>
                <w:rPr>
                  <w:rFonts w:ascii="Arial" w:cs="Arial" w:eastAsia="Arial" w:hAnsi="Arial"/>
                  <w:sz w:val="17"/>
                  <w:szCs w:val="17"/>
                  <w:u w:val="single" w:color="auto"/>
                  <w:color w:val="0000FF"/>
                  <w:w w:val="84"/>
                </w:rPr>
                <w:t>29</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81">
              <w:r>
                <w:rPr>
                  <w:rFonts w:ascii="Arial" w:cs="Arial" w:eastAsia="Arial" w:hAnsi="Arial"/>
                  <w:sz w:val="17"/>
                  <w:szCs w:val="17"/>
                  <w:u w:val="single" w:color="auto"/>
                  <w:color w:val="0000FF"/>
                </w:rPr>
                <w:t>Forward-Looking Statements</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81">
              <w:r>
                <w:rPr>
                  <w:rFonts w:ascii="Arial" w:cs="Arial" w:eastAsia="Arial" w:hAnsi="Arial"/>
                  <w:sz w:val="17"/>
                  <w:szCs w:val="17"/>
                  <w:u w:val="single" w:color="auto"/>
                  <w:color w:val="0000FF"/>
                  <w:w w:val="84"/>
                </w:rPr>
                <w:t>76</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83">
              <w:r>
                <w:rPr>
                  <w:rFonts w:ascii="Arial" w:cs="Arial" w:eastAsia="Arial" w:hAnsi="Arial"/>
                  <w:sz w:val="17"/>
                  <w:szCs w:val="17"/>
                  <w:u w:val="single" w:color="auto"/>
                  <w:color w:val="0000FF"/>
                </w:rPr>
                <w:t>Market and Industry Data</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83">
              <w:r>
                <w:rPr>
                  <w:rFonts w:ascii="Arial" w:cs="Arial" w:eastAsia="Arial" w:hAnsi="Arial"/>
                  <w:sz w:val="17"/>
                  <w:szCs w:val="17"/>
                  <w:u w:val="single" w:color="auto"/>
                  <w:color w:val="0000FF"/>
                  <w:w w:val="84"/>
                </w:rPr>
                <w:t>78</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84">
              <w:r>
                <w:rPr>
                  <w:rFonts w:ascii="Arial" w:cs="Arial" w:eastAsia="Arial" w:hAnsi="Arial"/>
                  <w:sz w:val="17"/>
                  <w:szCs w:val="17"/>
                  <w:u w:val="single" w:color="auto"/>
                  <w:color w:val="0000FF"/>
                </w:rPr>
                <w:t>Organizational Structure</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84">
              <w:r>
                <w:rPr>
                  <w:rFonts w:ascii="Arial" w:cs="Arial" w:eastAsia="Arial" w:hAnsi="Arial"/>
                  <w:sz w:val="17"/>
                  <w:szCs w:val="17"/>
                  <w:u w:val="single" w:color="auto"/>
                  <w:color w:val="0000FF"/>
                  <w:w w:val="84"/>
                </w:rPr>
                <w:t>79</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91">
              <w:r>
                <w:rPr>
                  <w:rFonts w:ascii="Arial" w:cs="Arial" w:eastAsia="Arial" w:hAnsi="Arial"/>
                  <w:sz w:val="17"/>
                  <w:szCs w:val="17"/>
                  <w:u w:val="single" w:color="auto"/>
                  <w:color w:val="0000FF"/>
                </w:rPr>
                <w:t>Use of Proceeds</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91">
              <w:r>
                <w:rPr>
                  <w:rFonts w:ascii="Arial" w:cs="Arial" w:eastAsia="Arial" w:hAnsi="Arial"/>
                  <w:sz w:val="17"/>
                  <w:szCs w:val="17"/>
                  <w:u w:val="single" w:color="auto"/>
                  <w:color w:val="0000FF"/>
                  <w:w w:val="84"/>
                </w:rPr>
                <w:t>86</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92">
              <w:r>
                <w:rPr>
                  <w:rFonts w:ascii="Arial" w:cs="Arial" w:eastAsia="Arial" w:hAnsi="Arial"/>
                  <w:sz w:val="17"/>
                  <w:szCs w:val="17"/>
                  <w:u w:val="single" w:color="auto"/>
                  <w:color w:val="0000FF"/>
                </w:rPr>
                <w:t>Dividend Policy</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92">
              <w:r>
                <w:rPr>
                  <w:rFonts w:ascii="Arial" w:cs="Arial" w:eastAsia="Arial" w:hAnsi="Arial"/>
                  <w:sz w:val="17"/>
                  <w:szCs w:val="17"/>
                  <w:u w:val="single" w:color="auto"/>
                  <w:color w:val="0000FF"/>
                  <w:w w:val="84"/>
                </w:rPr>
                <w:t>87</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94">
              <w:r>
                <w:rPr>
                  <w:rFonts w:ascii="Arial" w:cs="Arial" w:eastAsia="Arial" w:hAnsi="Arial"/>
                  <w:sz w:val="17"/>
                  <w:szCs w:val="17"/>
                  <w:u w:val="single" w:color="auto"/>
                  <w:color w:val="0000FF"/>
                </w:rPr>
                <w:t>Capitalization</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94">
              <w:r>
                <w:rPr>
                  <w:rFonts w:ascii="Arial" w:cs="Arial" w:eastAsia="Arial" w:hAnsi="Arial"/>
                  <w:sz w:val="17"/>
                  <w:szCs w:val="17"/>
                  <w:u w:val="single" w:color="auto"/>
                  <w:color w:val="0000FF"/>
                  <w:w w:val="84"/>
                </w:rPr>
                <w:t>89</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95">
              <w:r>
                <w:rPr>
                  <w:rFonts w:ascii="Arial" w:cs="Arial" w:eastAsia="Arial" w:hAnsi="Arial"/>
                  <w:sz w:val="17"/>
                  <w:szCs w:val="17"/>
                  <w:u w:val="single" w:color="auto"/>
                  <w:color w:val="0000FF"/>
                </w:rPr>
                <w:t>Unaudited Pro Forma Combined and Consolidated Financial Information</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95">
              <w:r>
                <w:rPr>
                  <w:rFonts w:ascii="Arial" w:cs="Arial" w:eastAsia="Arial" w:hAnsi="Arial"/>
                  <w:sz w:val="17"/>
                  <w:szCs w:val="17"/>
                  <w:u w:val="single" w:color="auto"/>
                  <w:color w:val="0000FF"/>
                  <w:w w:val="84"/>
                </w:rPr>
                <w:t>90</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02">
              <w:r>
                <w:rPr>
                  <w:rFonts w:ascii="Arial" w:cs="Arial" w:eastAsia="Arial" w:hAnsi="Arial"/>
                  <w:sz w:val="17"/>
                  <w:szCs w:val="17"/>
                  <w:u w:val="single" w:color="auto"/>
                  <w:color w:val="0000FF"/>
                </w:rPr>
                <w:t>Selected Historical Consolidated Financial Data</w:t>
              </w:r>
            </w:hyperlink>
          </w:p>
        </w:tc>
        <w:tc>
          <w:tcPr>
            <w:tcW w:w="2480" w:type="dxa"/>
            <w:vAlign w:val="bottom"/>
            <w:gridSpan w:val="2"/>
          </w:tcPr>
          <w:p>
            <w:pPr>
              <w:jc w:val="center"/>
              <w:ind w:left="2155"/>
              <w:spacing w:after="0"/>
              <w:rPr>
                <w:rFonts w:ascii="Arial" w:cs="Arial" w:eastAsia="Arial" w:hAnsi="Arial"/>
                <w:sz w:val="17"/>
                <w:szCs w:val="17"/>
                <w:u w:val="single" w:color="auto"/>
                <w:color w:val="0000FF"/>
                <w:w w:val="84"/>
              </w:rPr>
            </w:pPr>
            <w:hyperlink w:anchor="page102">
              <w:r>
                <w:rPr>
                  <w:rFonts w:ascii="Arial" w:cs="Arial" w:eastAsia="Arial" w:hAnsi="Arial"/>
                  <w:sz w:val="17"/>
                  <w:szCs w:val="17"/>
                  <w:u w:val="single" w:color="auto"/>
                  <w:color w:val="0000FF"/>
                  <w:w w:val="84"/>
                </w:rPr>
                <w:t>97</w:t>
              </w:r>
            </w:hyperlink>
          </w:p>
        </w:tc>
        <w:tc>
          <w:tcPr>
            <w:tcW w:w="20" w:type="dxa"/>
            <w:vAlign w:val="bottom"/>
          </w:tcPr>
          <w:p>
            <w:pPr>
              <w:spacing w:after="0"/>
              <w:rPr>
                <w:sz w:val="19"/>
                <w:szCs w:val="19"/>
                <w:color w:val="auto"/>
              </w:rPr>
            </w:pPr>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05">
              <w:r>
                <w:rPr>
                  <w:rFonts w:ascii="Arial" w:cs="Arial" w:eastAsia="Arial" w:hAnsi="Arial"/>
                  <w:sz w:val="17"/>
                  <w:szCs w:val="17"/>
                  <w:u w:val="single" w:color="auto"/>
                  <w:color w:val="0000FF"/>
                </w:rPr>
                <w:t>Management’s Discussion and Analysis of Financial Condition and Results of Operations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05">
              <w:r>
                <w:rPr>
                  <w:rFonts w:ascii="Arial" w:cs="Arial" w:eastAsia="Arial" w:hAnsi="Arial"/>
                  <w:sz w:val="17"/>
                  <w:szCs w:val="17"/>
                  <w:u w:val="single" w:color="auto"/>
                  <w:color w:val="0000FF"/>
                  <w:w w:val="91"/>
                </w:rPr>
                <w:t>100</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40">
              <w:r>
                <w:rPr>
                  <w:rFonts w:ascii="Arial" w:cs="Arial" w:eastAsia="Arial" w:hAnsi="Arial"/>
                  <w:sz w:val="17"/>
                  <w:szCs w:val="17"/>
                  <w:u w:val="single" w:color="auto"/>
                  <w:color w:val="0000FF"/>
                </w:rPr>
                <w:t>Business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40">
              <w:r>
                <w:rPr>
                  <w:rFonts w:ascii="Arial" w:cs="Arial" w:eastAsia="Arial" w:hAnsi="Arial"/>
                  <w:sz w:val="17"/>
                  <w:szCs w:val="17"/>
                  <w:u w:val="single" w:color="auto"/>
                  <w:color w:val="0000FF"/>
                  <w:w w:val="91"/>
                </w:rPr>
                <w:t>135</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56">
              <w:r>
                <w:rPr>
                  <w:rFonts w:ascii="Arial" w:cs="Arial" w:eastAsia="Arial" w:hAnsi="Arial"/>
                  <w:sz w:val="17"/>
                  <w:szCs w:val="17"/>
                  <w:u w:val="single" w:color="auto"/>
                  <w:color w:val="0000FF"/>
                </w:rPr>
                <w:t>Management</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56">
              <w:r>
                <w:rPr>
                  <w:rFonts w:ascii="Arial" w:cs="Arial" w:eastAsia="Arial" w:hAnsi="Arial"/>
                  <w:sz w:val="17"/>
                  <w:szCs w:val="17"/>
                  <w:u w:val="single" w:color="auto"/>
                  <w:color w:val="0000FF"/>
                  <w:w w:val="91"/>
                </w:rPr>
                <w:t>151</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62">
              <w:r>
                <w:rPr>
                  <w:rFonts w:ascii="Arial" w:cs="Arial" w:eastAsia="Arial" w:hAnsi="Arial"/>
                  <w:sz w:val="17"/>
                  <w:szCs w:val="17"/>
                  <w:u w:val="single" w:color="auto"/>
                  <w:color w:val="0000FF"/>
                </w:rPr>
                <w:t>Executive Compensation</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62">
              <w:r>
                <w:rPr>
                  <w:rFonts w:ascii="Arial" w:cs="Arial" w:eastAsia="Arial" w:hAnsi="Arial"/>
                  <w:sz w:val="17"/>
                  <w:szCs w:val="17"/>
                  <w:u w:val="single" w:color="auto"/>
                  <w:color w:val="0000FF"/>
                  <w:w w:val="91"/>
                </w:rPr>
                <w:t>157</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80">
              <w:r>
                <w:rPr>
                  <w:rFonts w:ascii="Arial" w:cs="Arial" w:eastAsia="Arial" w:hAnsi="Arial"/>
                  <w:sz w:val="17"/>
                  <w:szCs w:val="17"/>
                  <w:u w:val="single" w:color="auto"/>
                  <w:color w:val="0000FF"/>
                </w:rPr>
                <w:t>Certain Relationships and Related Person Transactions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80">
              <w:r>
                <w:rPr>
                  <w:rFonts w:ascii="Arial" w:cs="Arial" w:eastAsia="Arial" w:hAnsi="Arial"/>
                  <w:sz w:val="17"/>
                  <w:szCs w:val="17"/>
                  <w:u w:val="single" w:color="auto"/>
                  <w:color w:val="0000FF"/>
                  <w:w w:val="91"/>
                </w:rPr>
                <w:t>175</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87">
              <w:r>
                <w:rPr>
                  <w:rFonts w:ascii="Arial" w:cs="Arial" w:eastAsia="Arial" w:hAnsi="Arial"/>
                  <w:sz w:val="17"/>
                  <w:szCs w:val="17"/>
                  <w:u w:val="single" w:color="auto"/>
                  <w:color w:val="0000FF"/>
                </w:rPr>
                <w:t>Principal and Selling Stockholders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87">
              <w:r>
                <w:rPr>
                  <w:rFonts w:ascii="Arial" w:cs="Arial" w:eastAsia="Arial" w:hAnsi="Arial"/>
                  <w:sz w:val="17"/>
                  <w:szCs w:val="17"/>
                  <w:u w:val="single" w:color="auto"/>
                  <w:color w:val="0000FF"/>
                  <w:w w:val="91"/>
                </w:rPr>
                <w:t>182</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91">
              <w:r>
                <w:rPr>
                  <w:rFonts w:ascii="Arial" w:cs="Arial" w:eastAsia="Arial" w:hAnsi="Arial"/>
                  <w:sz w:val="17"/>
                  <w:szCs w:val="17"/>
                  <w:u w:val="single" w:color="auto"/>
                  <w:color w:val="0000FF"/>
                </w:rPr>
                <w:t>Description of Certain Indebtedness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91">
              <w:r>
                <w:rPr>
                  <w:rFonts w:ascii="Arial" w:cs="Arial" w:eastAsia="Arial" w:hAnsi="Arial"/>
                  <w:sz w:val="17"/>
                  <w:szCs w:val="17"/>
                  <w:u w:val="single" w:color="auto"/>
                  <w:color w:val="0000FF"/>
                  <w:w w:val="91"/>
                </w:rPr>
                <w:t>186</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194">
              <w:r>
                <w:rPr>
                  <w:rFonts w:ascii="Arial" w:cs="Arial" w:eastAsia="Arial" w:hAnsi="Arial"/>
                  <w:sz w:val="17"/>
                  <w:szCs w:val="17"/>
                  <w:u w:val="single" w:color="auto"/>
                  <w:color w:val="0000FF"/>
                </w:rPr>
                <w:t>Description of Capital Stock</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194">
              <w:r>
                <w:rPr>
                  <w:rFonts w:ascii="Arial" w:cs="Arial" w:eastAsia="Arial" w:hAnsi="Arial"/>
                  <w:sz w:val="17"/>
                  <w:szCs w:val="17"/>
                  <w:u w:val="single" w:color="auto"/>
                  <w:color w:val="0000FF"/>
                  <w:w w:val="91"/>
                </w:rPr>
                <w:t>189</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03">
              <w:r>
                <w:rPr>
                  <w:rFonts w:ascii="Arial" w:cs="Arial" w:eastAsia="Arial" w:hAnsi="Arial"/>
                  <w:sz w:val="17"/>
                  <w:szCs w:val="17"/>
                  <w:u w:val="single" w:color="auto"/>
                  <w:color w:val="0000FF"/>
                </w:rPr>
                <w:t>Certain U.S. Federal Income and Estate Tax Consequences to Non-U.S. Holders</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203">
              <w:r>
                <w:rPr>
                  <w:rFonts w:ascii="Arial" w:cs="Arial" w:eastAsia="Arial" w:hAnsi="Arial"/>
                  <w:sz w:val="17"/>
                  <w:szCs w:val="17"/>
                  <w:u w:val="single" w:color="auto"/>
                  <w:color w:val="0000FF"/>
                  <w:w w:val="91"/>
                </w:rPr>
                <w:t>198</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06">
              <w:r>
                <w:rPr>
                  <w:rFonts w:ascii="Arial" w:cs="Arial" w:eastAsia="Arial" w:hAnsi="Arial"/>
                  <w:sz w:val="17"/>
                  <w:szCs w:val="17"/>
                  <w:u w:val="single" w:color="auto"/>
                  <w:color w:val="0000FF"/>
                </w:rPr>
                <w:t>Shares Eligible for Future Sale</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206">
              <w:r>
                <w:rPr>
                  <w:rFonts w:ascii="Arial" w:cs="Arial" w:eastAsia="Arial" w:hAnsi="Arial"/>
                  <w:sz w:val="17"/>
                  <w:szCs w:val="17"/>
                  <w:u w:val="single" w:color="auto"/>
                  <w:color w:val="0000FF"/>
                  <w:w w:val="91"/>
                </w:rPr>
                <w:t>201</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09">
              <w:r>
                <w:rPr>
                  <w:rFonts w:ascii="Arial" w:cs="Arial" w:eastAsia="Arial" w:hAnsi="Arial"/>
                  <w:sz w:val="17"/>
                  <w:szCs w:val="17"/>
                  <w:u w:val="single" w:color="auto"/>
                  <w:color w:val="0000FF"/>
                </w:rPr>
                <w:t>Underwriting</w:t>
              </w:r>
            </w:hyperlink>
          </w:p>
        </w:tc>
        <w:tc>
          <w:tcPr>
            <w:tcW w:w="2500" w:type="dxa"/>
            <w:vAlign w:val="bottom"/>
            <w:gridSpan w:val="3"/>
          </w:tcPr>
          <w:p>
            <w:pPr>
              <w:jc w:val="center"/>
              <w:ind w:left="2115"/>
              <w:spacing w:after="0"/>
              <w:rPr>
                <w:rFonts w:ascii="Arial" w:cs="Arial" w:eastAsia="Arial" w:hAnsi="Arial"/>
                <w:sz w:val="17"/>
                <w:szCs w:val="17"/>
                <w:u w:val="single" w:color="auto"/>
                <w:color w:val="0000FF"/>
                <w:w w:val="91"/>
              </w:rPr>
            </w:pPr>
            <w:hyperlink w:anchor="page209">
              <w:r>
                <w:rPr>
                  <w:rFonts w:ascii="Arial" w:cs="Arial" w:eastAsia="Arial" w:hAnsi="Arial"/>
                  <w:sz w:val="17"/>
                  <w:szCs w:val="17"/>
                  <w:u w:val="single" w:color="auto"/>
                  <w:color w:val="0000FF"/>
                  <w:w w:val="91"/>
                </w:rPr>
                <w:t>204</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16">
              <w:r>
                <w:rPr>
                  <w:rFonts w:ascii="Arial" w:cs="Arial" w:eastAsia="Arial" w:hAnsi="Arial"/>
                  <w:sz w:val="17"/>
                  <w:szCs w:val="17"/>
                  <w:u w:val="single" w:color="auto"/>
                  <w:color w:val="0000FF"/>
                </w:rPr>
                <w:t>Legal Matters</w:t>
              </w:r>
            </w:hyperlink>
          </w:p>
        </w:tc>
        <w:tc>
          <w:tcPr>
            <w:tcW w:w="2500" w:type="dxa"/>
            <w:vAlign w:val="bottom"/>
            <w:gridSpan w:val="3"/>
          </w:tcPr>
          <w:p>
            <w:pPr>
              <w:jc w:val="center"/>
              <w:ind w:left="2135"/>
              <w:spacing w:after="0"/>
              <w:rPr>
                <w:rFonts w:ascii="Arial" w:cs="Arial" w:eastAsia="Arial" w:hAnsi="Arial"/>
                <w:sz w:val="17"/>
                <w:szCs w:val="17"/>
                <w:u w:val="single" w:color="auto"/>
                <w:color w:val="0000FF"/>
                <w:w w:val="84"/>
              </w:rPr>
            </w:pPr>
            <w:hyperlink w:anchor="page216">
              <w:r>
                <w:rPr>
                  <w:rFonts w:ascii="Arial" w:cs="Arial" w:eastAsia="Arial" w:hAnsi="Arial"/>
                  <w:sz w:val="17"/>
                  <w:szCs w:val="17"/>
                  <w:u w:val="single" w:color="auto"/>
                  <w:color w:val="0000FF"/>
                  <w:w w:val="84"/>
                </w:rPr>
                <w:t>211</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17">
              <w:r>
                <w:rPr>
                  <w:rFonts w:ascii="Arial" w:cs="Arial" w:eastAsia="Arial" w:hAnsi="Arial"/>
                  <w:sz w:val="17"/>
                  <w:szCs w:val="17"/>
                  <w:u w:val="single" w:color="auto"/>
                  <w:color w:val="0000FF"/>
                </w:rPr>
                <w:t>Experts</w:t>
              </w:r>
            </w:hyperlink>
          </w:p>
        </w:tc>
        <w:tc>
          <w:tcPr>
            <w:tcW w:w="2500" w:type="dxa"/>
            <w:vAlign w:val="bottom"/>
            <w:gridSpan w:val="3"/>
          </w:tcPr>
          <w:p>
            <w:pPr>
              <w:jc w:val="center"/>
              <w:ind w:left="2135"/>
              <w:spacing w:after="0"/>
              <w:rPr>
                <w:rFonts w:ascii="Arial" w:cs="Arial" w:eastAsia="Arial" w:hAnsi="Arial"/>
                <w:sz w:val="17"/>
                <w:szCs w:val="17"/>
                <w:u w:val="single" w:color="auto"/>
                <w:color w:val="0000FF"/>
                <w:w w:val="84"/>
              </w:rPr>
            </w:pPr>
            <w:hyperlink w:anchor="page217">
              <w:r>
                <w:rPr>
                  <w:rFonts w:ascii="Arial" w:cs="Arial" w:eastAsia="Arial" w:hAnsi="Arial"/>
                  <w:sz w:val="17"/>
                  <w:szCs w:val="17"/>
                  <w:u w:val="single" w:color="auto"/>
                  <w:color w:val="0000FF"/>
                  <w:w w:val="84"/>
                </w:rPr>
                <w:t>211</w:t>
              </w:r>
            </w:hyperlink>
          </w:p>
        </w:tc>
      </w:tr>
      <w:tr>
        <w:trPr>
          <w:trHeight w:val="219"/>
        </w:trPr>
        <w:tc>
          <w:tcPr>
            <w:tcW w:w="8480" w:type="dxa"/>
            <w:vAlign w:val="bottom"/>
          </w:tcPr>
          <w:p>
            <w:pPr>
              <w:spacing w:after="0"/>
              <w:rPr>
                <w:rFonts w:ascii="Arial" w:cs="Arial" w:eastAsia="Arial" w:hAnsi="Arial"/>
                <w:sz w:val="17"/>
                <w:szCs w:val="17"/>
                <w:u w:val="single" w:color="auto"/>
                <w:color w:val="0000FF"/>
              </w:rPr>
            </w:pPr>
            <w:hyperlink w:anchor="page217">
              <w:r>
                <w:rPr>
                  <w:rFonts w:ascii="Arial" w:cs="Arial" w:eastAsia="Arial" w:hAnsi="Arial"/>
                  <w:sz w:val="17"/>
                  <w:szCs w:val="17"/>
                  <w:u w:val="single" w:color="auto"/>
                  <w:color w:val="0000FF"/>
                </w:rPr>
                <w:t>Where You Can Find More Information</w:t>
              </w:r>
            </w:hyperlink>
          </w:p>
        </w:tc>
        <w:tc>
          <w:tcPr>
            <w:tcW w:w="2500" w:type="dxa"/>
            <w:vAlign w:val="bottom"/>
            <w:gridSpan w:val="3"/>
          </w:tcPr>
          <w:p>
            <w:pPr>
              <w:jc w:val="center"/>
              <w:ind w:left="2135"/>
              <w:spacing w:after="0"/>
              <w:rPr>
                <w:rFonts w:ascii="Arial" w:cs="Arial" w:eastAsia="Arial" w:hAnsi="Arial"/>
                <w:sz w:val="17"/>
                <w:szCs w:val="17"/>
                <w:u w:val="single" w:color="auto"/>
                <w:color w:val="0000FF"/>
                <w:w w:val="84"/>
              </w:rPr>
            </w:pPr>
            <w:hyperlink w:anchor="page217">
              <w:r>
                <w:rPr>
                  <w:rFonts w:ascii="Arial" w:cs="Arial" w:eastAsia="Arial" w:hAnsi="Arial"/>
                  <w:sz w:val="17"/>
                  <w:szCs w:val="17"/>
                  <w:u w:val="single" w:color="auto"/>
                  <w:color w:val="0000FF"/>
                  <w:w w:val="84"/>
                </w:rPr>
                <w:t>211</w:t>
              </w:r>
            </w:hyperlink>
          </w:p>
        </w:tc>
      </w:tr>
      <w:tr>
        <w:trPr>
          <w:trHeight w:val="182"/>
        </w:trPr>
        <w:tc>
          <w:tcPr>
            <w:tcW w:w="8480" w:type="dxa"/>
            <w:vAlign w:val="bottom"/>
          </w:tcPr>
          <w:p>
            <w:pPr>
              <w:spacing w:after="0" w:line="182" w:lineRule="exact"/>
              <w:rPr>
                <w:rFonts w:ascii="Arial" w:cs="Arial" w:eastAsia="Arial" w:hAnsi="Arial"/>
                <w:sz w:val="17"/>
                <w:szCs w:val="17"/>
                <w:u w:val="single" w:color="auto"/>
                <w:color w:val="0000FF"/>
              </w:rPr>
            </w:pPr>
            <w:hyperlink w:anchor="page217">
              <w:r>
                <w:rPr>
                  <w:rFonts w:ascii="Arial" w:cs="Arial" w:eastAsia="Arial" w:hAnsi="Arial"/>
                  <w:sz w:val="17"/>
                  <w:szCs w:val="17"/>
                  <w:u w:val="single" w:color="auto"/>
                  <w:color w:val="0000FF"/>
                </w:rPr>
                <w:t>Index to Financial Statements</w:t>
              </w:r>
            </w:hyperlink>
          </w:p>
        </w:tc>
        <w:tc>
          <w:tcPr>
            <w:tcW w:w="2240" w:type="dxa"/>
            <w:vAlign w:val="bottom"/>
          </w:tcPr>
          <w:p>
            <w:pPr>
              <w:spacing w:after="0"/>
              <w:rPr>
                <w:sz w:val="15"/>
                <w:szCs w:val="15"/>
                <w:color w:val="auto"/>
              </w:rPr>
            </w:pPr>
          </w:p>
        </w:tc>
        <w:tc>
          <w:tcPr>
            <w:tcW w:w="240" w:type="dxa"/>
            <w:vAlign w:val="bottom"/>
            <w:tcBorders>
              <w:bottom w:val="single" w:sz="8" w:color="0000FF"/>
            </w:tcBorders>
          </w:tcPr>
          <w:p>
            <w:pPr>
              <w:jc w:val="center"/>
              <w:spacing w:after="0" w:line="182" w:lineRule="exact"/>
              <w:rPr>
                <w:rFonts w:ascii="Arial" w:cs="Arial" w:eastAsia="Arial" w:hAnsi="Arial"/>
                <w:sz w:val="17"/>
                <w:szCs w:val="17"/>
                <w:color w:val="0000FF"/>
                <w:w w:val="93"/>
              </w:rPr>
            </w:pPr>
            <w:hyperlink w:anchor="page217">
              <w:r>
                <w:rPr>
                  <w:rFonts w:ascii="Arial" w:cs="Arial" w:eastAsia="Arial" w:hAnsi="Arial"/>
                  <w:sz w:val="17"/>
                  <w:szCs w:val="17"/>
                  <w:color w:val="0000FF"/>
                  <w:w w:val="93"/>
                </w:rPr>
                <w:t>F-1</w:t>
              </w:r>
            </w:hyperlink>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122555</wp:posOffset>
            </wp:positionV>
            <wp:extent cx="1414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90"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You should rely only on the information contained in this prospectus, any amendment or supplement to this prospectus, or any free writing prospectus we may authorize to be delivered or made available to you. This prospectus is an offer to sell only the shares offered hereby, but only under the circumstances and in jurisdictions where it is lawful to do so. Neither we, the selling stockholders, nor the underwriters have authorized anyone to provide you with information different from that contained in this prospectus, any amendment or supplement to this prospectus, or any free writing prospectus prepared by us or on our behalf. Neither we, the selling stockholders, nor the underwriters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01" w:lineRule="exact"/>
        <w:rPr>
          <w:sz w:val="20"/>
          <w:szCs w:val="20"/>
          <w:color w:val="auto"/>
        </w:rPr>
      </w:pPr>
    </w:p>
    <w:p>
      <w:pPr>
        <w:jc w:val="both"/>
        <w:ind w:firstLine="309"/>
        <w:spacing w:after="0" w:line="281" w:lineRule="auto"/>
        <w:rPr>
          <w:sz w:val="20"/>
          <w:szCs w:val="20"/>
          <w:color w:val="auto"/>
        </w:rPr>
      </w:pPr>
      <w:r>
        <w:rPr>
          <w:rFonts w:ascii="Arial" w:cs="Arial" w:eastAsia="Arial" w:hAnsi="Arial"/>
          <w:sz w:val="16"/>
          <w:szCs w:val="16"/>
          <w:b w:val="1"/>
          <w:bCs w:val="1"/>
          <w:color w:val="auto"/>
        </w:rPr>
        <w:t>For Investors Outside the United States</w:t>
      </w:r>
      <w:r>
        <w:rPr>
          <w:rFonts w:ascii="Arial" w:cs="Arial" w:eastAsia="Arial" w:hAnsi="Arial"/>
          <w:sz w:val="16"/>
          <w:szCs w:val="16"/>
          <w:color w:val="auto"/>
        </w:rPr>
        <w:t>: The selling stockholders and the underwriters are offering to sell, and seeking offers to buy, shares of our Class A</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only in jurisdictions where offers and sales are permitted. Neither we, the selling stockholders,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930275</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About this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Presentation</w:t>
      </w:r>
    </w:p>
    <w:p>
      <w:pPr>
        <w:spacing w:after="0" w:line="171"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This prospectus includes certain historical combined and consolidated financial and other data for ZoomInfo OpCo.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our initial public offering of our Class A common stock (the “IPO”) on June 8, 2020, in which we issued and sold 51,175,000 shares of our Class A common stock at an initial public price of $21.00 per share.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on its consolidated financial statements and records a non-controlling interest related to the OpCo Units and HoldCo Units held by our pre-IPO owners (as defined below) on its consolidated balance sheet and statement of operations.</w:t>
      </w:r>
    </w:p>
    <w:p>
      <w:pPr>
        <w:spacing w:after="0" w:line="13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Definitions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used in this prospectus, unless otherwise noted or the context requires otherwise:</w:t>
      </w:r>
    </w:p>
    <w:p>
      <w:pPr>
        <w:spacing w:after="0" w:line="165" w:lineRule="exact"/>
        <w:rPr>
          <w:sz w:val="20"/>
          <w:szCs w:val="20"/>
          <w:color w:val="auto"/>
        </w:rPr>
      </w:pPr>
    </w:p>
    <w:p>
      <w:pPr>
        <w:ind w:left="620" w:hanging="30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“22C Capital” refers to investment funds associated with 22C Capital LLC and its predecessor.</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“ACV” refers to annual contract value, or the total annualized value that a customer has agreed to pay for subscription services at any particular point in time under contract(s) that are or were enforceable at that point in time.</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“Blocker Companies” refers to certain of our Pre-IPO OpCo Unitholders that are taxable as corporations for U.S. federal income tax purposes.</w:t>
      </w:r>
    </w:p>
    <w:p>
      <w:pPr>
        <w:spacing w:after="0" w:line="176" w:lineRule="exact"/>
        <w:rPr>
          <w:rFonts w:ascii="Arial" w:cs="Arial" w:eastAsia="Arial" w:hAnsi="Arial"/>
          <w:sz w:val="16"/>
          <w:szCs w:val="16"/>
          <w:color w:val="auto"/>
        </w:rPr>
      </w:pPr>
    </w:p>
    <w:p>
      <w:pPr>
        <w:jc w:val="both"/>
        <w:ind w:left="620" w:hanging="308"/>
        <w:spacing w:after="0" w:line="290"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our adjusted sales and marketing expense, which excludes expenses that are non-cash or one-time in nature, including equity compensation costs, amortization related to acquired technology, and acquisition-related integration and compensation expenses, divided by (ii) the number of new customers added during the period.</w:t>
      </w:r>
    </w:p>
    <w:p>
      <w:pPr>
        <w:spacing w:after="0" w:line="105" w:lineRule="exact"/>
        <w:rPr>
          <w:rFonts w:ascii="Arial" w:cs="Arial" w:eastAsia="Arial" w:hAnsi="Arial"/>
          <w:sz w:val="16"/>
          <w:szCs w:val="16"/>
          <w:color w:val="auto"/>
        </w:rPr>
      </w:pPr>
    </w:p>
    <w:p>
      <w:pPr>
        <w:ind w:left="620" w:hanging="30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“Carlyle” refers to investment funds associated with The Carlyle Group.</w:t>
      </w:r>
    </w:p>
    <w:p>
      <w:pPr>
        <w:spacing w:after="0" w:line="165"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4" w:name="page5"/>
    <w:bookmarkEnd w:id="4"/>
    <w:p>
      <w:pPr>
        <w:ind w:left="308" w:hanging="308"/>
        <w:spacing w:after="0" w:line="279"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“Continuing Class P Unitholders” refers to certain pre-IPO owners who held Class P Units prior to, and continue to hold Class P Units following, the consummation of the Reorganization Transactions and the IPO Transactions (each, as defined herein).</w:t>
      </w:r>
    </w:p>
    <w:p>
      <w:pPr>
        <w:spacing w:after="0" w:line="112" w:lineRule="exact"/>
        <w:rPr>
          <w:rFonts w:ascii="Arial" w:cs="Arial" w:eastAsia="Arial" w:hAnsi="Arial"/>
          <w:sz w:val="17"/>
          <w:szCs w:val="17"/>
          <w:color w:val="auto"/>
        </w:rPr>
      </w:pPr>
    </w:p>
    <w:p>
      <w:pPr>
        <w:ind w:left="308" w:hanging="308"/>
        <w:spacing w:after="0"/>
        <w:tabs>
          <w:tab w:leader="none" w:pos="308"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“contact record event” refers to receipt of additional information or confirmatory evidence about a contact.</w:t>
      </w:r>
    </w:p>
    <w:p>
      <w:pPr>
        <w:spacing w:after="0" w:line="165" w:lineRule="exact"/>
        <w:rPr>
          <w:rFonts w:ascii="Arial" w:cs="Arial" w:eastAsia="Arial" w:hAnsi="Arial"/>
          <w:sz w:val="17"/>
          <w:szCs w:val="17"/>
          <w:color w:val="auto"/>
        </w:rPr>
      </w:pPr>
    </w:p>
    <w:p>
      <w:pPr>
        <w:ind w:left="308" w:hanging="308"/>
        <w:spacing w:after="0" w:line="311"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89" w:lineRule="exact"/>
        <w:rPr>
          <w:rFonts w:ascii="Arial" w:cs="Arial" w:eastAsia="Arial" w:hAnsi="Arial"/>
          <w:sz w:val="16"/>
          <w:szCs w:val="16"/>
          <w:color w:val="auto"/>
        </w:rPr>
      </w:pPr>
    </w:p>
    <w:p>
      <w:pPr>
        <w:ind w:left="308" w:hanging="308"/>
        <w:spacing w:after="0"/>
        <w:tabs>
          <w:tab w:leader="none" w:pos="308" w:val="left"/>
        </w:tabs>
        <w:numPr>
          <w:ilvl w:val="0"/>
          <w:numId w:val="4"/>
        </w:numPr>
        <w:rPr>
          <w:rFonts w:ascii="Arial" w:cs="Arial" w:eastAsia="Arial" w:hAnsi="Arial"/>
          <w:sz w:val="17"/>
          <w:szCs w:val="17"/>
          <w:color w:val="auto"/>
        </w:rPr>
      </w:pPr>
      <w:r>
        <w:rPr>
          <w:rFonts w:ascii="Arial" w:cs="Arial" w:eastAsia="Arial" w:hAnsi="Arial"/>
          <w:sz w:val="17"/>
          <w:szCs w:val="17"/>
          <w:color w:val="auto"/>
        </w:rPr>
        <w:t>“Datanyze” refers, collectively, to Datanyze, Inc. and Datanyze Rus, LLC.</w:t>
      </w:r>
    </w:p>
    <w:p>
      <w:pPr>
        <w:spacing w:after="0" w:line="165"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“Employee Units” refers to the portion of HoldCo Units into which certain existing Class P Units (including, without limitation, certain indirectly held Class P Units) were converted in the Reorganization Transactions.</w:t>
      </w:r>
    </w:p>
    <w:p>
      <w:pPr>
        <w:spacing w:after="0" w:line="112" w:lineRule="exact"/>
        <w:rPr>
          <w:rFonts w:ascii="Arial" w:cs="Arial" w:eastAsia="Arial" w:hAnsi="Arial"/>
          <w:sz w:val="17"/>
          <w:szCs w:val="17"/>
          <w:color w:val="auto"/>
        </w:rPr>
      </w:pPr>
    </w:p>
    <w:p>
      <w:pPr>
        <w:ind w:left="308" w:hanging="308"/>
        <w:spacing w:after="0"/>
        <w:tabs>
          <w:tab w:leader="none" w:pos="308"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“Exchange Tax Receivable Agreement” refers to the tax receivable agreement entered into with certain Pre-IPO OpCo Unitholders.</w:t>
      </w:r>
    </w:p>
    <w:p>
      <w:pPr>
        <w:spacing w:after="0" w:line="165" w:lineRule="exact"/>
        <w:rPr>
          <w:rFonts w:ascii="Arial" w:cs="Arial" w:eastAsia="Arial" w:hAnsi="Arial"/>
          <w:sz w:val="17"/>
          <w:szCs w:val="17"/>
          <w:color w:val="auto"/>
        </w:rPr>
      </w:pPr>
    </w:p>
    <w:p>
      <w:pPr>
        <w:ind w:left="308" w:hanging="308"/>
        <w:spacing w:after="0"/>
        <w:tabs>
          <w:tab w:leader="none" w:pos="308" w:val="left"/>
        </w:tabs>
        <w:numPr>
          <w:ilvl w:val="0"/>
          <w:numId w:val="4"/>
        </w:numPr>
        <w:rPr>
          <w:rFonts w:ascii="Arial" w:cs="Arial" w:eastAsia="Arial" w:hAnsi="Arial"/>
          <w:sz w:val="17"/>
          <w:szCs w:val="17"/>
          <w:color w:val="auto"/>
        </w:rPr>
      </w:pPr>
      <w:r>
        <w:rPr>
          <w:rFonts w:ascii="Arial" w:cs="Arial" w:eastAsia="Arial" w:hAnsi="Arial"/>
          <w:sz w:val="17"/>
          <w:szCs w:val="17"/>
          <w:color w:val="auto"/>
        </w:rPr>
        <w:t>“Founders” refers to Henry Schuck, our Chief Executive Officer, and Kirk Brown.</w:t>
      </w:r>
    </w:p>
    <w:p>
      <w:pPr>
        <w:spacing w:after="0" w:line="165"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“HoldCo Units” refers to the class of units of ZoomInfo HoldCo created by the Reclassification. Each OpCo Unit and HoldCo Unit has equivalent value and exchange rights for Class A common stock, subject to applicable vesting.</w:t>
      </w:r>
    </w:p>
    <w:p>
      <w:pPr>
        <w:spacing w:after="0" w:line="112"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112" w:lineRule="exact"/>
        <w:rPr>
          <w:rFonts w:ascii="Arial" w:cs="Arial" w:eastAsia="Arial" w:hAnsi="Arial"/>
          <w:sz w:val="17"/>
          <w:szCs w:val="17"/>
          <w:color w:val="auto"/>
        </w:rPr>
      </w:pPr>
    </w:p>
    <w:p>
      <w:pPr>
        <w:jc w:val="both"/>
        <w:ind w:left="308" w:hanging="308"/>
        <w:spacing w:after="0" w:line="283"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110" w:lineRule="exact"/>
        <w:rPr>
          <w:rFonts w:ascii="Arial" w:cs="Arial" w:eastAsia="Arial" w:hAnsi="Arial"/>
          <w:sz w:val="16"/>
          <w:szCs w:val="16"/>
          <w:color w:val="auto"/>
        </w:rPr>
      </w:pPr>
    </w:p>
    <w:p>
      <w:pPr>
        <w:jc w:val="both"/>
        <w:ind w:left="308" w:hanging="308"/>
        <w:spacing w:after="0" w:line="279"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“LTV” refers to lifetime value, or the value that we expect to generate from a customer during the period that the customer continues to use our services. We calculate LTV as the product of (i) our average ACV per customer, multiplied by (ii) our adjusted gross margin, which excludes expenses that are non-cash or one-time in nature, including equity compensation costs, amortization related to acquired technology, and acquisition-related integration and compensation expenses, multiplied by (iii) the fraction that is one divided by the annual rate that customers cancel subscriptions, which is defined as the percentage of ACV for customers that cancel during the period divided by the ACV at the beginning of the period.</w:t>
      </w:r>
    </w:p>
    <w:p>
      <w:pPr>
        <w:spacing w:after="0" w:line="115" w:lineRule="exact"/>
        <w:rPr>
          <w:rFonts w:ascii="Arial" w:cs="Arial" w:eastAsia="Arial" w:hAnsi="Arial"/>
          <w:sz w:val="16"/>
          <w:szCs w:val="16"/>
          <w:color w:val="auto"/>
        </w:rPr>
      </w:pPr>
    </w:p>
    <w:p>
      <w:pPr>
        <w:ind w:left="308" w:hanging="308"/>
        <w:spacing w:after="0"/>
        <w:tabs>
          <w:tab w:leader="none" w:pos="308" w:val="left"/>
        </w:tabs>
        <w:numPr>
          <w:ilvl w:val="0"/>
          <w:numId w:val="4"/>
        </w:numPr>
        <w:rPr>
          <w:rFonts w:ascii="Arial" w:cs="Arial" w:eastAsia="Arial" w:hAnsi="Arial"/>
          <w:sz w:val="17"/>
          <w:szCs w:val="17"/>
          <w:color w:val="auto"/>
        </w:rPr>
      </w:pPr>
      <w:r>
        <w:rPr>
          <w:rFonts w:ascii="Arial" w:cs="Arial" w:eastAsia="Arial" w:hAnsi="Arial"/>
          <w:sz w:val="17"/>
          <w:szCs w:val="17"/>
          <w:color w:val="auto"/>
        </w:rPr>
        <w:t>“NeverBounce” refers to Metrics Delivered LLC.</w:t>
      </w:r>
    </w:p>
    <w:p>
      <w:pPr>
        <w:spacing w:after="0" w:line="165"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“OpCo Units” refers to the class of units of ZoomInfo OpCo created by the Reclassification, and does not include Class P Units. Each OpCo Unit and HoldCo Unit has equivalent value and exchange rights for Class A common stock, subject to applicable vesting.</w:t>
      </w:r>
    </w:p>
    <w:p>
      <w:pPr>
        <w:spacing w:after="0" w:line="112"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“paid users” refers to employees or other affiliated persons of a customer that have been granted access to our system under the terms of a contract with a customer.</w:t>
      </w:r>
    </w:p>
    <w:p>
      <w:pPr>
        <w:spacing w:after="0" w:line="112" w:lineRule="exact"/>
        <w:rPr>
          <w:rFonts w:ascii="Arial" w:cs="Arial" w:eastAsia="Arial" w:hAnsi="Arial"/>
          <w:sz w:val="17"/>
          <w:szCs w:val="17"/>
          <w:color w:val="auto"/>
        </w:rPr>
      </w:pPr>
    </w:p>
    <w:p>
      <w:pPr>
        <w:ind w:left="308" w:hanging="308"/>
        <w:spacing w:after="0" w:line="279"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“Pre-IPO Blocker Holders” refers to the pre-IPO owners that held their interests in us through the Blocker Companies immediately prior to the consummation of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92"/>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178435</wp:posOffset>
            </wp:positionV>
            <wp:extent cx="71386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8"/>
          </w:cols>
          <w:pgMar w:left="632" w:top="1363" w:right="339" w:bottom="1440" w:gutter="0" w:footer="0" w:header="0"/>
        </w:sectPr>
      </w:pPr>
    </w:p>
    <w:bookmarkStart w:id="5" w:name="page6"/>
    <w:bookmarkEnd w:id="5"/>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held HoldCo Units immediately prior to the consummation of the IPO.</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“Pre-IPO OpCo Unitholders” refers to the pre-IPO owners that held OpCo Units immediately prior to the consummation of the IPO.</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“pre-IPO owners” refers, collectively, to the Sponsors, the Founders, and the management and other equity holders who were the owners of ZoomInfo OpCo immediately prior to the Transactions (as defined herein).</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“RainKing” refers to Rain King Software, Inc.</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“Reorganization Tax Receivable Agreement” refers to the tax receivable agreement entered into with the Pre-IPO Blocker Holders.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“Series A Preferred Units” refers to the Series A preferred units of ZoomInfo OpCo outstanding immediately prior to the consummation of the IPO and the use of proceeds therefrom.</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“Sponsors” refers, collectively, to TA Associates, Carlyle, and 22C Capital.</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“TA Associates” refers to investment funds associated with TA Associates.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receivable agreements” refers, collectively, to the Exchange Tax Receivable Agreement and the Reorganization Tax Receivable Agreement.</w:t>
      </w:r>
    </w:p>
    <w:p>
      <w:pPr>
        <w:spacing w:after="0" w:line="176" w:lineRule="exact"/>
        <w:rPr>
          <w:rFonts w:ascii="Arial" w:cs="Arial" w:eastAsia="Arial" w:hAnsi="Arial"/>
          <w:sz w:val="16"/>
          <w:szCs w:val="16"/>
          <w:color w:val="auto"/>
        </w:rPr>
      </w:pPr>
    </w:p>
    <w:p>
      <w:pPr>
        <w:jc w:val="both"/>
        <w:ind w:left="620" w:hanging="308"/>
        <w:spacing w:after="0" w:line="299" w:lineRule="auto"/>
        <w:tabs>
          <w:tab w:leader="none" w:pos="616" w:val="left"/>
        </w:tabs>
        <w:numPr>
          <w:ilvl w:val="0"/>
          <w:numId w:val="5"/>
        </w:numPr>
        <w:rPr>
          <w:rFonts w:ascii="Arial" w:cs="Arial" w:eastAsia="Arial" w:hAnsi="Arial"/>
          <w:sz w:val="15"/>
          <w:szCs w:val="15"/>
          <w:color w:val="auto"/>
        </w:rPr>
      </w:pPr>
      <w:r>
        <w:rPr>
          <w:rFonts w:ascii="Arial" w:cs="Arial" w:eastAsia="Arial" w:hAnsi="Arial"/>
          <w:sz w:val="15"/>
          <w:szCs w:val="15"/>
          <w:color w:val="auto"/>
        </w:rPr>
        <w:t>“total addressable market” or “TAM” refers to the revenue opportunity that we believe is available to go-to-market intelligence solutions, such as ours. We calculate our TAM as the sum of (i) the product of (a) the number of specifically identified companies in our system with 10 to 99 employees and who sell to other businesses, multiplied by (b) the average ACV that we generate from companies with 10 to 99 employees, plus (ii) the product of (a) the number of specifically identified companies in our system with 100 to 999 employees and who sell to other businesses, multiplied by (b) the average ACV that we generate from companies with 100 to 999 employees, plus (iii) the product of (a) the number of specifically identified companies in our system with 1,000 or more employees, multiplied by (b) the average ACV that we generated from the top quartile of customers with 1,000 or more employees.</w:t>
      </w:r>
    </w:p>
    <w:p>
      <w:pPr>
        <w:spacing w:after="0" w:line="101" w:lineRule="exact"/>
        <w:rPr>
          <w:rFonts w:ascii="Arial" w:cs="Arial" w:eastAsia="Arial" w:hAnsi="Arial"/>
          <w:sz w:val="15"/>
          <w:szCs w:val="15"/>
          <w:color w:val="auto"/>
        </w:rPr>
      </w:pPr>
    </w:p>
    <w:p>
      <w:pPr>
        <w:jc w:val="both"/>
        <w:ind w:left="620" w:hanging="308"/>
        <w:spacing w:after="0" w:line="266"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“ZoomInfo,” the “Company,” “we,” “us,” and “our” refer, (1) prior to the consummation of the Reorganization Transactions and the IPO Transactions, to ZoomInfo OpCo and its consolidated subsidiaries and, (2) after the consummation of the Reorganization Transactions and the IPO Transactions, to ZoomInfo Technologies Inc. and its consolidated subsidiaries.</w:t>
      </w:r>
    </w:p>
    <w:p>
      <w:pPr>
        <w:spacing w:after="0" w:line="12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“ZoomInfo HoldCo” refers to ZoomInfo Intermediate Holdings LLC, a Delaware limited liability company, and a direct subsidiary of ZoomInfo Technologies Inc. following the Reorganization Transactions.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95250</wp:posOffset>
            </wp:positionV>
            <wp:extent cx="14147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60"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Unless indicated otherwise, the information included in this prospectus assumes no exercise by the underwriters of their option to purchase up to an additional 1,875,000 shares of Class A common stock from the selling stockholders solely to cover over-allotments.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13867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 w:name="page7"/>
    <w:bookmarkEnd w:id="6"/>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4346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43465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SUMMARY</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shares of our Class A common stock. Before you decide to invest in shares of our Class A common stock, you should read this entire prospectus carefully, including the sections entitled “Risk Factors” and “Management’s Discussion and Analysis of Financial Condition and Results of Operations” and our consolidated financial statements and the related notes thereto included elsewhere in this prospectus. This summary contains forward-looking statements that involve risks and uncertainties.</w:t>
      </w:r>
    </w:p>
    <w:p>
      <w:pPr>
        <w:spacing w:after="0" w:line="124"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mission is to unlock actionable business information and insights to make organizations more successful.</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06"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Today, approximately 220,000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go-to-market intelligence platform delivers comprehensive and high-quality intelligence and analytics on approximately 14 million companies, including advanced attributes, technologies used by companies, intent signals, and decision-maker contact information. Our intelligence is kept up to date in real time.</w:t>
      </w:r>
    </w:p>
    <w:p>
      <w:pPr>
        <w:spacing w:after="0" w:line="11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By leveraging artificial intelligence (“AI”) and machine learning techniques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7" w:name="page8"/>
    <w:bookmarkEnd w:id="7"/>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734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115" cy="6734175"/>
                    </a:xfrm>
                    <a:prstGeom prst="rect">
                      <a:avLst/>
                    </a:prstGeom>
                    <a:noFill/>
                  </pic:spPr>
                </pic:pic>
              </a:graphicData>
            </a:graphic>
          </wp:anchor>
        </w:drawing>
      </w:r>
    </w:p>
    <w:p>
      <w:pPr>
        <w:jc w:val="both"/>
        <w:ind w:firstLine="309"/>
        <w:spacing w:after="0" w:line="299" w:lineRule="auto"/>
        <w:rPr>
          <w:sz w:val="20"/>
          <w:szCs w:val="20"/>
          <w:color w:val="auto"/>
        </w:rPr>
      </w:pPr>
      <w:r>
        <w:rPr>
          <w:rFonts w:ascii="Arial" w:cs="Arial" w:eastAsia="Arial" w:hAnsi="Arial"/>
          <w:sz w:val="15"/>
          <w:szCs w:val="15"/>
          <w:color w:val="auto"/>
        </w:rPr>
        <w:t>Our software, insights, and data enable over 17,000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 such as prioritizing accounts, automating workflows and campaigns, crafting nuanced pitches, and monitoring deal momentum. Our robust suite of software and insights supports every step along that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Independent of size or industry, we believe our platform can make almost any sales and marketing team more effective and more efficient.</w:t>
      </w:r>
    </w:p>
    <w:p>
      <w:pPr>
        <w:spacing w:after="0" w:line="17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This broad applicability drives our TAM of approximately $30 billion, according to our estimates. Using the ZoomInfo platform, we have identified over 750,000 global businesses that sell to other businesses and have more than ten employees, which represent our potential customers. Our current customer base of over 17,000 implies penetration of approximately 2%.</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September 30,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720 of our customers spend more than $100,000 in ACV, with 18 customers spending over $1,000,000 in ACV.</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8" w:name="page9"/>
    <w:bookmarkEnd w:id="8"/>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898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115" cy="6898005"/>
                    </a:xfrm>
                    <a:prstGeom prst="rect">
                      <a:avLst/>
                    </a:prstGeom>
                    <a:noFill/>
                  </pic:spPr>
                </pic:pic>
              </a:graphicData>
            </a:graphic>
          </wp:anchor>
        </w:drawing>
      </w:r>
    </w:p>
    <w:p>
      <w:pPr>
        <w:jc w:val="both"/>
        <w:spacing w:after="0" w:line="258" w:lineRule="auto"/>
        <w:rPr>
          <w:sz w:val="20"/>
          <w:szCs w:val="20"/>
          <w:color w:val="auto"/>
        </w:rPr>
      </w:pPr>
      <w:r>
        <w:rPr>
          <w:rFonts w:ascii="Arial" w:cs="Arial" w:eastAsia="Arial" w:hAnsi="Arial"/>
          <w:sz w:val="17"/>
          <w:szCs w:val="17"/>
          <w:color w:val="auto"/>
        </w:rPr>
        <w:t>million and $336.5 million for the nine months ended September 30, 2019 and September 30, 2020, respectively. We and Pre-Acquisition ZI generated net income (loss) of $(28.6) million and $(27.5) million in 2018, respectively, and $(78.0) million in 2019 and $0.8 million for the one month ended January 31, 2019, respectively. We generated net income (loss) of $(72.5) million and $(72.7) million for the nine months ended September 30, 2019 and September 30, 2020, respectively. We generated Adjusted Operating Income of $83.7 million and $167.1 million in 2018 and 2019, respectively. We generated Adjusted Operating Income of $120.0 million and $162.6 million for the nine months ended September 30, 2019 and September 30, 2020,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Industry Background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 is Fundamental to Every Business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every company, sales and marketing is a fundamental function that defines its success. As a result, businesses typically spend significantly on sales and marketing activities. For example, Forbes Global 2000 companies collectively spent over $2 trillion on sales and marketing activities alone in 2018 according to Capital IQ.</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Business-to-Business (“B2B”) Sales and Marketing has Changed</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Prior to the advent of sales and marketing technologies, businesses that sold to other businesses operated in an analog world, relying on field sales representatives to gather customer information and navigate sales processes. This process was manual, expensive, and inefficient. The data gathered was limited in depth, breadth, and accuracy, and began decaying as soon as it was captured. To address these problems, businesses invested in new technologies like customer relationship management (“CRM”) to digitally transform the way they sell. The CRM market grew from $12 billion in 2009 to $42 billion in 2018, representing a nearly 250% increase, according to a 2019 Global Industry Analysts, Inc. report. CRM systems were adopted primarily to manage the sales process, while marketing automation systems and new forms of customer engagement were developed to automate different go-to-market tasks. 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 is Still Inefficient</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90" w:lineRule="exact"/>
        <w:rPr>
          <w:sz w:val="20"/>
          <w:szCs w:val="20"/>
          <w:color w:val="auto"/>
        </w:rPr>
      </w:pPr>
    </w:p>
    <w:p>
      <w:pPr>
        <w:ind w:left="620" w:hanging="307"/>
        <w:spacing w:after="0" w:line="279" w:lineRule="auto"/>
        <w:tabs>
          <w:tab w:leader="none" w:pos="60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It’s hard to find and engage with decision makers. </w:t>
      </w:r>
      <w:r>
        <w:rPr>
          <w:rFonts w:ascii="Arial" w:cs="Arial" w:eastAsia="Arial" w:hAnsi="Arial"/>
          <w:sz w:val="17"/>
          <w:szCs w:val="17"/>
          <w:color w:val="auto"/>
        </w:rPr>
        <w:t>Inaccurate or missing contact information plagues efforts to engage with a broad set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targets quickly and efficiently.</w:t>
      </w:r>
    </w:p>
    <w:p>
      <w:pPr>
        <w:spacing w:after="0" w:line="112" w:lineRule="exact"/>
        <w:rPr>
          <w:rFonts w:ascii="Arial" w:cs="Arial" w:eastAsia="Arial" w:hAnsi="Arial"/>
          <w:sz w:val="17"/>
          <w:szCs w:val="17"/>
          <w:color w:val="auto"/>
        </w:rPr>
      </w:pPr>
    </w:p>
    <w:p>
      <w:pPr>
        <w:ind w:left="620" w:hanging="307"/>
        <w:spacing w:after="0" w:line="279" w:lineRule="auto"/>
        <w:tabs>
          <w:tab w:leader="none" w:pos="60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It’s hard to know when to engage. </w:t>
      </w:r>
      <w:r>
        <w:rPr>
          <w:rFonts w:ascii="Arial" w:cs="Arial" w:eastAsia="Arial" w:hAnsi="Arial"/>
          <w:sz w:val="17"/>
          <w:szCs w:val="17"/>
          <w:color w:val="auto"/>
        </w:rPr>
        <w:t>Sales and marketing professionals need to manually gather information across various sources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when a potential customer intends to make a purchase.</w:t>
      </w:r>
    </w:p>
    <w:p>
      <w:pPr>
        <w:spacing w:after="0" w:line="112" w:lineRule="exact"/>
        <w:rPr>
          <w:rFonts w:ascii="Arial" w:cs="Arial" w:eastAsia="Arial" w:hAnsi="Arial"/>
          <w:sz w:val="17"/>
          <w:szCs w:val="17"/>
          <w:color w:val="auto"/>
        </w:rPr>
      </w:pPr>
    </w:p>
    <w:p>
      <w:pPr>
        <w:ind w:left="620" w:hanging="307"/>
        <w:spacing w:after="0" w:line="279" w:lineRule="auto"/>
        <w:tabs>
          <w:tab w:leader="none" w:pos="60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data-driven way to prioritize targets. </w:t>
      </w:r>
      <w:r>
        <w:rPr>
          <w:rFonts w:ascii="Arial" w:cs="Arial" w:eastAsia="Arial" w:hAnsi="Arial"/>
          <w:sz w:val="17"/>
          <w:szCs w:val="17"/>
          <w:color w:val="auto"/>
        </w:rPr>
        <w:t>Prioritization decisions for sales and marketing resources are often made based on intuition,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random knowledge gathering, or incomplete and inaccurate data.</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a Need for a Comprehensive Go-to-Market Intelligence Solution</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 —the systems nearly every company uses to manage its sales and marketing processes.</w:t>
      </w:r>
    </w:p>
    <w:p>
      <w:pPr>
        <w:spacing w:after="0" w:line="11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Today, point solutions exist to aid in go-to-market intelligence efforts, but they only address a fraction of the 360-degree view of the customer, and often lack the accuracy required to be effective. According to a Forrester report we commissioned, only 1.2% of companies have mature B2B intelligence practices and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9" w:name="page10"/>
    <w:bookmarkEnd w:id="9"/>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668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115" cy="6668770"/>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color w:val="auto"/>
        </w:rPr>
        <w:t>Companies that have implemented some B2B intelligence practices and technology have realized 35% more leads and 45% higher-quality leads, leading to higher revenue and faster growth.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ZoomInfo Platform</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cloud-based go-to-market intelligence platform give sales and marketing professionals highly accurate and comprehensive information and insights on the organizations and professionals they target.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provide a comprehensive 360-degree view on approximately 14 million companies and over 119 million professionals. We combine this with deep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 Our intelligence is kept up to date in real time. This enables us to provide our customers with a contractual guarantee that at least 95% of the employment information they access will be current.</w:t>
      </w:r>
    </w:p>
    <w:p>
      <w:pPr>
        <w:spacing w:after="0" w:line="10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Our Data Engine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Machine Learning and Artificial Intelligence Technologies</w:t>
      </w:r>
    </w:p>
    <w:p>
      <w:pPr>
        <w:spacing w:after="0" w:line="17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are able to deliver high-quality intelligence at scale by leveraging an AI- and ML-powered engine that gathers data from millions of sources and standardizes, matches to entities, verifies, cleans, and applies the processed data to companies and people. To help train our AI and ML technologies and augment our contributory network, we have a team of 300 research analysts with deep expertise in cleaning B2B data.</w:t>
      </w:r>
    </w:p>
    <w:p>
      <w:pPr>
        <w:spacing w:after="0" w:line="100"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Our Data Sources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 number of data sources, including proprietary sources, that enrich our platform:</w:t>
      </w:r>
    </w:p>
    <w:p>
      <w:pPr>
        <w:spacing w:after="0" w:line="165" w:lineRule="exact"/>
        <w:rPr>
          <w:sz w:val="20"/>
          <w:szCs w:val="20"/>
          <w:color w:val="auto"/>
        </w:rPr>
      </w:pPr>
    </w:p>
    <w:p>
      <w:pPr>
        <w:ind w:left="620" w:hanging="307"/>
        <w:spacing w:after="0" w:line="27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Contributory Network. </w:t>
      </w:r>
      <w:r>
        <w:rPr>
          <w:rFonts w:ascii="Arial" w:cs="Arial" w:eastAsia="Arial" w:hAnsi="Arial"/>
          <w:sz w:val="17"/>
          <w:szCs w:val="17"/>
          <w:color w:val="auto"/>
        </w:rPr>
        <w:t>Our free users and many of our paying customers contribute data that enhances our platform. Our contributory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captures data on approximately 50 million contact record events daily.</w:t>
      </w:r>
    </w:p>
    <w:p>
      <w:pPr>
        <w:spacing w:after="0" w:line="112" w:lineRule="exact"/>
        <w:rPr>
          <w:rFonts w:ascii="Arial" w:cs="Arial" w:eastAsia="Arial" w:hAnsi="Arial"/>
          <w:sz w:val="17"/>
          <w:szCs w:val="17"/>
          <w:color w:val="auto"/>
        </w:rPr>
      </w:pPr>
    </w:p>
    <w:p>
      <w:pPr>
        <w:ind w:left="620" w:hanging="307"/>
        <w:spacing w:after="0" w:line="311"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Unstructured Public Information. </w:t>
      </w:r>
      <w:r>
        <w:rPr>
          <w:rFonts w:ascii="Arial" w:cs="Arial" w:eastAsia="Arial" w:hAnsi="Arial"/>
          <w:sz w:val="16"/>
          <w:szCs w:val="16"/>
          <w:color w:val="auto"/>
        </w:rPr>
        <w:t>Our patented and proprietary technologies extract and parse unstructured information found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webpages, newsfeeds, blogs, and other public sources, and then match that information with entities that we have previously identified.</w:t>
      </w:r>
    </w:p>
    <w:p>
      <w:pPr>
        <w:spacing w:after="0" w:line="89"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Training Lab. </w:t>
      </w:r>
      <w:r>
        <w:rPr>
          <w:rFonts w:ascii="Arial" w:cs="Arial" w:eastAsia="Arial" w:hAnsi="Arial"/>
          <w:sz w:val="17"/>
          <w:szCs w:val="17"/>
          <w:color w:val="auto"/>
        </w:rPr>
        <w:t>We have developed hundreds of processes, largely automated, to gather information from sources, such as PBX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directories, website traffic and source code, and proprietary surveys.</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Generally Available Information. </w:t>
      </w:r>
      <w:r>
        <w:rPr>
          <w:rFonts w:ascii="Arial" w:cs="Arial" w:eastAsia="Arial" w:hAnsi="Arial"/>
          <w:sz w:val="17"/>
          <w:szCs w:val="17"/>
          <w:color w:val="auto"/>
        </w:rPr>
        <w:t>Our technology adds value to public information and a limited amount of purchased third-party data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combining them with our proprietary insights.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Benefits of Our Platform</w:t>
      </w:r>
    </w:p>
    <w:p>
      <w:pPr>
        <w:spacing w:after="0" w:line="171" w:lineRule="exact"/>
        <w:rPr>
          <w:sz w:val="20"/>
          <w:szCs w:val="20"/>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Measurable Revenue Improvement. </w:t>
      </w:r>
      <w:r>
        <w:rPr>
          <w:rFonts w:ascii="Arial" w:cs="Arial" w:eastAsia="Arial" w:hAnsi="Arial"/>
          <w:sz w:val="17"/>
          <w:szCs w:val="17"/>
          <w:color w:val="auto"/>
        </w:rPr>
        <w:t>Our platform increases revenue for our customers who can easily measure the impact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because we integrate with the systems that they use to attribute revenue.</w:t>
      </w:r>
    </w:p>
    <w:p>
      <w:pPr>
        <w:spacing w:after="0" w:line="112" w:lineRule="exact"/>
        <w:rPr>
          <w:rFonts w:ascii="Arial" w:cs="Arial" w:eastAsia="Arial" w:hAnsi="Arial"/>
          <w:sz w:val="17"/>
          <w:szCs w:val="17"/>
          <w:color w:val="auto"/>
        </w:rPr>
      </w:pPr>
    </w:p>
    <w:p>
      <w:pPr>
        <w:jc w:val="both"/>
        <w:ind w:left="620" w:hanging="307"/>
        <w:spacing w:after="0" w:line="290" w:lineRule="auto"/>
        <w:tabs>
          <w:tab w:leader="none" w:pos="616"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Unmatched Accuracy, Depth, and Coverage of Data. </w:t>
      </w:r>
      <w:r>
        <w:rPr>
          <w:rFonts w:ascii="Arial" w:cs="Arial" w:eastAsia="Arial" w:hAnsi="Arial"/>
          <w:sz w:val="16"/>
          <w:szCs w:val="16"/>
          <w:color w:val="auto"/>
        </w:rPr>
        <w:t>We are able to provide a guarantee of 95%+ accuracy as a result of our focus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coupled with proprietary methods to extract, parse, match, and clean data. We do not believe that any other solution provides the depth and breadth of data that we provide on approximately 14 million companies and over 119 million professionals.</w:t>
      </w:r>
    </w:p>
    <w:p>
      <w:pPr>
        <w:spacing w:after="0" w:line="105"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We integrate unique data points that are proprietary to ZoomInfo with our customers’ data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enrich their information and develop unique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10" w:name="page11"/>
    <w:bookmarkEnd w:id="10"/>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505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115" cy="6505575"/>
                    </a:xfrm>
                    <a:prstGeom prst="rect">
                      <a:avLst/>
                    </a:prstGeom>
                    <a:noFill/>
                  </pic:spPr>
                </pic:pic>
              </a:graphicData>
            </a:graphic>
          </wp:anchor>
        </w:drawing>
      </w:r>
    </w:p>
    <w:p>
      <w:pPr>
        <w:jc w:val="both"/>
        <w:ind w:left="620" w:hanging="307"/>
        <w:spacing w:after="0" w:line="264"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and Automated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insights are available on our cloud-based platform and can also be delivered directly into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workflows and supporting infrastructure, including Salesforce, Marketo, HubSpot, Microsoft Dynamics, Oracle Sales Cloud, and other platforms. The vast majority of our customers integrate ZoomInfo with their most-used CRM or sales &amp; marketing automation system.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Competitive Strengths</w:t>
      </w:r>
    </w:p>
    <w:p>
      <w:pPr>
        <w:spacing w:after="0" w:line="171" w:lineRule="exact"/>
        <w:rPr>
          <w:sz w:val="20"/>
          <w:szCs w:val="20"/>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 Leader with a Comprehensive Go-to-Market Intelligence Platform. </w:t>
      </w:r>
      <w:r>
        <w:rPr>
          <w:rFonts w:ascii="Arial" w:cs="Arial" w:eastAsia="Arial" w:hAnsi="Arial"/>
          <w:sz w:val="17"/>
          <w:szCs w:val="17"/>
          <w:color w:val="auto"/>
        </w:rPr>
        <w:t>We provide the most accurate and comprehensive go-to-market intelligence platform available.</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Finely Tuned Go-to-Market Model. </w:t>
      </w:r>
      <w:r>
        <w:rPr>
          <w:rFonts w:ascii="Arial" w:cs="Arial" w:eastAsia="Arial" w:hAnsi="Arial"/>
          <w:sz w:val="17"/>
          <w:szCs w:val="17"/>
          <w:color w:val="auto"/>
        </w:rPr>
        <w:t>We utilize the ZoomInfo platform to power our efficient go-to-market motion. For the 12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2020, our average LTV to average CAC was over 10x.</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High-Velocity Software Development. </w:t>
      </w:r>
      <w:r>
        <w:rPr>
          <w:rFonts w:ascii="Arial" w:cs="Arial" w:eastAsia="Arial" w:hAnsi="Arial"/>
          <w:sz w:val="17"/>
          <w:szCs w:val="17"/>
          <w:color w:val="auto"/>
        </w:rPr>
        <w:t>We foster an innovative, fast-paced engineering culture that enabled the release of 112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features and services in 2019.</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and Significant Network Effects. </w:t>
      </w:r>
      <w:r>
        <w:rPr>
          <w:rFonts w:ascii="Arial" w:cs="Arial" w:eastAsia="Arial" w:hAnsi="Arial"/>
          <w:sz w:val="17"/>
          <w:szCs w:val="17"/>
          <w:color w:val="auto"/>
        </w:rPr>
        <w:t>As our user base grows, so does the data we receive, which enables us to provide greater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our customers.</w:t>
      </w:r>
    </w:p>
    <w:p>
      <w:pPr>
        <w:spacing w:after="0" w:line="112"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highly talented, customer-centric senior leadership, led by our co-founder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Henry Schuck, enables us to rapidly develop new products, move more quickly than our competition, and build our fast-paced, execution-oriented culture.</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Our Market Opportunity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estimate the TAM for our platform to be approximately $30 billion, based on data as of September 30, 2020.</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For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 The aggregate calculated value represents our estimated TAM. Data for numbers of companies by employee count is from our ZoomInfo platform that we have identified as relevant prospects for our platform.</w:t>
      </w:r>
    </w:p>
    <w:p>
      <w:pPr>
        <w:spacing w:after="0" w:line="115"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Our Growth Strategy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65"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Continue to Acquire New Customers</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Deliver Additional High-Value Solutions to Our Existing Customers</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Drive Incremental Penetration Within Enterprises</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Leverage Our Platform for Adjacent Use Cases such as Recruiting</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Expand to International Markets</w:t>
      </w:r>
    </w:p>
    <w:p>
      <w:pPr>
        <w:spacing w:after="0" w:line="16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Selective Acquisitions to Complement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11" w:name="page12"/>
    <w:bookmarkEnd w:id="11"/>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178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115" cy="61785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December 2019, a novel strain of Coronavirus disease (“COVID-19”) was reported, and in March 2020, the WHO characterized COVID-19 as a pandemic. The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trigger a period of global economic slowdown.</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of the date of this prospectus, the full impact of the COVID-19 pandemic on the global economy and the extent to which the COVID-19 pandemic may impact our financial condition or results of operations remain uncertain. Furthermore, because of our largely subscription-based business model, the effect of the COVID-19 pandemic may not be fully reflected in our results of operations and overall financial condition until future periods, if at all.</w:t>
      </w:r>
    </w:p>
    <w:p>
      <w:pPr>
        <w:spacing w:after="0" w:line="128"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As a result of the COVID-19 pandemic, we expect we will experience slowed growth or decline in new customer demand for our platform and lower demand from our existing customers for upgrades within our platform. We have experienced and expect to continue to experience an increase in potential customers seeking lower prices or other more favorable contract terms and current customers attempting to obtain concessions on the terms of existing contracts, including requests for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107"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remained in effect in the second quarter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for further discussion of the possible impact of the COVID-19 pandemic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65"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On June 8, 2020, we completed the IPO, in which we sold 51,175,000 shares of our Class A common stock at a price to the public of $21.00 per share and received net proceeds of approximately $1,019.6 million after deducting underwriting discount. We used the net proceeds from the IPO to purchase 48,528,783 newly issued HoldCo Units from ZoomInfo HoldCo for approximately $966.9 million (which ZoomInfo HoldCo in turn used to purchase the same number of newly issued OpCo Units from ZoomInfo OpCo), to purchase 2,370,948 OpCo Units from certain Pre-IPO OpCo Unitholders for approximately $47.2 million, and to fund $5.5 million of merger consideration payable to certain Pre-IPO Blocker Holders in connection with the Blocker Mergers. To date, ZoomInfo OpCo used a portion of the proceeds it received through ZoomInfo HoldCo from the IPO</w:t>
      </w:r>
    </w:p>
    <w:p>
      <w:pPr>
        <w:spacing w:after="0" w:line="1" w:lineRule="exact"/>
        <w:rPr>
          <w:sz w:val="20"/>
          <w:szCs w:val="20"/>
          <w:color w:val="auto"/>
        </w:rPr>
      </w:pPr>
    </w:p>
    <w:p>
      <w:pPr>
        <w:jc w:val="both"/>
        <w:ind w:firstLine="4"/>
        <w:spacing w:after="0" w:line="256" w:lineRule="auto"/>
        <w:tabs>
          <w:tab w:leader="none" w:pos="2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redeem and cancel all outstanding Series A Preferred Units of ZoomInfo OpCo for approximately $274.2 million, including accumulated but unpaid distributions and related prepayment premiums, (ii) to repay the entire aggregate principal amount under our second lien credit agreement for approximately $380.6 million, including related prepayment premiums and accrued interest, (iii) to repay $35.0 million of outstanding borrowings under our first lien revolving credit facility, (iv) to pay certain expenses related to the IPO, and (v) to prepay $100.0 million aggregate principal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12" w:name="page13"/>
    <w:bookmarkEnd w:id="12"/>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734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115" cy="6734175"/>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color w:val="auto"/>
        </w:rPr>
        <w:t>first lien term loans outstanding under our first lien credit agreement, including accrued interest thereon. ZoomInfo OpCo intends to use the remaining proceeds from the IPO for general corporate purposes.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Prepayment of First Lien Credit Agreement</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June 17, 2020, we used approximately $101.2 million to prepay $100.0 million aggregate principal amount of the first lien term loans outstanding under our first lien credit agreement, including accrued interest thereon. The prepayment was funded with a portion of the net proceeds received from our IPO. Following the prepayment, as of June 17, 2020, $756.4 million aggregate principal amount of first lien term loans were outstanding under our first lien credit agreement.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On August 24, 2020, certain selling stockholders, including entities affiliated with the Sponsors, completed a secondary offering of 17,179,135 shares of Class A common stock (the “Secondary Offering”) at a price to the public of $37.00 per share. The selling stockholders received all of the net proceeds of approximately $615 million after deducting the underwriting discount.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October 2020, we acquired substantially all the assets, and certain specified liabilities, of Clickagy, LLC, a leading provider of artificial intelligence-powered buyer intent data. In November 2020, we acquired EverString Technology, LLC, a leading artificial intelligence-powered, B2B data solutions provider. In connection with these acquisitions, we agreed to pay an aggregate cash consideration of approximately $71.5 million, subject to working capital and other customary adjustments, and issued 67,075 shares of unregistered Class A common stock. We funded cash payments made at closing with cash on hand.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 Risks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An investment in shares of our Class A common stock involves substantial risks and uncertainties that may adversely affect our business, financial condition, results of operations, and cash flows. Some of the more significant challenges and risks relating to an investment in our Company include, among other things, the following:</w:t>
      </w:r>
    </w:p>
    <w:p>
      <w:pPr>
        <w:spacing w:after="0" w:line="123" w:lineRule="exact"/>
        <w:rPr>
          <w:sz w:val="20"/>
          <w:szCs w:val="20"/>
          <w:color w:val="auto"/>
        </w:rPr>
      </w:pPr>
    </w:p>
    <w:p>
      <w:pPr>
        <w:ind w:left="62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COVID-19 pandemic, including the global economic uncertainty and measures taken in response, could materially impact our business and future results of operations;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larger well-funded companies shifting their existing business models to become more competitive with us;</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provide or adapt our platform for changes in laws and regulations or public perception, or changes in the enforcement of such laws, relating to data privacy;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effects of companies more effectively catering to our customers by offering more tailored products or platforms at lower costs;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adverse general economic and market conditions reducing spending on sales and marketing;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effects of declining demand for sales and marketing subscription platforms;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improve our technology and keep up with new processes for data collection, organization, and cleansing;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provide a highly accurate, reliable, and comprehensive platform moving forward;</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reliance on third-party systems that we do not control to integrate with our system and our potential inability to continue to support integration;</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adequately fund research and development potentially limiting introduction of new features, integrations, and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13" w:name="page14"/>
    <w:bookmarkEnd w:id="13"/>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603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115" cy="6603365"/>
                    </a:xfrm>
                    <a:prstGeom prst="rect">
                      <a:avLst/>
                    </a:prstGeom>
                    <a:noFill/>
                  </pic:spPr>
                </pic:pic>
              </a:graphicData>
            </a:graphic>
          </wp:anchor>
        </w:drawing>
      </w: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attract new customers and expand existing subscriptions;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decrease in participation in our contributory network or increased opt-out rates impacting the depth, breadth, and accuracy of our platform;</w:t>
      </w:r>
    </w:p>
    <w:p>
      <w:pPr>
        <w:spacing w:after="0" w:line="188" w:lineRule="exact"/>
        <w:rPr>
          <w:rFonts w:ascii="Arial" w:cs="Arial" w:eastAsia="Arial" w:hAnsi="Arial"/>
          <w:sz w:val="15"/>
          <w:szCs w:val="15"/>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failure to protect and maintain our brand and our ability to attract and retain customers;</w:t>
      </w:r>
    </w:p>
    <w:p>
      <w:pPr>
        <w:spacing w:after="0" w:line="165"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22"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failure to achieve and maintain effective internal controls over financial reporting;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parties to our stockholders agreement controlling us and their interests conflicting with ours or yours in the future; and</w:t>
      </w:r>
    </w:p>
    <w:p>
      <w:pPr>
        <w:spacing w:after="0" w:line="165"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being a “controlled company” within the meaning of the Nasdaq rules and, as a result, qualifying for exemptions from certain corporate governance requirements, as a result of which you will not have the same protections afforded to stockholders of companies that are subject to such requirements.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Please see “Risk Factors” for a discussion of these and other factors you should consider before making an investment in shares of our Class A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Organizational Structure</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For a simplified diagram depicting our current organizational structure, see “Organizational Structure.”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and consolidates the financial results, of ZoomInfo OpCo through ZoomInfo HoldCo and, through ZoomInfo OpCo and its subsidiaries, conducts our business. Prior to the completion of the IPO:</w:t>
      </w:r>
    </w:p>
    <w:p>
      <w:pPr>
        <w:spacing w:after="0" w:line="130"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ZoomInfo OpCo effected a four-for-one reverse unit split;</w:t>
      </w:r>
    </w:p>
    <w:p>
      <w:pPr>
        <w:spacing w:after="0" w:line="165" w:lineRule="exact"/>
        <w:rPr>
          <w:rFonts w:ascii="Arial" w:cs="Arial" w:eastAsia="Arial" w:hAnsi="Arial"/>
          <w:sz w:val="17"/>
          <w:szCs w:val="17"/>
          <w:color w:val="auto"/>
        </w:rPr>
      </w:pPr>
    </w:p>
    <w:p>
      <w:pPr>
        <w:jc w:val="both"/>
        <w:ind w:left="620" w:hanging="307"/>
        <w:spacing w:after="0" w:line="257"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public offering price of the Class A common stock in the IPO (see “Organizational Structure—Blocker Mergers”);</w:t>
      </w:r>
    </w:p>
    <w:p>
      <w:pPr>
        <w:spacing w:after="0" w:line="13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2" w:lineRule="exact"/>
        <w:rPr>
          <w:rFonts w:ascii="Arial" w:cs="Arial" w:eastAsia="Arial" w:hAnsi="Arial"/>
          <w:sz w:val="17"/>
          <w:szCs w:val="17"/>
          <w:color w:val="auto"/>
        </w:rPr>
      </w:pPr>
    </w:p>
    <w:p>
      <w:pPr>
        <w:jc w:val="both"/>
        <w:ind w:left="620" w:hanging="307"/>
        <w:spacing w:after="0" w:line="261"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limited liability company agreements of each of ZoomInfo OpCo and ZoomInfo HoldCo were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8"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We refer to the Reclassification, together with the Blocker Mergers and the ZoomInfo HoldCo Contributions, as the “Reorganization Transactions.” Pursuant to the amended and restated limited liability company agreement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14" w:name="page15"/>
    <w:bookmarkEnd w:id="14"/>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047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115" cy="6047740"/>
                    </a:xfrm>
                    <a:prstGeom prst="rect">
                      <a:avLst/>
                    </a:prstGeom>
                    <a:noFill/>
                  </pic:spPr>
                </pic:pic>
              </a:graphicData>
            </a:graphic>
          </wp:anchor>
        </w:drawing>
      </w:r>
    </w:p>
    <w:p>
      <w:pPr>
        <w:jc w:val="both"/>
        <w:spacing w:after="0" w:line="256" w:lineRule="auto"/>
        <w:rPr>
          <w:sz w:val="20"/>
          <w:szCs w:val="20"/>
          <w:color w:val="auto"/>
        </w:rPr>
      </w:pPr>
      <w:r>
        <w:rPr>
          <w:rFonts w:ascii="Arial" w:cs="Arial" w:eastAsia="Arial" w:hAnsi="Arial"/>
          <w:sz w:val="17"/>
          <w:szCs w:val="17"/>
          <w:color w:val="auto"/>
        </w:rPr>
        <w:t>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For a description of the amended and restated limited liability company agreements of ZoomInfo OpCo and ZoomInfo HoldCo, please read “Certain Relationships and Related Person Transactions.”</w:t>
      </w:r>
    </w:p>
    <w:p>
      <w:pPr>
        <w:spacing w:after="0" w:line="132"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07"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 —ZoomInfo OpCo Amended and Restated Limited Liability Company Agreement,” “Certain Relationships and Related Person Transactions— ZoomInfo HoldCo Amended and Restated Limited Liability Company Agreement,” and “Description of Capital Stock.” Holders of outstanding shares of our Class A common stock, Class B common stock, and Class C common stock will vote as a single class on all matters on which stockholders are entitled to vote generally, except as otherwise required by law.</w:t>
      </w:r>
    </w:p>
    <w:p>
      <w:pPr>
        <w:spacing w:after="0" w:line="118"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Our organizational structure is commonly referred to as an umbrella partnership-C-corporation (“UP-C”) structure. This organizational structure allows our Pre-IPO OpCo Unitholders to retain their equity ownership in ZoomInfo OpCo, an entity that is classified as a partnership for U.S. federal income tax purposes, in the form of OpCo Units. Investors in this offering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gives rise to any significant business or strategic benefit or detriment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15" w:name="page16"/>
    <w:bookmarkEnd w:id="15"/>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178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115" cy="6178550"/>
                    </a:xfrm>
                    <a:prstGeom prst="rect">
                      <a:avLst/>
                    </a:prstGeom>
                    <a:noFill/>
                  </pic:spPr>
                </pic:pic>
              </a:graphicData>
            </a:graphic>
          </wp:anchor>
        </w:drawing>
      </w:r>
    </w:p>
    <w:p>
      <w:pPr>
        <w:jc w:val="both"/>
        <w:ind w:firstLine="309"/>
        <w:spacing w:after="0" w:line="271" w:lineRule="auto"/>
        <w:rPr>
          <w:sz w:val="20"/>
          <w:szCs w:val="20"/>
          <w:color w:val="auto"/>
        </w:rPr>
      </w:pPr>
      <w:r>
        <w:rPr>
          <w:rFonts w:ascii="Arial" w:cs="Arial" w:eastAsia="Arial" w:hAnsi="Arial"/>
          <w:sz w:val="16"/>
          <w:szCs w:val="16"/>
          <w:color w:val="auto"/>
        </w:rPr>
        <w:t>As described below under “Certain Relationships and Related Person Transactions—Tax Receivable Agreements,” we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ZoomInfo Technologies Inc. or any member of its affiliated, consolidated, combined, or unitary tax group (collectively, the “ZoomInfo Tax Group”) to certain pre-IPO owners and certain Pre-IPO HoldCo Unitholders of 85% of the benefits, if any,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the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5"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on the date of this offering) is approximately $344.8 million (assuming a public offering price of $42.99 per share of Class A common stock, which is the last reported sale price of our Class A common stock on the Nasdaq on September 30, 2020). Certain late payments under the tax receivable agreements generally will accrue interest at an uncapped, per annum rate equal to LIBOR (or its successor rate) plus 500 basis points. See “Certain Relationships and Related Person Transactions—Tax Receivable Agreements.”</w:t>
      </w:r>
    </w:p>
    <w:p>
      <w:pPr>
        <w:spacing w:after="0" w:line="107"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a tax sharing agreement with ZoomInfo HoldCo (the “tax sharing agreement”). Pursuant to the tax sharing agreement, ZoomInfo HoldCo is required to make certain payments to us to enable us to pay taxes of the ZoomInfo Tax Group and to meet our obligations under the tax receivable agreements.</w:t>
      </w:r>
    </w:p>
    <w:p>
      <w:pPr>
        <w:spacing w:after="0" w:line="12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16" w:name="page17"/>
    <w:bookmarkEnd w:id="16"/>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7159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7159625"/>
                    </a:xfrm>
                    <a:prstGeom prst="rect">
                      <a:avLst/>
                    </a:prstGeom>
                    <a:noFill/>
                  </pic:spPr>
                </pic:pic>
              </a:graphicData>
            </a:graphic>
          </wp:anchor>
        </w:drawing>
      </w:r>
    </w:p>
    <w:p>
      <w:pPr>
        <w:jc w:val="both"/>
        <w:spacing w:after="0" w:line="266" w:lineRule="auto"/>
        <w:rPr>
          <w:sz w:val="20"/>
          <w:szCs w:val="20"/>
          <w:color w:val="auto"/>
        </w:rPr>
      </w:pPr>
      <w:r>
        <w:rPr>
          <w:rFonts w:ascii="Arial" w:cs="Arial" w:eastAsia="Arial" w:hAnsi="Arial"/>
          <w:sz w:val="17"/>
          <w:szCs w:val="17"/>
          <w:color w:val="auto"/>
        </w:rPr>
        <w:t>the historical financial statements of ZoomInfo OpCo. ZoomInfo Technologies Inc. consolidates ZoomInfo OpCo through ZoomInfo HoldCo on its consolidated financial statements and records a non-controlling interest related to the OpCo Units and HoldCo Units held by our pre-IPO owners on its consolidated balance sheet and statement of operations.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simplified diagram below depicts our organizational structure after giving effect to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jc w:val="both"/>
        <w:ind w:left="320" w:hanging="316"/>
        <w:spacing w:after="0" w:line="253" w:lineRule="auto"/>
        <w:tabs>
          <w:tab w:leader="none" w:pos="313" w:val="left"/>
        </w:tabs>
        <w:numPr>
          <w:ilvl w:val="0"/>
          <w:numId w:val="16"/>
        </w:numPr>
        <w:rPr>
          <w:rFonts w:ascii="Arial" w:cs="Arial" w:eastAsia="Arial" w:hAnsi="Arial"/>
          <w:sz w:val="13"/>
          <w:szCs w:val="13"/>
          <w:color w:val="auto"/>
        </w:rPr>
      </w:pPr>
      <w:r>
        <w:rPr>
          <w:rFonts w:ascii="Arial" w:cs="Arial" w:eastAsia="Arial" w:hAnsi="Arial"/>
          <w:sz w:val="13"/>
          <w:szCs w:val="13"/>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this offering, the Pre-IPO OpCo Unitholders and the Pre-IPO HoldCo Unitholders will hold 216,534,801 and 4,200,425 shares of our Class B common stock, respectively, collectively representing 100% of our outstanding Class B common stock, and will collectively hold 69.9% of the voting power in ZoomInfo Technologies Inc. Immediately following this offering, the holders of our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17" w:name="page18"/>
    <w:bookmarkEnd w:id="17"/>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287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115" cy="5287010"/>
                    </a:xfrm>
                    <a:prstGeom prst="rect">
                      <a:avLst/>
                    </a:prstGeom>
                    <a:noFill/>
                  </pic:spPr>
                </pic:pic>
              </a:graphicData>
            </a:graphic>
          </wp:anchor>
        </w:drawing>
      </w:r>
    </w:p>
    <w:p>
      <w:pPr>
        <w:ind w:left="320"/>
        <w:spacing w:after="0" w:line="239" w:lineRule="auto"/>
        <w:rPr>
          <w:sz w:val="20"/>
          <w:szCs w:val="20"/>
          <w:color w:val="auto"/>
        </w:rPr>
      </w:pPr>
      <w:r>
        <w:rPr>
          <w:rFonts w:ascii="Arial" w:cs="Arial" w:eastAsia="Arial" w:hAnsi="Arial"/>
          <w:sz w:val="14"/>
          <w:szCs w:val="14"/>
          <w:color w:val="auto"/>
        </w:rPr>
        <w:t>Class B and Class C common stock will collectively hold 97.4% of the voting power in ZoomInfo Technologies Inc. For additional information, see “Organizational Structure— Organizational Structure Following the IPO and the Transactions” and “Description of Capital Stock—Common Stock—Class B Common Stock.”</w:t>
      </w:r>
    </w:p>
    <w:p>
      <w:pPr>
        <w:jc w:val="both"/>
        <w:ind w:left="320" w:hanging="316"/>
        <w:spacing w:after="0" w:line="248" w:lineRule="auto"/>
        <w:tabs>
          <w:tab w:leader="none" w:pos="313" w:val="left"/>
        </w:tabs>
        <w:numPr>
          <w:ilvl w:val="0"/>
          <w:numId w:val="17"/>
        </w:numPr>
        <w:rPr>
          <w:rFonts w:ascii="Arial" w:cs="Arial" w:eastAsia="Arial" w:hAnsi="Arial"/>
          <w:sz w:val="13"/>
          <w:szCs w:val="13"/>
          <w:color w:val="auto"/>
        </w:rPr>
      </w:pPr>
      <w:r>
        <w:rPr>
          <w:rFonts w:ascii="Arial" w:cs="Arial" w:eastAsia="Arial" w:hAnsi="Arial"/>
          <w:sz w:val="13"/>
          <w:szCs w:val="13"/>
          <w:color w:val="auto"/>
        </w:rPr>
        <w:t>Each share of Class C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 Blocker Holders will hold 86,835,289 shares of our Class C common stock, representing 100% of our Class C common stock, and will collectively hold 27.5% of the voting power in ZoomInfo Technologies Inc. Immediately following this offering, the holders of our Class B and Class C common stock will collectively hold 97.4% of the voting power in ZoomInfo Technologies Inc. For additional information, see “Organizational Structure—Organizational Structure Following the IPO and the Transactions” and “Description of Capital Stock—Common Stock—Class C Common Stock.”</w:t>
      </w:r>
    </w:p>
    <w:p>
      <w:pPr>
        <w:jc w:val="both"/>
        <w:ind w:left="320" w:hanging="316"/>
        <w:spacing w:after="0" w:line="248" w:lineRule="auto"/>
        <w:tabs>
          <w:tab w:leader="none" w:pos="313" w:val="left"/>
        </w:tabs>
        <w:numPr>
          <w:ilvl w:val="0"/>
          <w:numId w:val="17"/>
        </w:numPr>
        <w:rPr>
          <w:rFonts w:ascii="Arial" w:cs="Arial" w:eastAsia="Arial" w:hAnsi="Arial"/>
          <w:sz w:val="13"/>
          <w:szCs w:val="13"/>
          <w:color w:val="auto"/>
        </w:rPr>
      </w:pPr>
      <w:r>
        <w:rPr>
          <w:rFonts w:ascii="Arial" w:cs="Arial" w:eastAsia="Arial" w:hAnsi="Arial"/>
          <w:sz w:val="13"/>
          <w:szCs w:val="13"/>
          <w:color w:val="auto"/>
        </w:rPr>
        <w:t>Assuming such Class P Units are fully vested, at the time of this offering, 12,291,007 shares of Class A common stock (based on the closing price of our Class A common stock of $37.99 per share as reported on Nasdaq on October 30, 2020) would be issuable upon the exchange of 14,383,955 Class P Units that are held by the Continuing Class P Unitholders. For additional information, see “Organizational Structure—Reclassification and Amendment and Restatement of Limited Liability Company Agreement of ZoomInfo OpCo” and “Certain Relationships and Related Person Transactions—ZoomInfo OpCo Amended and Restated Limited Liability Company Agreement.”</w:t>
      </w:r>
    </w:p>
    <w:p>
      <w:pPr>
        <w:ind w:left="320" w:hanging="316"/>
        <w:spacing w:after="0" w:line="236" w:lineRule="auto"/>
        <w:tabs>
          <w:tab w:leader="none" w:pos="313" w:val="left"/>
        </w:tabs>
        <w:numPr>
          <w:ilvl w:val="0"/>
          <w:numId w:val="17"/>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our first lien revolving credit facility and our first lien term loan facility, as amended (together, the “first lien credit facilities” or the “secured credit facilities”). See “Description of Certain Indebtedness.”</w:t>
      </w:r>
    </w:p>
    <w:p>
      <w:pPr>
        <w:spacing w:after="0" w:line="14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following table presents the outstanding common stock, OpCo Units, and HoldCo Units, after giving effect to this offering, (i) on an actual basis, excluding the conversion of 14,383,955 Class P Units held by the Continuing Class P Unitholders, which are convertible for 12,291,007 shares of Class A common stock (based on the closing price of our Class A common stock of $37.99 per share as reported on Nasdaq on October 30, 2020) upon vesting, and (ii) on a diluted basis, assuming the conversion of such Class P Units, following completion of the Reorganization Transactions and the IPO Transactions:</w:t>
      </w:r>
    </w:p>
    <w:p>
      <w:pPr>
        <w:sectPr>
          <w:pgSz w:w="11900" w:h="16838" w:orient="portrait"/>
          <w:cols w:equalWidth="0" w:num="1">
            <w:col w:w="10280"/>
          </w:cols>
          <w:pgMar w:left="800" w:top="1440"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right="960"/>
        <w:spacing w:after="0" w:line="338" w:lineRule="auto"/>
        <w:rPr>
          <w:sz w:val="20"/>
          <w:szCs w:val="20"/>
          <w:color w:val="auto"/>
        </w:rPr>
      </w:pPr>
      <w:r>
        <w:rPr>
          <w:rFonts w:ascii="Arial" w:cs="Arial" w:eastAsia="Arial" w:hAnsi="Arial"/>
          <w:sz w:val="13"/>
          <w:szCs w:val="13"/>
          <w:color w:val="auto"/>
        </w:rPr>
        <w:t>Public Stockholders Pre-IPO OpCo Unitholders Pre-IPO HoldCo Unitholders Pre-IPO Blocker Holders ZoomInfo Technologies Inc. ZoomInfo HoldCo</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outstanding</w:t>
      </w:r>
    </w:p>
    <w:p>
      <w:pPr>
        <w:spacing w:after="0" w:line="19" w:lineRule="exact"/>
        <w:rPr>
          <w:sz w:val="20"/>
          <w:szCs w:val="20"/>
          <w:color w:val="auto"/>
        </w:rPr>
      </w:pPr>
    </w:p>
    <w:p>
      <w:pPr>
        <w:ind w:left="380" w:right="40" w:hanging="154"/>
        <w:spacing w:after="0" w:line="231" w:lineRule="auto"/>
        <w:rPr>
          <w:sz w:val="20"/>
          <w:szCs w:val="20"/>
          <w:color w:val="auto"/>
        </w:rPr>
      </w:pPr>
      <w:r>
        <w:rPr>
          <w:rFonts w:ascii="Arial" w:cs="Arial" w:eastAsia="Arial" w:hAnsi="Arial"/>
          <w:sz w:val="13"/>
          <w:szCs w:val="13"/>
          <w:color w:val="auto"/>
        </w:rPr>
        <w:t>Total, after giving effect to the conversion of Class P Units held by Continuing Class P Unitholders</w:t>
      </w:r>
      <w:r>
        <w:rPr>
          <w:rFonts w:ascii="Arial" w:cs="Arial" w:eastAsia="Arial" w:hAnsi="Arial"/>
          <w:sz w:val="7"/>
          <w:szCs w:val="7"/>
          <w:color w:val="auto"/>
        </w:rPr>
        <w:t>(1)</w:t>
      </w:r>
    </w:p>
    <w:p>
      <w:pPr>
        <w:spacing w:after="0" w:line="6" w:lineRule="exact"/>
        <w:rPr>
          <w:sz w:val="20"/>
          <w:szCs w:val="20"/>
          <w:color w:val="auto"/>
        </w:rPr>
      </w:pPr>
    </w:p>
    <w:p>
      <w:pPr>
        <w:ind w:left="380" w:hanging="154"/>
        <w:spacing w:after="0" w:line="285" w:lineRule="auto"/>
        <w:rPr>
          <w:sz w:val="20"/>
          <w:szCs w:val="20"/>
          <w:color w:val="auto"/>
        </w:rPr>
      </w:pPr>
      <w:r>
        <w:rPr>
          <w:rFonts w:ascii="Arial" w:cs="Arial" w:eastAsia="Arial" w:hAnsi="Arial"/>
          <w:sz w:val="11"/>
          <w:szCs w:val="11"/>
          <w:color w:val="auto"/>
        </w:rPr>
        <w:t>Total, after giving further effect to the vesting of employee equity grants under our 2020 Omnibus Incentive Plan</w:t>
      </w:r>
      <w:r>
        <w:rPr>
          <w:rFonts w:ascii="Arial" w:cs="Arial" w:eastAsia="Arial" w:hAnsi="Arial"/>
          <w:sz w:val="7"/>
          <w:szCs w:val="7"/>
          <w:color w:val="auto"/>
        </w:rPr>
        <w:t>(2)</w:t>
      </w: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Common Stock</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Units</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280" w:type="dxa"/>
            <w:vAlign w:val="bottom"/>
            <w:gridSpan w:val="2"/>
          </w:tcPr>
          <w:p>
            <w:pPr>
              <w:jc w:val="center"/>
              <w:ind w:right="60"/>
              <w:spacing w:after="0" w:line="127" w:lineRule="exact"/>
              <w:rPr>
                <w:sz w:val="20"/>
                <w:szCs w:val="20"/>
                <w:color w:val="auto"/>
              </w:rPr>
            </w:pPr>
            <w:r>
              <w:rPr>
                <w:rFonts w:ascii="Arial" w:cs="Arial" w:eastAsia="Arial" w:hAnsi="Arial"/>
                <w:sz w:val="14"/>
                <w:szCs w:val="14"/>
                <w:b w:val="1"/>
                <w:bCs w:val="1"/>
                <w:color w:val="auto"/>
                <w:w w:val="87"/>
              </w:rPr>
              <w:t>Class A Common</w:t>
            </w:r>
          </w:p>
        </w:tc>
        <w:tc>
          <w:tcPr>
            <w:tcW w:w="1280" w:type="dxa"/>
            <w:vAlign w:val="bottom"/>
            <w:gridSpan w:val="2"/>
          </w:tcPr>
          <w:p>
            <w:pPr>
              <w:jc w:val="center"/>
              <w:ind w:right="60"/>
              <w:spacing w:after="0" w:line="127" w:lineRule="exact"/>
              <w:rPr>
                <w:sz w:val="20"/>
                <w:szCs w:val="20"/>
                <w:color w:val="auto"/>
              </w:rPr>
            </w:pPr>
            <w:r>
              <w:rPr>
                <w:rFonts w:ascii="Arial" w:cs="Arial" w:eastAsia="Arial" w:hAnsi="Arial"/>
                <w:sz w:val="14"/>
                <w:szCs w:val="14"/>
                <w:b w:val="1"/>
                <w:bCs w:val="1"/>
                <w:color w:val="auto"/>
                <w:w w:val="87"/>
              </w:rPr>
              <w:t>Class B Common</w:t>
            </w:r>
          </w:p>
        </w:tc>
        <w:tc>
          <w:tcPr>
            <w:tcW w:w="1280" w:type="dxa"/>
            <w:vAlign w:val="bottom"/>
            <w:gridSpan w:val="2"/>
          </w:tcPr>
          <w:p>
            <w:pPr>
              <w:jc w:val="center"/>
              <w:ind w:right="60"/>
              <w:spacing w:after="0" w:line="127" w:lineRule="exact"/>
              <w:rPr>
                <w:sz w:val="20"/>
                <w:szCs w:val="20"/>
                <w:color w:val="auto"/>
              </w:rPr>
            </w:pPr>
            <w:r>
              <w:rPr>
                <w:rFonts w:ascii="Arial" w:cs="Arial" w:eastAsia="Arial" w:hAnsi="Arial"/>
                <w:sz w:val="14"/>
                <w:szCs w:val="14"/>
                <w:b w:val="1"/>
                <w:bCs w:val="1"/>
                <w:color w:val="auto"/>
                <w:w w:val="87"/>
              </w:rPr>
              <w:t>Class C Common</w:t>
            </w:r>
          </w:p>
        </w:tc>
        <w:tc>
          <w:tcPr>
            <w:tcW w:w="13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14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HoldCo Units</w:t>
            </w:r>
          </w:p>
        </w:tc>
        <w:tc>
          <w:tcPr>
            <w:tcW w:w="10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OpCo Units</w:t>
            </w:r>
          </w:p>
        </w:tc>
        <w:tc>
          <w:tcPr>
            <w:tcW w:w="0" w:type="dxa"/>
            <w:vAlign w:val="bottom"/>
          </w:tcPr>
          <w:p>
            <w:pPr>
              <w:spacing w:after="0"/>
              <w:rPr>
                <w:sz w:val="1"/>
                <w:szCs w:val="1"/>
                <w:color w:val="auto"/>
              </w:rPr>
            </w:pPr>
          </w:p>
        </w:tc>
      </w:tr>
      <w:tr>
        <w:trPr>
          <w:trHeight w:val="179"/>
        </w:trPr>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300" w:type="dxa"/>
            <w:vAlign w:val="bottom"/>
            <w:gridSpan w:val="2"/>
            <w:vMerge w:val="continue"/>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4,200,425</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4,200,425</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4,200,425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168,575,790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172,776,215</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180" w:type="dxa"/>
            <w:vAlign w:val="bottom"/>
          </w:tcPr>
          <w:p>
            <w:pPr>
              <w:jc w:val="right"/>
              <w:spacing w:after="0"/>
              <w:rPr>
                <w:sz w:val="20"/>
                <w:szCs w:val="20"/>
                <w:color w:val="auto"/>
              </w:rPr>
            </w:pPr>
            <w:r>
              <w:rPr>
                <w:rFonts w:ascii="Arial" w:cs="Arial" w:eastAsia="Arial" w:hAnsi="Arial"/>
                <w:sz w:val="14"/>
                <w:szCs w:val="14"/>
                <w:color w:val="auto"/>
              </w:rPr>
              <w:t>81,740,501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389,311,016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172,776,215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389,311,016</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180" w:type="dxa"/>
            <w:vAlign w:val="bottom"/>
          </w:tcPr>
          <w:p>
            <w:pPr>
              <w:jc w:val="right"/>
              <w:spacing w:after="0"/>
              <w:rPr>
                <w:sz w:val="20"/>
                <w:szCs w:val="20"/>
                <w:color w:val="auto"/>
              </w:rPr>
            </w:pPr>
            <w:r>
              <w:rPr>
                <w:rFonts w:ascii="Arial" w:cs="Arial" w:eastAsia="Arial" w:hAnsi="Arial"/>
                <w:sz w:val="14"/>
                <w:szCs w:val="14"/>
                <w:color w:val="auto"/>
              </w:rPr>
              <w:t>94,031,508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401,602,023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185,067,222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401,602,023</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180" w:type="dxa"/>
            <w:vAlign w:val="bottom"/>
          </w:tcPr>
          <w:p>
            <w:pPr>
              <w:jc w:val="right"/>
              <w:spacing w:after="0"/>
              <w:rPr>
                <w:sz w:val="20"/>
                <w:szCs w:val="20"/>
                <w:color w:val="auto"/>
              </w:rPr>
            </w:pPr>
            <w:r>
              <w:rPr>
                <w:rFonts w:ascii="Arial" w:cs="Arial" w:eastAsia="Arial" w:hAnsi="Arial"/>
                <w:sz w:val="14"/>
                <w:szCs w:val="14"/>
                <w:color w:val="auto"/>
              </w:rPr>
              <w:t>95,569,800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403,140,315</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186,605,514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403,140,315</w:t>
            </w:r>
          </w:p>
        </w:tc>
        <w:tc>
          <w:tcPr>
            <w:tcW w:w="0" w:type="dxa"/>
            <w:vAlign w:val="bottom"/>
          </w:tcPr>
          <w:p>
            <w:pPr>
              <w:spacing w:after="0"/>
              <w:rPr>
                <w:sz w:val="1"/>
                <w:szCs w:val="1"/>
                <w:color w:val="auto"/>
              </w:rPr>
            </w:pPr>
          </w:p>
        </w:tc>
      </w:tr>
      <w:tr>
        <w:trPr>
          <w:trHeight w:val="24"/>
        </w:trPr>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2580" w:space="80"/>
            <w:col w:w="7620"/>
          </w:cols>
          <w:pgMar w:left="800" w:top="1440" w:right="819" w:bottom="1440" w:gutter="0" w:footer="0" w:header="0"/>
          <w:type w:val="continuous"/>
        </w:sectPr>
      </w:pPr>
    </w:p>
    <w:p>
      <w:pPr>
        <w:ind w:left="320" w:hanging="316"/>
        <w:spacing w:after="0" w:line="230" w:lineRule="auto"/>
        <w:tabs>
          <w:tab w:leader="none" w:pos="313"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20" w:hanging="316"/>
        <w:spacing w:after="0" w:line="234" w:lineRule="auto"/>
        <w:tabs>
          <w:tab w:leader="none" w:pos="313"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equal to the IPO public offering price per share of Class A common stock, were granted in connection with the IPO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type w:val="continuous"/>
        </w:sectPr>
      </w:pPr>
    </w:p>
    <w:bookmarkStart w:id="18" w:name="page19"/>
    <w:bookmarkEnd w:id="18"/>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685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115" cy="6685280"/>
                    </a:xfrm>
                    <a:prstGeom prst="rect">
                      <a:avLst/>
                    </a:prstGeom>
                    <a:noFill/>
                  </pic:spPr>
                </pic:pic>
              </a:graphicData>
            </a:graphic>
          </wp:anchor>
        </w:drawing>
      </w:r>
    </w:p>
    <w:p>
      <w:pPr>
        <w:jc w:val="both"/>
        <w:ind w:firstLine="309"/>
        <w:spacing w:after="0" w:line="266" w:lineRule="auto"/>
        <w:rPr>
          <w:sz w:val="20"/>
          <w:szCs w:val="20"/>
          <w:color w:val="auto"/>
        </w:rPr>
      </w:pPr>
      <w:r>
        <w:rPr>
          <w:rFonts w:ascii="Arial" w:cs="Arial" w:eastAsia="Arial" w:hAnsi="Arial"/>
          <w:sz w:val="17"/>
          <w:szCs w:val="17"/>
          <w:color w:val="auto"/>
        </w:rPr>
        <w:t>The following table presents the economic interests and combined voting power in ZoomInfo Technologies Inc. held by the Sponsors, the Founders, management and others, and public stockholders (which does not reflect the exchange of any Class P Unit for a share of Class A common stock), after giving effect to this offering: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Common Stock Owned</w:t>
            </w:r>
            <w:r>
              <w:rPr>
                <w:rFonts w:ascii="Arial" w:cs="Arial" w:eastAsia="Arial" w:hAnsi="Arial"/>
                <w:sz w:val="8"/>
                <w:szCs w:val="8"/>
                <w:b w:val="1"/>
                <w:bCs w:val="1"/>
                <w:color w:val="auto"/>
              </w:rPr>
              <w:t>(1)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8"/>
              </w:rPr>
              <w:t>Voting Power</w:t>
            </w:r>
            <w:r>
              <w:rPr>
                <w:rFonts w:ascii="Arial" w:cs="Arial" w:eastAsia="Arial" w:hAnsi="Arial"/>
                <w:sz w:val="8"/>
                <w:szCs w:val="8"/>
                <w:b w:val="1"/>
                <w:bCs w:val="1"/>
                <w:color w:val="auto"/>
                <w:w w:val="98"/>
              </w:rPr>
              <w:t>(2)</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40" w:type="dxa"/>
            <w:vAlign w:val="bottom"/>
          </w:tcPr>
          <w:p>
            <w:pPr>
              <w:spacing w:after="0"/>
              <w:rPr>
                <w:sz w:val="15"/>
                <w:szCs w:val="15"/>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ind w:left="560"/>
              <w:spacing w:after="0"/>
              <w:rPr>
                <w:sz w:val="20"/>
                <w:szCs w:val="20"/>
                <w:color w:val="auto"/>
              </w:rPr>
            </w:pPr>
            <w:r>
              <w:rPr>
                <w:rFonts w:ascii="Arial" w:cs="Arial" w:eastAsia="Arial" w:hAnsi="Arial"/>
                <w:sz w:val="14"/>
                <w:szCs w:val="14"/>
                <w:b w:val="1"/>
                <w:bCs w:val="1"/>
                <w:color w:val="auto"/>
              </w:rPr>
              <w:t>Votes</w:t>
            </w:r>
          </w:p>
        </w:tc>
        <w:tc>
          <w:tcPr>
            <w:tcW w:w="960" w:type="dxa"/>
            <w:vAlign w:val="bottom"/>
          </w:tcPr>
          <w:p>
            <w:pPr>
              <w:jc w:val="right"/>
              <w:ind w:right="61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Sponsors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222,346,817</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57.1 %</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2,223,468,170</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70.4 %</w:t>
            </w:r>
          </w:p>
        </w:tc>
        <w:tc>
          <w:tcPr>
            <w:tcW w:w="0" w:type="dxa"/>
            <w:vAlign w:val="bottom"/>
          </w:tcPr>
          <w:p>
            <w:pPr>
              <w:spacing w:after="0"/>
              <w:rPr>
                <w:sz w:val="1"/>
                <w:szCs w:val="1"/>
                <w:color w:val="auto"/>
              </w:rPr>
            </w:pPr>
          </w:p>
        </w:tc>
      </w:tr>
      <w:tr>
        <w:trPr>
          <w:trHeight w:val="219"/>
        </w:trPr>
        <w:tc>
          <w:tcPr>
            <w:tcW w:w="4140" w:type="dxa"/>
            <w:vAlign w:val="bottom"/>
          </w:tcPr>
          <w:p>
            <w:pPr>
              <w:ind w:left="20"/>
              <w:spacing w:after="0" w:line="219" w:lineRule="exact"/>
              <w:rPr>
                <w:sz w:val="20"/>
                <w:szCs w:val="20"/>
                <w:color w:val="auto"/>
              </w:rPr>
            </w:pPr>
            <w:r>
              <w:rPr>
                <w:rFonts w:ascii="Arial" w:cs="Arial" w:eastAsia="Arial" w:hAnsi="Arial"/>
                <w:sz w:val="17"/>
                <w:szCs w:val="17"/>
                <w:color w:val="auto"/>
              </w:rPr>
              <w:t>Founders</w:t>
            </w:r>
            <w:r>
              <w:rPr>
                <w:rFonts w:ascii="Arial" w:cs="Arial" w:eastAsia="Arial" w:hAnsi="Arial"/>
                <w:sz w:val="22"/>
                <w:szCs w:val="22"/>
                <w:color w:val="auto"/>
                <w:vertAlign w:val="superscript"/>
              </w:rPr>
              <w:t>(3)</w:t>
            </w:r>
          </w:p>
        </w:tc>
        <w:tc>
          <w:tcPr>
            <w:tcW w:w="1400" w:type="dxa"/>
            <w:vAlign w:val="bottom"/>
          </w:tcPr>
          <w:p>
            <w:pPr>
              <w:jc w:val="right"/>
              <w:spacing w:after="0"/>
              <w:rPr>
                <w:sz w:val="20"/>
                <w:szCs w:val="20"/>
                <w:color w:val="auto"/>
              </w:rPr>
            </w:pPr>
            <w:r>
              <w:rPr>
                <w:rFonts w:ascii="Arial" w:cs="Arial" w:eastAsia="Arial" w:hAnsi="Arial"/>
                <w:sz w:val="17"/>
                <w:szCs w:val="17"/>
                <w:color w:val="auto"/>
              </w:rPr>
              <w:t>66,011,392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660,113,920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20.9 %</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Others</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19,212,306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192,123,060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Public Stockholders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81,740,501</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81,740,501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38"/>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389,311,016</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3,157,445,651</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__________________</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1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320" w:hanging="316"/>
        <w:spacing w:after="0" w:line="230" w:lineRule="auto"/>
        <w:tabs>
          <w:tab w:leader="none" w:pos="313"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ind w:left="320" w:hanging="316"/>
        <w:spacing w:after="0" w:line="230" w:lineRule="auto"/>
        <w:tabs>
          <w:tab w:leader="none" w:pos="313"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beneficial ownership, reflects one vote per share of Class A common stock, ten votes per share of Class B common stock, and ten votes per share of Class C common stock. See “Principal and Selling Stockholders” for additional information.</w:t>
      </w:r>
    </w:p>
    <w:p>
      <w:pPr>
        <w:jc w:val="both"/>
        <w:ind w:left="320" w:hanging="316"/>
        <w:spacing w:after="0" w:line="232" w:lineRule="auto"/>
        <w:tabs>
          <w:tab w:leader="none" w:pos="313"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 See “Principal and Selling Stockholders” for additional information.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Securities and Exchange Commission (the “SEC”). These provisions include, but are not limited to:</w:t>
      </w:r>
    </w:p>
    <w:p>
      <w:pPr>
        <w:spacing w:after="0" w:line="111" w:lineRule="exact"/>
        <w:rPr>
          <w:sz w:val="20"/>
          <w:szCs w:val="20"/>
          <w:color w:val="auto"/>
        </w:rPr>
      </w:pPr>
    </w:p>
    <w:p>
      <w:pPr>
        <w:jc w:val="both"/>
        <w:ind w:left="620" w:hanging="307"/>
        <w:spacing w:after="0" w:line="266"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2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 (“SOX”);</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including in this prospectus;</w:t>
      </w:r>
    </w:p>
    <w:p>
      <w:pPr>
        <w:spacing w:after="0" w:line="112"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2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will remain an emerging growth company until the earliest to occur of:</w:t>
      </w:r>
    </w:p>
    <w:p>
      <w:pPr>
        <w:spacing w:after="0" w:line="165"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last day of the fiscal year that follows the fifth anniversary of the completion of the IPO;</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last day of the fiscal year in which we have total annual gross revenue of at least $1.07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19" w:name="page20"/>
    <w:bookmarkEnd w:id="19"/>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767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115" cy="6767195"/>
                    </a:xfrm>
                    <a:prstGeom prst="rect">
                      <a:avLst/>
                    </a:prstGeom>
                    <a:noFill/>
                  </pic:spPr>
                </pic:pic>
              </a:graphicData>
            </a:graphic>
          </wp:anchor>
        </w:drawing>
      </w:r>
    </w:p>
    <w:p>
      <w:pPr>
        <w:ind w:left="620" w:hanging="307"/>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date on which we are deemed to be a “large accelerated filer,” as defined in the Securities Exchange Act of 1934, as amended (the “Exchange Act”); and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date on which we have issued more than $1 billion in non-convertible debt over a three-year period.</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10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additional information, see the section titled “Risk Factors—Risks Related to this Offering and Ownership of Our Class A Common Stock— We are an “emerging growth company,” and the reduced disclosure requirements applicable to emerging growth companies may make our Class A common stock less attractive to investors.”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Sponsors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 Associates</w:t>
      </w:r>
    </w:p>
    <w:p>
      <w:pPr>
        <w:spacing w:after="0" w:line="17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Founded in 1968, TA Associates is one of the most experienced global growth private equity firms in the world. TA Associates invests in growing companies with opportunities for sustained growth, and employs a long-term approach, utilizing its strategic resources, to help management teams build lasting value in great companies. With approximately $33.5 billion raised since inception and over five decades of experience, TA Associates offers its portfolio companies strategic guidance, global insight, strategic acquisition support, recruiting assistance, and a significant network of contacts, in addition to sound financial backing. The firm’s investment team is based in Boston, Menlo Park, London, Mumbai, and Hong Kong.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Carlyle Group</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Carlyle Group Inc. (NASDAQ: CG) is a global investment firm with deep industry expertise that deploys private capital across four business segments: Corporate Private Equity, Real Assets, Global Credit, and Investment Solutions. With $230 billion of assets under management as of September 30, 2020, The Carlyle Group’s purpose is to invest wisely and create value on behalf of its investors, portfolio companies, and the communities in which they invest. The Carlyle Group is a leading private equity investor having completed more than 660 Corporate Private Equity transactions representing over $109 billion in equity investments, with particular strength in technology, business services, and communications sectors, which represent over 280 investments and $33 billion of equity invested. The Carlyle Group employs more than 1,800 people in 30 offices across six continents.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22C Capital</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22C Capital is a private investment firm based in New York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strive to deliver practical, real-world support to help convert these businesses’ challenges into opportunities and unlock their full potential. 22C Capital executives have cross-disciplinary experience building and running market-leading data analytics companies, including co-founding and leading Capital IQ.</w:t>
      </w:r>
    </w:p>
    <w:p>
      <w:pPr>
        <w:spacing w:after="0" w:line="200" w:lineRule="exact"/>
        <w:rPr>
          <w:sz w:val="20"/>
          <w:szCs w:val="20"/>
          <w:color w:val="auto"/>
        </w:rPr>
      </w:pPr>
    </w:p>
    <w:p>
      <w:pPr>
        <w:spacing w:after="0" w:line="29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After the completion of this offering, the parties to our stockholders agreement will beneficially own approximately 88.7% of the combined voting power of our Class A, Class B, and Class C common stock (or 88.6%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20" w:name="page21"/>
    <w:bookmarkEnd w:id="20"/>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066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115" cy="5066030"/>
                    </a:xfrm>
                    <a:prstGeom prst="rect">
                      <a:avLst/>
                    </a:prstGeom>
                    <a:noFill/>
                  </pic:spPr>
                </pic:pic>
              </a:graphicData>
            </a:graphic>
          </wp:anchor>
        </w:drawing>
      </w:r>
    </w:p>
    <w:p>
      <w:pPr>
        <w:jc w:val="both"/>
        <w:spacing w:after="0" w:line="271" w:lineRule="auto"/>
        <w:rPr>
          <w:sz w:val="20"/>
          <w:szCs w:val="20"/>
          <w:color w:val="auto"/>
        </w:rPr>
      </w:pPr>
      <w:r>
        <w:rPr>
          <w:rFonts w:ascii="Arial" w:cs="Arial" w:eastAsia="Arial" w:hAnsi="Arial"/>
          <w:sz w:val="16"/>
          <w:szCs w:val="16"/>
          <w:color w:val="auto"/>
        </w:rPr>
        <w:t>if the underwriters exercise in full their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As a result, we will continue to be a “controlled company” within the meaning of the Nasdaq corporate governance standards. Under these corporate governance standards, a company of which more than 50% of the voting power is beneficially owned by an individual, group, or 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its board of directors have a nominating and corporate governance committee that is composed entirely of independent directors with a written charter addressing the committee’s purpose and responsibilities. Accordingly, you will not have the same protections afforded to shareholders of companies that are subject to all of these corporate governance requirements. In the event that we cease to be a “controlled company” and our Class A common stock continues to be listed on the Nasdaq, we will be required to comply with these provisions within the applicable transition periods.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Corporate Information</w:t>
      </w:r>
    </w:p>
    <w:p>
      <w:pPr>
        <w:spacing w:after="0" w:line="171"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9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own, or have rights to, trademarks, service marks, or trade names that we use in connection with the operation of our business, including ZOOMINFO and DISCOVERORG, which we consider important to our marketing activities. This prospectus also contains trademarks of other companies that to our knowledge are the property of their respective holders, and we do not intend our use or display of such marks to imply relationships with, or endorsements of us by, any other company.</w:t>
      </w:r>
    </w:p>
    <w:p>
      <w:pPr>
        <w:spacing w:after="0" w:line="122" w:lineRule="exact"/>
        <w:rPr>
          <w:sz w:val="20"/>
          <w:szCs w:val="20"/>
          <w:color w:val="auto"/>
        </w:rPr>
      </w:pPr>
    </w:p>
    <w:p>
      <w:pPr>
        <w:jc w:val="both"/>
        <w:ind w:firstLine="309"/>
        <w:spacing w:after="0"/>
        <w:rPr>
          <w:sz w:val="20"/>
          <w:szCs w:val="20"/>
          <w:color w:val="auto"/>
        </w:rPr>
      </w:pPr>
      <w:r>
        <w:rPr>
          <w:rFonts w:ascii="Arial" w:cs="Arial" w:eastAsia="Arial" w:hAnsi="Arial"/>
          <w:sz w:val="17"/>
          <w:szCs w:val="17"/>
          <w:color w:val="auto"/>
        </w:rPr>
        <w:t xml:space="preserve">Solely for convenience, the trademarks, service marks, and trade names referred to in this prospectus are used without the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21" w:name="page22"/>
    <w:bookmarkEnd w:id="21"/>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3970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115" cy="3970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5760" w:type="dxa"/>
            <w:vAlign w:val="bottom"/>
          </w:tcPr>
          <w:p>
            <w:pPr>
              <w:ind w:left="160"/>
              <w:spacing w:after="0"/>
              <w:rPr>
                <w:sz w:val="20"/>
                <w:szCs w:val="20"/>
                <w:color w:val="auto"/>
              </w:rPr>
            </w:pPr>
            <w:r>
              <w:rPr>
                <w:rFonts w:ascii="Arial" w:cs="Arial" w:eastAsia="Arial" w:hAnsi="Arial"/>
                <w:sz w:val="17"/>
                <w:szCs w:val="17"/>
                <w:b w:val="1"/>
                <w:bCs w:val="1"/>
                <w:color w:val="auto"/>
              </w:rPr>
              <w:t>The Offering</w:t>
            </w:r>
          </w:p>
        </w:tc>
        <w:tc>
          <w:tcPr>
            <w:tcW w:w="0" w:type="dxa"/>
            <w:vAlign w:val="bottom"/>
          </w:tcPr>
          <w:p>
            <w:pPr>
              <w:spacing w:after="0"/>
              <w:rPr>
                <w:sz w:val="1"/>
                <w:szCs w:val="1"/>
                <w:color w:val="auto"/>
              </w:rPr>
            </w:pPr>
          </w:p>
        </w:tc>
      </w:tr>
      <w:tr>
        <w:trPr>
          <w:trHeight w:val="399"/>
        </w:trPr>
        <w:tc>
          <w:tcPr>
            <w:tcW w:w="4480" w:type="dxa"/>
            <w:vAlign w:val="bottom"/>
          </w:tcPr>
          <w:p>
            <w:pPr>
              <w:spacing w:after="0"/>
              <w:rPr>
                <w:sz w:val="20"/>
                <w:szCs w:val="20"/>
                <w:color w:val="auto"/>
              </w:rPr>
            </w:pPr>
            <w:r>
              <w:rPr>
                <w:rFonts w:ascii="Arial" w:cs="Arial" w:eastAsia="Arial" w:hAnsi="Arial"/>
                <w:sz w:val="17"/>
                <w:szCs w:val="17"/>
                <w:color w:val="auto"/>
              </w:rPr>
              <w:t>Issuer</w:t>
            </w:r>
          </w:p>
        </w:tc>
        <w:tc>
          <w:tcPr>
            <w:tcW w:w="5760" w:type="dxa"/>
            <w:vAlign w:val="bottom"/>
          </w:tcPr>
          <w:p>
            <w:pPr>
              <w:ind w:left="20"/>
              <w:spacing w:after="0"/>
              <w:rPr>
                <w:sz w:val="20"/>
                <w:szCs w:val="20"/>
                <w:color w:val="auto"/>
              </w:rPr>
            </w:pPr>
            <w:r>
              <w:rPr>
                <w:rFonts w:ascii="Arial" w:cs="Arial" w:eastAsia="Arial" w:hAnsi="Arial"/>
                <w:sz w:val="17"/>
                <w:szCs w:val="17"/>
                <w:color w:val="auto"/>
              </w:rPr>
              <w:t>ZoomInfo Technologies Inc.</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7"/>
                <w:szCs w:val="17"/>
                <w:color w:val="auto"/>
              </w:rPr>
              <w:t>Class A common stock offered by the selling stockholders</w:t>
            </w:r>
          </w:p>
        </w:tc>
        <w:tc>
          <w:tcPr>
            <w:tcW w:w="5760" w:type="dxa"/>
            <w:vAlign w:val="bottom"/>
          </w:tcPr>
          <w:p>
            <w:pPr>
              <w:ind w:left="20"/>
              <w:spacing w:after="0"/>
              <w:rPr>
                <w:sz w:val="20"/>
                <w:szCs w:val="20"/>
                <w:color w:val="auto"/>
              </w:rPr>
            </w:pPr>
            <w:r>
              <w:rPr>
                <w:rFonts w:ascii="Arial" w:cs="Arial" w:eastAsia="Arial" w:hAnsi="Arial"/>
                <w:sz w:val="17"/>
                <w:szCs w:val="17"/>
                <w:color w:val="auto"/>
              </w:rPr>
              <w:t>12,500,000 shares.</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w w:val="94"/>
              </w:rPr>
              <w:t>Option to purchase additional shares of Class A common stock</w:t>
            </w:r>
          </w:p>
        </w:tc>
        <w:tc>
          <w:tcPr>
            <w:tcW w:w="5760" w:type="dxa"/>
            <w:vAlign w:val="bottom"/>
          </w:tcPr>
          <w:p>
            <w:pPr>
              <w:ind w:left="20"/>
              <w:spacing w:after="0"/>
              <w:rPr>
                <w:sz w:val="20"/>
                <w:szCs w:val="20"/>
                <w:color w:val="auto"/>
              </w:rPr>
            </w:pPr>
            <w:r>
              <w:rPr>
                <w:rFonts w:ascii="Arial" w:cs="Arial" w:eastAsia="Arial" w:hAnsi="Arial"/>
                <w:sz w:val="17"/>
                <w:szCs w:val="17"/>
                <w:color w:val="auto"/>
                <w:w w:val="95"/>
              </w:rPr>
              <w:t>The selling stockholders have granted the underwriters a 30-day option from the</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5760" w:type="dxa"/>
            <w:vAlign w:val="bottom"/>
          </w:tcPr>
          <w:p>
            <w:pPr>
              <w:ind w:left="20"/>
              <w:spacing w:after="0" w:line="167" w:lineRule="exact"/>
              <w:rPr>
                <w:sz w:val="20"/>
                <w:szCs w:val="20"/>
                <w:color w:val="auto"/>
              </w:rPr>
            </w:pPr>
            <w:r>
              <w:rPr>
                <w:rFonts w:ascii="Arial" w:cs="Arial" w:eastAsia="Arial" w:hAnsi="Arial"/>
                <w:sz w:val="17"/>
                <w:szCs w:val="17"/>
                <w:color w:val="auto"/>
                <w:w w:val="90"/>
              </w:rPr>
              <w:t>date of this prospectus to purchase up to 1,875,000 additional shares of our Class A</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5760" w:type="dxa"/>
            <w:vAlign w:val="bottom"/>
          </w:tcPr>
          <w:p>
            <w:pPr>
              <w:ind w:left="20"/>
              <w:spacing w:after="0" w:line="167" w:lineRule="exact"/>
              <w:rPr>
                <w:sz w:val="20"/>
                <w:szCs w:val="20"/>
                <w:color w:val="auto"/>
              </w:rPr>
            </w:pPr>
            <w:r>
              <w:rPr>
                <w:rFonts w:ascii="Arial" w:cs="Arial" w:eastAsia="Arial" w:hAnsi="Arial"/>
                <w:sz w:val="17"/>
                <w:szCs w:val="17"/>
                <w:color w:val="auto"/>
                <w:w w:val="93"/>
              </w:rPr>
              <w:t>common stock at the public offering price, less the underwriting discount, solely to</w:t>
            </w: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Arial" w:cs="Arial" w:eastAsia="Arial" w:hAnsi="Arial"/>
                <w:sz w:val="17"/>
                <w:szCs w:val="17"/>
                <w:color w:val="auto"/>
              </w:rPr>
              <w:t>cover over-allotments, if any.</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w w:val="99"/>
              </w:rPr>
              <w:t>Class A common stock outstanding after giving effect to this</w:t>
            </w:r>
          </w:p>
        </w:tc>
        <w:tc>
          <w:tcPr>
            <w:tcW w:w="5760" w:type="dxa"/>
            <w:vAlign w:val="bottom"/>
          </w:tcPr>
          <w:p>
            <w:pPr>
              <w:ind w:left="20"/>
              <w:spacing w:after="0"/>
              <w:rPr>
                <w:sz w:val="20"/>
                <w:szCs w:val="20"/>
                <w:color w:val="auto"/>
              </w:rPr>
            </w:pPr>
            <w:r>
              <w:rPr>
                <w:rFonts w:ascii="Arial" w:cs="Arial" w:eastAsia="Arial" w:hAnsi="Arial"/>
                <w:sz w:val="17"/>
                <w:szCs w:val="17"/>
                <w:color w:val="auto"/>
                <w:w w:val="95"/>
              </w:rPr>
              <w:t>81,740,501 shares (or 83,615,501 shares if the underwriters exercise in full their</w:t>
            </w:r>
          </w:p>
        </w:tc>
        <w:tc>
          <w:tcPr>
            <w:tcW w:w="0" w:type="dxa"/>
            <w:vAlign w:val="bottom"/>
          </w:tcPr>
          <w:p>
            <w:pPr>
              <w:spacing w:after="0"/>
              <w:rPr>
                <w:sz w:val="1"/>
                <w:szCs w:val="1"/>
                <w:color w:val="auto"/>
              </w:rPr>
            </w:pPr>
          </w:p>
        </w:tc>
      </w:tr>
      <w:tr>
        <w:trPr>
          <w:trHeight w:val="217"/>
        </w:trPr>
        <w:tc>
          <w:tcPr>
            <w:tcW w:w="4480" w:type="dxa"/>
            <w:vAlign w:val="bottom"/>
          </w:tcPr>
          <w:p>
            <w:pPr>
              <w:ind w:left="300"/>
              <w:spacing w:after="0"/>
              <w:rPr>
                <w:sz w:val="20"/>
                <w:szCs w:val="20"/>
                <w:color w:val="auto"/>
              </w:rPr>
            </w:pPr>
            <w:r>
              <w:rPr>
                <w:rFonts w:ascii="Arial" w:cs="Arial" w:eastAsia="Arial" w:hAnsi="Arial"/>
                <w:sz w:val="17"/>
                <w:szCs w:val="17"/>
                <w:color w:val="auto"/>
              </w:rPr>
              <w:t>offering</w:t>
            </w:r>
          </w:p>
        </w:tc>
        <w:tc>
          <w:tcPr>
            <w:tcW w:w="5760" w:type="dxa"/>
            <w:vAlign w:val="bottom"/>
          </w:tcPr>
          <w:p>
            <w:pPr>
              <w:ind w:left="20"/>
              <w:spacing w:after="0"/>
              <w:rPr>
                <w:sz w:val="20"/>
                <w:szCs w:val="20"/>
                <w:color w:val="auto"/>
              </w:rPr>
            </w:pPr>
            <w:r>
              <w:rPr>
                <w:rFonts w:ascii="Arial" w:cs="Arial" w:eastAsia="Arial" w:hAnsi="Arial"/>
                <w:sz w:val="17"/>
                <w:szCs w:val="17"/>
                <w:color w:val="auto"/>
              </w:rPr>
              <w:t>option to purchase additional shares of Class A common stock).</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Arial" w:cs="Arial" w:eastAsia="Arial" w:hAnsi="Arial"/>
                <w:sz w:val="17"/>
                <w:szCs w:val="17"/>
                <w:color w:val="auto"/>
                <w:w w:val="94"/>
              </w:rPr>
              <w:t>Class A common stock outstanding after this offering assuming</w:t>
            </w:r>
          </w:p>
        </w:tc>
        <w:tc>
          <w:tcPr>
            <w:tcW w:w="5760" w:type="dxa"/>
            <w:vAlign w:val="bottom"/>
            <w:vMerge w:val="restart"/>
          </w:tcPr>
          <w:p>
            <w:pPr>
              <w:ind w:left="20"/>
              <w:spacing w:after="0"/>
              <w:rPr>
                <w:sz w:val="20"/>
                <w:szCs w:val="20"/>
                <w:color w:val="auto"/>
              </w:rPr>
            </w:pPr>
            <w:r>
              <w:rPr>
                <w:rFonts w:ascii="Arial" w:cs="Arial" w:eastAsia="Arial" w:hAnsi="Arial"/>
                <w:sz w:val="17"/>
                <w:szCs w:val="17"/>
                <w:color w:val="auto"/>
                <w:w w:val="92"/>
              </w:rPr>
              <w:t>389,311,016 shares (which does not reflect the exchange of any Class P Unit for a</w:t>
            </w:r>
          </w:p>
        </w:tc>
        <w:tc>
          <w:tcPr>
            <w:tcW w:w="0" w:type="dxa"/>
            <w:vAlign w:val="bottom"/>
          </w:tcPr>
          <w:p>
            <w:pPr>
              <w:spacing w:after="0"/>
              <w:rPr>
                <w:sz w:val="1"/>
                <w:szCs w:val="1"/>
                <w:color w:val="auto"/>
              </w:rPr>
            </w:pPr>
          </w:p>
        </w:tc>
      </w:tr>
      <w:tr>
        <w:trPr>
          <w:trHeight w:val="181"/>
        </w:trPr>
        <w:tc>
          <w:tcPr>
            <w:tcW w:w="4480" w:type="dxa"/>
            <w:vAlign w:val="bottom"/>
          </w:tcPr>
          <w:p>
            <w:pPr>
              <w:ind w:left="300"/>
              <w:spacing w:after="0" w:line="181" w:lineRule="exact"/>
              <w:rPr>
                <w:sz w:val="20"/>
                <w:szCs w:val="20"/>
                <w:color w:val="auto"/>
              </w:rPr>
            </w:pPr>
            <w:r>
              <w:rPr>
                <w:rFonts w:ascii="Arial" w:cs="Arial" w:eastAsia="Arial" w:hAnsi="Arial"/>
                <w:sz w:val="17"/>
                <w:szCs w:val="17"/>
                <w:color w:val="auto"/>
                <w:w w:val="96"/>
              </w:rPr>
              <w:t>exchange of all OpCo Units and HoldCo Units held by the</w:t>
            </w:r>
          </w:p>
        </w:tc>
        <w:tc>
          <w:tcPr>
            <w:tcW w:w="5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300"/>
        <w:spacing w:after="0" w:line="218" w:lineRule="auto"/>
        <w:rPr>
          <w:sz w:val="20"/>
          <w:szCs w:val="20"/>
          <w:color w:val="auto"/>
        </w:rPr>
      </w:pPr>
      <w:r>
        <w:rPr>
          <w:rFonts w:ascii="Arial" w:cs="Arial" w:eastAsia="Arial" w:hAnsi="Arial"/>
          <w:sz w:val="16"/>
          <w:szCs w:val="16"/>
          <w:color w:val="auto"/>
        </w:rPr>
        <w:t>Pre-IPO OpCo Unitholders and the Pre-IPO HoldCo share of Class A common stock, and which remains unchanged if the underwriters Unitholders, respectively, and conversion of all Class C exercise in full their option to purchase additional shares of Class A common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ind w:left="300"/>
              <w:spacing w:after="0"/>
              <w:rPr>
                <w:sz w:val="20"/>
                <w:szCs w:val="20"/>
                <w:color w:val="auto"/>
              </w:rPr>
            </w:pPr>
            <w:r>
              <w:rPr>
                <w:rFonts w:ascii="Arial" w:cs="Arial" w:eastAsia="Arial" w:hAnsi="Arial"/>
                <w:sz w:val="17"/>
                <w:szCs w:val="17"/>
                <w:color w:val="auto"/>
              </w:rPr>
              <w:t>common stock</w:t>
            </w:r>
          </w:p>
        </w:tc>
        <w:tc>
          <w:tcPr>
            <w:tcW w:w="4500" w:type="dxa"/>
            <w:vAlign w:val="bottom"/>
          </w:tcPr>
          <w:p>
            <w:pPr>
              <w:ind w:left="1140"/>
              <w:spacing w:after="0"/>
              <w:rPr>
                <w:sz w:val="20"/>
                <w:szCs w:val="20"/>
                <w:color w:val="auto"/>
              </w:rPr>
            </w:pPr>
            <w:r>
              <w:rPr>
                <w:rFonts w:ascii="Arial" w:cs="Arial" w:eastAsia="Arial" w:hAnsi="Arial"/>
                <w:sz w:val="17"/>
                <w:szCs w:val="17"/>
                <w:color w:val="auto"/>
              </w:rPr>
              <w:t>stock).</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7"/>
        </w:trPr>
        <w:tc>
          <w:tcPr>
            <w:tcW w:w="7860" w:type="dxa"/>
            <w:vAlign w:val="bottom"/>
            <w:gridSpan w:val="2"/>
          </w:tcPr>
          <w:p>
            <w:pPr>
              <w:spacing w:after="0"/>
              <w:rPr>
                <w:sz w:val="20"/>
                <w:szCs w:val="20"/>
                <w:color w:val="auto"/>
              </w:rPr>
            </w:pPr>
            <w:r>
              <w:rPr>
                <w:rFonts w:ascii="Arial" w:cs="Arial" w:eastAsia="Arial" w:hAnsi="Arial"/>
                <w:sz w:val="17"/>
                <w:szCs w:val="17"/>
                <w:color w:val="auto"/>
                <w:w w:val="98"/>
              </w:rPr>
              <w:t>Voting power held by all holders of Class A common stock after 2.6% (or 2.7% if the underwriters exercise</w:t>
            </w:r>
          </w:p>
        </w:tc>
        <w:tc>
          <w:tcPr>
            <w:tcW w:w="220" w:type="dxa"/>
            <w:vAlign w:val="bottom"/>
          </w:tcPr>
          <w:p>
            <w:pPr>
              <w:spacing w:after="0"/>
              <w:rPr>
                <w:sz w:val="20"/>
                <w:szCs w:val="20"/>
                <w:color w:val="auto"/>
              </w:rPr>
            </w:pPr>
            <w:r>
              <w:rPr>
                <w:rFonts w:ascii="Arial" w:cs="Arial" w:eastAsia="Arial" w:hAnsi="Arial"/>
                <w:sz w:val="17"/>
                <w:szCs w:val="17"/>
                <w:color w:val="auto"/>
              </w:rPr>
              <w:t>in</w:t>
            </w:r>
          </w:p>
        </w:tc>
        <w:tc>
          <w:tcPr>
            <w:tcW w:w="340" w:type="dxa"/>
            <w:vAlign w:val="bottom"/>
          </w:tcPr>
          <w:p>
            <w:pPr>
              <w:ind w:left="20"/>
              <w:spacing w:after="0"/>
              <w:rPr>
                <w:sz w:val="20"/>
                <w:szCs w:val="20"/>
                <w:color w:val="auto"/>
              </w:rPr>
            </w:pPr>
            <w:r>
              <w:rPr>
                <w:rFonts w:ascii="Arial" w:cs="Arial" w:eastAsia="Arial" w:hAnsi="Arial"/>
                <w:sz w:val="17"/>
                <w:szCs w:val="17"/>
                <w:color w:val="auto"/>
              </w:rPr>
              <w:t>full</w:t>
            </w:r>
          </w:p>
        </w:tc>
        <w:tc>
          <w:tcPr>
            <w:tcW w:w="400" w:type="dxa"/>
            <w:vAlign w:val="bottom"/>
          </w:tcPr>
          <w:p>
            <w:pPr>
              <w:ind w:left="20"/>
              <w:spacing w:after="0"/>
              <w:rPr>
                <w:sz w:val="20"/>
                <w:szCs w:val="20"/>
                <w:color w:val="auto"/>
              </w:rPr>
            </w:pPr>
            <w:r>
              <w:rPr>
                <w:rFonts w:ascii="Arial" w:cs="Arial" w:eastAsia="Arial" w:hAnsi="Arial"/>
                <w:sz w:val="17"/>
                <w:szCs w:val="17"/>
                <w:color w:val="auto"/>
              </w:rPr>
              <w:t>their</w:t>
            </w:r>
          </w:p>
        </w:tc>
        <w:tc>
          <w:tcPr>
            <w:tcW w:w="540" w:type="dxa"/>
            <w:vAlign w:val="bottom"/>
          </w:tcPr>
          <w:p>
            <w:pPr>
              <w:ind w:left="20"/>
              <w:spacing w:after="0"/>
              <w:rPr>
                <w:sz w:val="20"/>
                <w:szCs w:val="20"/>
                <w:color w:val="auto"/>
              </w:rPr>
            </w:pPr>
            <w:r>
              <w:rPr>
                <w:rFonts w:ascii="Arial" w:cs="Arial" w:eastAsia="Arial" w:hAnsi="Arial"/>
                <w:sz w:val="17"/>
                <w:szCs w:val="17"/>
                <w:color w:val="auto"/>
              </w:rPr>
              <w:t>option</w:t>
            </w:r>
          </w:p>
        </w:tc>
        <w:tc>
          <w:tcPr>
            <w:tcW w:w="220" w:type="dxa"/>
            <w:vAlign w:val="bottom"/>
          </w:tcPr>
          <w:p>
            <w:pPr>
              <w:ind w:left="20"/>
              <w:spacing w:after="0"/>
              <w:rPr>
                <w:sz w:val="20"/>
                <w:szCs w:val="20"/>
                <w:color w:val="auto"/>
              </w:rPr>
            </w:pPr>
            <w:r>
              <w:rPr>
                <w:rFonts w:ascii="Arial" w:cs="Arial" w:eastAsia="Arial" w:hAnsi="Arial"/>
                <w:sz w:val="17"/>
                <w:szCs w:val="17"/>
                <w:color w:val="auto"/>
              </w:rPr>
              <w:t>to</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purchase</w:t>
            </w:r>
          </w:p>
        </w:tc>
      </w:tr>
      <w:tr>
        <w:trPr>
          <w:trHeight w:val="217"/>
        </w:trPr>
        <w:tc>
          <w:tcPr>
            <w:tcW w:w="3360" w:type="dxa"/>
            <w:vAlign w:val="bottom"/>
          </w:tcPr>
          <w:p>
            <w:pPr>
              <w:ind w:left="300"/>
              <w:spacing w:after="0"/>
              <w:rPr>
                <w:sz w:val="20"/>
                <w:szCs w:val="20"/>
                <w:color w:val="auto"/>
              </w:rPr>
            </w:pPr>
            <w:r>
              <w:rPr>
                <w:rFonts w:ascii="Arial" w:cs="Arial" w:eastAsia="Arial" w:hAnsi="Arial"/>
                <w:sz w:val="17"/>
                <w:szCs w:val="17"/>
                <w:color w:val="auto"/>
              </w:rPr>
              <w:t>giving effect to this offering</w:t>
            </w:r>
          </w:p>
        </w:tc>
        <w:tc>
          <w:tcPr>
            <w:tcW w:w="4500" w:type="dxa"/>
            <w:vAlign w:val="bottom"/>
          </w:tcPr>
          <w:p>
            <w:pPr>
              <w:ind w:left="1140"/>
              <w:spacing w:after="0"/>
              <w:rPr>
                <w:sz w:val="20"/>
                <w:szCs w:val="20"/>
                <w:color w:val="auto"/>
              </w:rPr>
            </w:pPr>
            <w:r>
              <w:rPr>
                <w:rFonts w:ascii="Arial" w:cs="Arial" w:eastAsia="Arial" w:hAnsi="Arial"/>
                <w:sz w:val="17"/>
                <w:szCs w:val="17"/>
                <w:color w:val="auto"/>
                <w:w w:val="99"/>
              </w:rPr>
              <w:t>additional shares of Class A common stock).</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7"/>
                <w:szCs w:val="17"/>
                <w:color w:val="auto"/>
                <w:w w:val="97"/>
              </w:rPr>
              <w:t>Voting power held by our pre-IPO owners after giving effect to 97.4% (or 97.3% if the underwriters exercise</w:t>
            </w:r>
          </w:p>
        </w:tc>
        <w:tc>
          <w:tcPr>
            <w:tcW w:w="220" w:type="dxa"/>
            <w:vAlign w:val="bottom"/>
          </w:tcPr>
          <w:p>
            <w:pPr>
              <w:ind w:left="80"/>
              <w:spacing w:after="0"/>
              <w:rPr>
                <w:sz w:val="20"/>
                <w:szCs w:val="20"/>
                <w:color w:val="auto"/>
              </w:rPr>
            </w:pPr>
            <w:r>
              <w:rPr>
                <w:rFonts w:ascii="Arial" w:cs="Arial" w:eastAsia="Arial" w:hAnsi="Arial"/>
                <w:sz w:val="17"/>
                <w:szCs w:val="17"/>
                <w:color w:val="auto"/>
                <w:w w:val="90"/>
              </w:rPr>
              <w:t>in</w:t>
            </w:r>
          </w:p>
        </w:tc>
        <w:tc>
          <w:tcPr>
            <w:tcW w:w="340" w:type="dxa"/>
            <w:vAlign w:val="bottom"/>
          </w:tcPr>
          <w:p>
            <w:pPr>
              <w:ind w:left="80"/>
              <w:spacing w:after="0"/>
              <w:rPr>
                <w:sz w:val="20"/>
                <w:szCs w:val="20"/>
                <w:color w:val="auto"/>
              </w:rPr>
            </w:pPr>
            <w:r>
              <w:rPr>
                <w:rFonts w:ascii="Arial" w:cs="Arial" w:eastAsia="Arial" w:hAnsi="Arial"/>
                <w:sz w:val="17"/>
                <w:szCs w:val="17"/>
                <w:color w:val="auto"/>
              </w:rPr>
              <w:t>full</w:t>
            </w:r>
          </w:p>
        </w:tc>
        <w:tc>
          <w:tcPr>
            <w:tcW w:w="400" w:type="dxa"/>
            <w:vAlign w:val="bottom"/>
          </w:tcPr>
          <w:p>
            <w:pPr>
              <w:ind w:left="60"/>
              <w:spacing w:after="0"/>
              <w:rPr>
                <w:sz w:val="20"/>
                <w:szCs w:val="20"/>
                <w:color w:val="auto"/>
              </w:rPr>
            </w:pPr>
            <w:r>
              <w:rPr>
                <w:rFonts w:ascii="Arial" w:cs="Arial" w:eastAsia="Arial" w:hAnsi="Arial"/>
                <w:sz w:val="17"/>
                <w:szCs w:val="17"/>
                <w:color w:val="auto"/>
                <w:w w:val="96"/>
              </w:rPr>
              <w:t>their</w:t>
            </w:r>
          </w:p>
        </w:tc>
        <w:tc>
          <w:tcPr>
            <w:tcW w:w="540" w:type="dxa"/>
            <w:vAlign w:val="bottom"/>
          </w:tcPr>
          <w:p>
            <w:pPr>
              <w:ind w:left="60"/>
              <w:spacing w:after="0"/>
              <w:rPr>
                <w:sz w:val="20"/>
                <w:szCs w:val="20"/>
                <w:color w:val="auto"/>
              </w:rPr>
            </w:pPr>
            <w:r>
              <w:rPr>
                <w:rFonts w:ascii="Arial" w:cs="Arial" w:eastAsia="Arial" w:hAnsi="Arial"/>
                <w:sz w:val="17"/>
                <w:szCs w:val="17"/>
                <w:color w:val="auto"/>
                <w:w w:val="99"/>
              </w:rPr>
              <w:t>option</w:t>
            </w:r>
          </w:p>
        </w:tc>
        <w:tc>
          <w:tcPr>
            <w:tcW w:w="220" w:type="dxa"/>
            <w:vAlign w:val="bottom"/>
          </w:tcPr>
          <w:p>
            <w:pPr>
              <w:ind w:left="40"/>
              <w:spacing w:after="0"/>
              <w:rPr>
                <w:sz w:val="20"/>
                <w:szCs w:val="20"/>
                <w:color w:val="auto"/>
              </w:rPr>
            </w:pPr>
            <w:r>
              <w:rPr>
                <w:rFonts w:ascii="Arial" w:cs="Arial" w:eastAsia="Arial" w:hAnsi="Arial"/>
                <w:sz w:val="17"/>
                <w:szCs w:val="17"/>
                <w:color w:val="auto"/>
              </w:rPr>
              <w:t>to</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purchase</w:t>
            </w:r>
          </w:p>
        </w:tc>
      </w:tr>
      <w:tr>
        <w:trPr>
          <w:trHeight w:val="217"/>
        </w:trPr>
        <w:tc>
          <w:tcPr>
            <w:tcW w:w="3360" w:type="dxa"/>
            <w:vAlign w:val="bottom"/>
          </w:tcPr>
          <w:p>
            <w:pPr>
              <w:ind w:left="300"/>
              <w:spacing w:after="0"/>
              <w:rPr>
                <w:sz w:val="20"/>
                <w:szCs w:val="20"/>
                <w:color w:val="auto"/>
              </w:rPr>
            </w:pPr>
            <w:r>
              <w:rPr>
                <w:rFonts w:ascii="Arial" w:cs="Arial" w:eastAsia="Arial" w:hAnsi="Arial"/>
                <w:sz w:val="17"/>
                <w:szCs w:val="17"/>
                <w:color w:val="auto"/>
              </w:rPr>
              <w:t>this offering</w:t>
            </w:r>
          </w:p>
        </w:tc>
        <w:tc>
          <w:tcPr>
            <w:tcW w:w="4500" w:type="dxa"/>
            <w:vAlign w:val="bottom"/>
          </w:tcPr>
          <w:p>
            <w:pPr>
              <w:ind w:left="1140"/>
              <w:spacing w:after="0"/>
              <w:rPr>
                <w:sz w:val="20"/>
                <w:szCs w:val="20"/>
                <w:color w:val="auto"/>
              </w:rPr>
            </w:pPr>
            <w:r>
              <w:rPr>
                <w:rFonts w:ascii="Arial" w:cs="Arial" w:eastAsia="Arial" w:hAnsi="Arial"/>
                <w:sz w:val="17"/>
                <w:szCs w:val="17"/>
                <w:color w:val="auto"/>
                <w:w w:val="99"/>
              </w:rPr>
              <w:t>additional shares of Class A common stock).</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1"/>
        </w:trPr>
        <w:tc>
          <w:tcPr>
            <w:tcW w:w="3360" w:type="dxa"/>
            <w:vAlign w:val="bottom"/>
          </w:tcPr>
          <w:p>
            <w:pPr>
              <w:spacing w:after="0"/>
              <w:rPr>
                <w:sz w:val="20"/>
                <w:szCs w:val="20"/>
                <w:color w:val="auto"/>
              </w:rPr>
            </w:pPr>
            <w:r>
              <w:rPr>
                <w:rFonts w:ascii="Arial" w:cs="Arial" w:eastAsia="Arial" w:hAnsi="Arial"/>
                <w:sz w:val="17"/>
                <w:szCs w:val="17"/>
                <w:color w:val="auto"/>
              </w:rPr>
              <w:t>Use of proceeds</w:t>
            </w:r>
          </w:p>
        </w:tc>
        <w:tc>
          <w:tcPr>
            <w:tcW w:w="6880" w:type="dxa"/>
            <w:vAlign w:val="bottom"/>
            <w:gridSpan w:val="7"/>
          </w:tcPr>
          <w:p>
            <w:pPr>
              <w:ind w:left="1140"/>
              <w:spacing w:after="0"/>
              <w:rPr>
                <w:sz w:val="20"/>
                <w:szCs w:val="20"/>
                <w:color w:val="auto"/>
              </w:rPr>
            </w:pPr>
            <w:r>
              <w:rPr>
                <w:rFonts w:ascii="Arial" w:cs="Arial" w:eastAsia="Arial" w:hAnsi="Arial"/>
                <w:sz w:val="17"/>
                <w:szCs w:val="17"/>
                <w:color w:val="auto"/>
                <w:w w:val="92"/>
              </w:rPr>
              <w:t>The selling stockholders will receive all of the net proceeds from the sale of shares</w:t>
            </w:r>
          </w:p>
        </w:tc>
      </w:tr>
      <w:tr>
        <w:trPr>
          <w:trHeight w:val="167"/>
        </w:trPr>
        <w:tc>
          <w:tcPr>
            <w:tcW w:w="3360" w:type="dxa"/>
            <w:vAlign w:val="bottom"/>
          </w:tcPr>
          <w:p>
            <w:pPr>
              <w:spacing w:after="0"/>
              <w:rPr>
                <w:sz w:val="14"/>
                <w:szCs w:val="14"/>
                <w:color w:val="auto"/>
              </w:rPr>
            </w:pPr>
          </w:p>
        </w:tc>
        <w:tc>
          <w:tcPr>
            <w:tcW w:w="6880" w:type="dxa"/>
            <w:vAlign w:val="bottom"/>
            <w:gridSpan w:val="7"/>
          </w:tcPr>
          <w:p>
            <w:pPr>
              <w:ind w:left="1140"/>
              <w:spacing w:after="0" w:line="167" w:lineRule="exact"/>
              <w:rPr>
                <w:sz w:val="20"/>
                <w:szCs w:val="20"/>
                <w:color w:val="auto"/>
              </w:rPr>
            </w:pPr>
            <w:r>
              <w:rPr>
                <w:rFonts w:ascii="Arial" w:cs="Arial" w:eastAsia="Arial" w:hAnsi="Arial"/>
                <w:sz w:val="17"/>
                <w:szCs w:val="17"/>
                <w:color w:val="auto"/>
                <w:w w:val="95"/>
              </w:rPr>
              <w:t>of Class A common stock in this offering. We will not receive any proceeds from</w:t>
            </w:r>
          </w:p>
        </w:tc>
      </w:tr>
      <w:tr>
        <w:trPr>
          <w:trHeight w:val="167"/>
        </w:trPr>
        <w:tc>
          <w:tcPr>
            <w:tcW w:w="3360" w:type="dxa"/>
            <w:vAlign w:val="bottom"/>
          </w:tcPr>
          <w:p>
            <w:pPr>
              <w:spacing w:after="0"/>
              <w:rPr>
                <w:sz w:val="14"/>
                <w:szCs w:val="14"/>
                <w:color w:val="auto"/>
              </w:rPr>
            </w:pPr>
          </w:p>
        </w:tc>
        <w:tc>
          <w:tcPr>
            <w:tcW w:w="6880" w:type="dxa"/>
            <w:vAlign w:val="bottom"/>
            <w:gridSpan w:val="7"/>
          </w:tcPr>
          <w:p>
            <w:pPr>
              <w:ind w:left="1140"/>
              <w:spacing w:after="0" w:line="167" w:lineRule="exact"/>
              <w:rPr>
                <w:sz w:val="20"/>
                <w:szCs w:val="20"/>
                <w:color w:val="auto"/>
              </w:rPr>
            </w:pPr>
            <w:r>
              <w:rPr>
                <w:rFonts w:ascii="Arial" w:cs="Arial" w:eastAsia="Arial" w:hAnsi="Arial"/>
                <w:sz w:val="17"/>
                <w:szCs w:val="17"/>
                <w:color w:val="auto"/>
                <w:w w:val="95"/>
              </w:rPr>
              <w:t>the sale of shares of Class A common stock by the selling stockholders or if the</w:t>
            </w:r>
          </w:p>
        </w:tc>
      </w:tr>
      <w:tr>
        <w:trPr>
          <w:trHeight w:val="181"/>
        </w:trPr>
        <w:tc>
          <w:tcPr>
            <w:tcW w:w="3360" w:type="dxa"/>
            <w:vAlign w:val="bottom"/>
          </w:tcPr>
          <w:p>
            <w:pPr>
              <w:spacing w:after="0"/>
              <w:rPr>
                <w:sz w:val="15"/>
                <w:szCs w:val="15"/>
                <w:color w:val="auto"/>
              </w:rPr>
            </w:pPr>
          </w:p>
        </w:tc>
        <w:tc>
          <w:tcPr>
            <w:tcW w:w="5460" w:type="dxa"/>
            <w:vAlign w:val="bottom"/>
            <w:gridSpan w:val="4"/>
          </w:tcPr>
          <w:p>
            <w:pPr>
              <w:ind w:left="1140"/>
              <w:spacing w:after="0" w:line="181" w:lineRule="exact"/>
              <w:rPr>
                <w:sz w:val="20"/>
                <w:szCs w:val="20"/>
                <w:color w:val="auto"/>
              </w:rPr>
            </w:pPr>
            <w:r>
              <w:rPr>
                <w:rFonts w:ascii="Arial" w:cs="Arial" w:eastAsia="Arial" w:hAnsi="Arial"/>
                <w:sz w:val="17"/>
                <w:szCs w:val="17"/>
                <w:color w:val="auto"/>
              </w:rPr>
              <w:t>underwriters exercise their option to purchase additional</w:t>
            </w:r>
          </w:p>
        </w:tc>
        <w:tc>
          <w:tcPr>
            <w:tcW w:w="1420" w:type="dxa"/>
            <w:vAlign w:val="bottom"/>
            <w:gridSpan w:val="3"/>
          </w:tcPr>
          <w:p>
            <w:pPr>
              <w:jc w:val="right"/>
              <w:spacing w:after="0" w:line="181" w:lineRule="exact"/>
              <w:rPr>
                <w:sz w:val="20"/>
                <w:szCs w:val="20"/>
                <w:color w:val="auto"/>
              </w:rPr>
            </w:pPr>
            <w:r>
              <w:rPr>
                <w:rFonts w:ascii="Arial" w:cs="Arial" w:eastAsia="Arial" w:hAnsi="Arial"/>
                <w:sz w:val="17"/>
                <w:szCs w:val="17"/>
                <w:color w:val="auto"/>
                <w:w w:val="98"/>
              </w:rPr>
              <w:t>shares. The selling</w:t>
            </w:r>
          </w:p>
        </w:tc>
      </w:tr>
    </w:tbl>
    <w:p>
      <w:pPr>
        <w:jc w:val="both"/>
        <w:ind w:left="4500"/>
        <w:spacing w:after="0" w:line="220" w:lineRule="auto"/>
        <w:rPr>
          <w:sz w:val="20"/>
          <w:szCs w:val="20"/>
          <w:color w:val="auto"/>
        </w:rPr>
      </w:pPr>
      <w:r>
        <w:rPr>
          <w:rFonts w:ascii="Arial" w:cs="Arial" w:eastAsia="Arial" w:hAnsi="Arial"/>
          <w:sz w:val="17"/>
          <w:szCs w:val="17"/>
          <w:color w:val="auto"/>
        </w:rPr>
        <w:t>stockholders will bear the underwriting discount attributable to their sale of our Class A common stock, and we will bear the remaining expenses. See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423545</wp:posOffset>
            </wp:positionV>
            <wp:extent cx="713867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22" w:name="page23"/>
    <w:bookmarkEnd w:id="22"/>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Voting rights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Each share of our Class A common stock entitles its holder to one vote on all matters to be voted on by stockholders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-466090</wp:posOffset>
            </wp:positionV>
            <wp:extent cx="7143115" cy="4673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3115" cy="467360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3780" w:space="720"/>
            <w:col w:w="5740"/>
          </w:cols>
          <w:pgMar w:left="820" w:top="1440" w:right="839" w:bottom="1440" w:gutter="0" w:footer="0" w:header="0"/>
        </w:sectPr>
      </w:pPr>
    </w:p>
    <w:p>
      <w:pPr>
        <w:jc w:val="both"/>
        <w:ind w:left="4500"/>
        <w:spacing w:after="0" w:line="237" w:lineRule="auto"/>
        <w:rPr>
          <w:sz w:val="20"/>
          <w:szCs w:val="20"/>
          <w:color w:val="auto"/>
        </w:rPr>
      </w:pPr>
      <w:r>
        <w:rPr>
          <w:rFonts w:ascii="Arial" w:cs="Arial" w:eastAsia="Arial" w:hAnsi="Arial"/>
          <w:sz w:val="15"/>
          <w:szCs w:val="15"/>
          <w:color w:val="auto"/>
        </w:rPr>
        <w:t>The Pre-IPO OpCo Unitholders and the Pre-IPO HoldCo Unitholders hold all of the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08" w:lineRule="exact"/>
        <w:rPr>
          <w:sz w:val="20"/>
          <w:szCs w:val="20"/>
          <w:color w:val="auto"/>
        </w:rPr>
      </w:pPr>
    </w:p>
    <w:p>
      <w:pPr>
        <w:jc w:val="both"/>
        <w:ind w:left="4500"/>
        <w:spacing w:after="0" w:line="234" w:lineRule="auto"/>
        <w:rPr>
          <w:sz w:val="20"/>
          <w:szCs w:val="20"/>
          <w:color w:val="auto"/>
        </w:rPr>
      </w:pPr>
      <w:r>
        <w:rPr>
          <w:rFonts w:ascii="Arial" w:cs="Arial" w:eastAsia="Arial" w:hAnsi="Arial"/>
          <w:sz w:val="16"/>
          <w:szCs w:val="16"/>
          <w:color w:val="auto"/>
        </w:rPr>
        <w:t>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ectPr>
          <w:pgSz w:w="11900" w:h="16838" w:orient="portrait"/>
          <w:cols w:equalWidth="0" w:num="1">
            <w:col w:w="10240"/>
          </w:cols>
          <w:pgMar w:left="820" w:top="1440" w:right="8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We have no current plans to pay dividends on our Class A common stock or Class C common stock. The declaration, amount, and payment of any future dividends will be at the sole discretion of our board of directors. Our board of directors may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ZoomInfo HoldCo and ZoomInfo OpCo) to us, and such other factors as our board of directors may deem relevant. Holders of our Class B common stock do not have any right to receive dividends, or to receive a distribution upon a liquidation, dissolution, or winding up of ZoomInfo Technologies Inc., with respect to their Class B common stock.</w:t>
      </w:r>
    </w:p>
    <w:p>
      <w:pPr>
        <w:spacing w:after="0" w:line="200" w:lineRule="exact"/>
        <w:rPr>
          <w:sz w:val="20"/>
          <w:szCs w:val="20"/>
          <w:color w:val="auto"/>
        </w:rPr>
      </w:pPr>
    </w:p>
    <w:p>
      <w:pPr>
        <w:sectPr>
          <w:pgSz w:w="11900" w:h="16838" w:orient="portrait"/>
          <w:cols w:equalWidth="0" w:num="2">
            <w:col w:w="3780" w:space="720"/>
            <w:col w:w="5740"/>
          </w:cols>
          <w:pgMar w:left="820" w:top="1440"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445135</wp:posOffset>
            </wp:positionV>
            <wp:extent cx="71386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type w:val="continuous"/>
        </w:sectPr>
      </w:pPr>
    </w:p>
    <w:bookmarkStart w:id="23" w:name="page24"/>
    <w:bookmarkEnd w:id="23"/>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8102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115" cy="5810250"/>
                    </a:xfrm>
                    <a:prstGeom prst="rect">
                      <a:avLst/>
                    </a:prstGeom>
                    <a:noFill/>
                  </pic:spPr>
                </pic:pic>
              </a:graphicData>
            </a:graphic>
          </wp:anchor>
        </w:drawing>
      </w:r>
    </w:p>
    <w:p>
      <w:pPr>
        <w:jc w:val="both"/>
        <w:ind w:left="4500"/>
        <w:spacing w:after="0" w:line="221" w:lineRule="auto"/>
        <w:rPr>
          <w:sz w:val="20"/>
          <w:szCs w:val="20"/>
          <w:color w:val="auto"/>
        </w:rPr>
      </w:pPr>
      <w:r>
        <w:rPr>
          <w:rFonts w:ascii="Arial" w:cs="Arial" w:eastAsia="Arial" w:hAnsi="Arial"/>
          <w:sz w:val="16"/>
          <w:szCs w:val="16"/>
          <w:color w:val="auto"/>
        </w:rPr>
        <w:t>ZoomInfo Technologies Inc. is a holding company and has no material assets other than a controlling equity interest in ZoomInfo HoldCo, which is a holding company and has no material assets other than a controlling equity interest in ZoomInfo OpCo. The limited liability company agreement of ZoomInfo OpCo provides that certain distributions to cover the taxes of the ZoomInfo Tax Group and the other holders of OpCo Units and Class P Units will be made based upon assumed tax rates and other assumptions provided in such limited liability company agreement.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entered into the tax sharing agreement, pursuant to which ZoomInfo HoldCo will be required to make certain payments to us to enable us to pay taxes of the ZoomInfo Tax Group and to meet our obligations under the tax receivable agreements.</w:t>
      </w:r>
    </w:p>
    <w:p>
      <w:pPr>
        <w:spacing w:after="0" w:line="217" w:lineRule="exact"/>
        <w:rPr>
          <w:sz w:val="20"/>
          <w:szCs w:val="20"/>
          <w:color w:val="auto"/>
        </w:rPr>
      </w:pPr>
    </w:p>
    <w:p>
      <w:pPr>
        <w:jc w:val="both"/>
        <w:ind w:left="4500"/>
        <w:spacing w:after="0" w:line="221" w:lineRule="auto"/>
        <w:rPr>
          <w:sz w:val="20"/>
          <w:szCs w:val="20"/>
          <w:color w:val="auto"/>
        </w:rPr>
      </w:pPr>
      <w:r>
        <w:rPr>
          <w:rFonts w:ascii="Arial" w:cs="Arial" w:eastAsia="Arial" w:hAnsi="Arial"/>
          <w:sz w:val="16"/>
          <w:szCs w:val="16"/>
          <w:color w:val="auto"/>
        </w:rPr>
        <w:t>We anticipate that cash received by ZoomInfo HoldCo may, in certain periods, exceed ZoomInfo Technologies Inc.’s obligations to pay its liabilities and make payments under the tax receivable agreements. We expect that ZoomInfo HoldCo will use any such excess cash from time to time: to acquire additional newly issued OpCo Units from ZoomInfo OpCo at a per unit price determined by reference to the market value of our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HoldCo Units or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“Dividend Policy.”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Exchange rights of holders of OpCo Units, Class P Units, LTIP We amended and restated the limited liability company agreement of ZoomInfo</w:t>
      </w:r>
    </w:p>
    <w:p>
      <w:pPr>
        <w:jc w:val="both"/>
        <w:ind w:left="4500" w:hanging="4184"/>
        <w:spacing w:after="0" w:line="241" w:lineRule="auto"/>
        <w:tabs>
          <w:tab w:leader="none" w:pos="4480" w:val="left"/>
        </w:tabs>
        <w:rPr>
          <w:sz w:val="20"/>
          <w:szCs w:val="20"/>
          <w:color w:val="auto"/>
        </w:rPr>
      </w:pPr>
      <w:r>
        <w:rPr>
          <w:rFonts w:ascii="Arial" w:cs="Arial" w:eastAsia="Arial" w:hAnsi="Arial"/>
          <w:sz w:val="17"/>
          <w:szCs w:val="17"/>
          <w:color w:val="auto"/>
        </w:rPr>
        <w:t>Units, and HoldCo Units</w:t>
      </w:r>
      <w:r>
        <w:rPr>
          <w:sz w:val="20"/>
          <w:szCs w:val="20"/>
          <w:color w:val="auto"/>
        </w:rPr>
        <w:tab/>
      </w:r>
      <w:r>
        <w:rPr>
          <w:rFonts w:ascii="Arial" w:cs="Arial" w:eastAsia="Arial" w:hAnsi="Arial"/>
          <w:sz w:val="15"/>
          <w:szCs w:val="15"/>
          <w:color w:val="auto"/>
        </w:rPr>
        <w:t>OpCo in connection with the Reorganization Transaction so that the Pre-IPO OpCo Unitholders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423545</wp:posOffset>
            </wp:positionV>
            <wp:extent cx="71386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24" w:name="page25"/>
    <w:bookmarkEnd w:id="24"/>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597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3115" cy="5597525"/>
                    </a:xfrm>
                    <a:prstGeom prst="rect">
                      <a:avLst/>
                    </a:prstGeom>
                    <a:noFill/>
                  </pic:spPr>
                </pic:pic>
              </a:graphicData>
            </a:graphic>
          </wp:anchor>
        </w:drawing>
      </w:r>
    </w:p>
    <w:p>
      <w:pPr>
        <w:jc w:val="both"/>
        <w:ind w:left="4500"/>
        <w:spacing w:after="0" w:line="221" w:lineRule="auto"/>
        <w:rPr>
          <w:sz w:val="20"/>
          <w:szCs w:val="20"/>
          <w:color w:val="auto"/>
        </w:rPr>
      </w:pPr>
      <w:r>
        <w:rPr>
          <w:rFonts w:ascii="Arial" w:cs="Arial" w:eastAsia="Arial" w:hAnsi="Arial"/>
          <w:sz w:val="16"/>
          <w:szCs w:val="16"/>
          <w:color w:val="auto"/>
        </w:rPr>
        <w:t>Subject to certain restrictions, the holders of Class P Units have the right to exchange their vested Class P Units into a number of shares of Class A common stock that will generally be equal in value to the implied “spread value” of the corresponding Class P Units (calculated based on the excess of the public trading price of Class A common stock at the time of the exchange over the per unit strike price of such Class P Units). Holders of vested LTIP Units may similarly become eligible to convert their LTIP Units into OpCo Units which, in turn, may be exchanged on a one-for-one basis for shares of Class A common stock of ZoomInfo Technologies Inc. as described above. See “Certain Relationships and Related Person Transactions—ZoomInfo OpCo Amended and Restated Limited Liability Company Agreement.” The limited liability company agreement of ZoomInfo HoldCo provides that the Pre-IPO HoldCo Unitholders may (subject to the terms of such limited liability company agreement) exchange their HoldCo Units (together with a corresponding number of shares of Class B common stock) for shares of Class A common stock of ZoomInfo Technologies Inc. on a one-for-one basis, subject to customary conversion rate adjustments for stock splits, stock dividends, and reclassifications. See “Certain Relationships and Related Person Transactions—ZoomInfo HoldCo Amended and Restated Limited Liability Company Agreement.”</w:t>
      </w:r>
    </w:p>
    <w:p>
      <w:pPr>
        <w:sectPr>
          <w:pgSz w:w="11900" w:h="16838" w:orient="portrait"/>
          <w:cols w:equalWidth="0" w:num="1">
            <w:col w:w="10240"/>
          </w:cols>
          <w:pgMar w:left="820" w:top="1440" w:right="8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Conversion of Class C common stock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 Class C Common Stock.”</w:t>
      </w:r>
    </w:p>
    <w:p>
      <w:pPr>
        <w:spacing w:after="0" w:line="200" w:lineRule="exact"/>
        <w:rPr>
          <w:sz w:val="20"/>
          <w:szCs w:val="20"/>
          <w:color w:val="auto"/>
        </w:rPr>
      </w:pPr>
    </w:p>
    <w:p>
      <w:pPr>
        <w:sectPr>
          <w:pgSz w:w="11900" w:h="16838" w:orient="portrait"/>
          <w:cols w:equalWidth="0" w:num="2">
            <w:col w:w="3780" w:space="720"/>
            <w:col w:w="5740"/>
          </w:cols>
          <w:pgMar w:left="820" w:top="1440" w:right="8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Tax receivable agreements</w:t>
      </w:r>
    </w:p>
    <w:p>
      <w:pPr>
        <w:spacing w:after="0" w:line="20" w:lineRule="exact"/>
        <w:rPr>
          <w:sz w:val="20"/>
          <w:szCs w:val="20"/>
          <w:color w:val="auto"/>
        </w:rPr>
      </w:pPr>
      <w:r>
        <w:rPr>
          <w:sz w:val="20"/>
          <w:szCs w:val="20"/>
          <w:color w:val="auto"/>
        </w:rPr>
        <w:br w:type="column"/>
      </w:r>
    </w:p>
    <w:p>
      <w:pPr>
        <w:jc w:val="both"/>
        <w:spacing w:after="0" w:line="224" w:lineRule="auto"/>
        <w:rPr>
          <w:sz w:val="20"/>
          <w:szCs w:val="20"/>
          <w:color w:val="auto"/>
        </w:rPr>
      </w:pPr>
      <w:r>
        <w:rPr>
          <w:rFonts w:ascii="Arial" w:cs="Arial" w:eastAsia="Arial" w:hAnsi="Arial"/>
          <w:sz w:val="16"/>
          <w:szCs w:val="16"/>
          <w:color w:val="auto"/>
        </w:rPr>
        <w:t>As described below under “Certain Relationships and Related Person Transactions —Tax Receivable Agreements,”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200" w:lineRule="exact"/>
        <w:rPr>
          <w:sz w:val="20"/>
          <w:szCs w:val="20"/>
          <w:color w:val="auto"/>
        </w:rPr>
      </w:pPr>
    </w:p>
    <w:p>
      <w:pPr>
        <w:sectPr>
          <w:pgSz w:w="11900" w:h="16838" w:orient="portrait"/>
          <w:cols w:equalWidth="0" w:num="2">
            <w:col w:w="3780" w:space="720"/>
            <w:col w:w="5740"/>
          </w:cols>
          <w:pgMar w:left="820" w:top="1440"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445135</wp:posOffset>
            </wp:positionV>
            <wp:extent cx="713867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type w:val="continuous"/>
        </w:sectPr>
      </w:pPr>
    </w:p>
    <w:bookmarkStart w:id="25" w:name="page26"/>
    <w:bookmarkEnd w:id="25"/>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0883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115" cy="6088380"/>
                    </a:xfrm>
                    <a:prstGeom prst="rect">
                      <a:avLst/>
                    </a:prstGeom>
                    <a:noFill/>
                  </pic:spPr>
                </pic:pic>
              </a:graphicData>
            </a:graphic>
          </wp:anchor>
        </w:drawing>
      </w:r>
    </w:p>
    <w:p>
      <w:pPr>
        <w:jc w:val="both"/>
        <w:ind w:left="4520" w:right="20"/>
        <w:spacing w:after="0"/>
        <w:rPr>
          <w:sz w:val="20"/>
          <w:szCs w:val="20"/>
          <w:color w:val="auto"/>
        </w:rPr>
      </w:pPr>
      <w:r>
        <w:rPr>
          <w:rFonts w:ascii="Arial" w:cs="Arial" w:eastAsia="Arial" w:hAnsi="Arial"/>
          <w:sz w:val="15"/>
          <w:szCs w:val="15"/>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ectPr>
          <w:pgSz w:w="11900" w:h="16838" w:orient="portrait"/>
          <w:cols w:equalWidth="0" w:num="1">
            <w:col w:w="10280"/>
          </w:cols>
          <w:pgMar w:left="800" w:top="1440" w:right="81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See “Risk Factors” for a discussion of risks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3800" w:space="720"/>
            <w:col w:w="5760"/>
          </w:cols>
          <w:pgMar w:left="800" w:top="1440" w:right="819" w:bottom="1440" w:gutter="0" w:footer="0" w:header="0"/>
          <w:type w:val="continuous"/>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Certain U.S. federal income and estate tax consequences to non- For a discussion of certain U.S. federal income and estate tax consequences that</w:t>
      </w:r>
    </w:p>
    <w:p>
      <w:pPr>
        <w:spacing w:after="0" w:line="9" w:lineRule="exact"/>
        <w:rPr>
          <w:sz w:val="20"/>
          <w:szCs w:val="20"/>
          <w:color w:val="auto"/>
        </w:rPr>
      </w:pPr>
    </w:p>
    <w:p>
      <w:pPr>
        <w:ind w:left="4520" w:right="20" w:hanging="4184"/>
        <w:spacing w:after="0" w:line="227" w:lineRule="auto"/>
        <w:tabs>
          <w:tab w:leader="none" w:pos="4500" w:val="left"/>
        </w:tabs>
        <w:rPr>
          <w:sz w:val="20"/>
          <w:szCs w:val="20"/>
          <w:color w:val="auto"/>
        </w:rPr>
      </w:pPr>
      <w:r>
        <w:rPr>
          <w:rFonts w:ascii="Arial" w:cs="Arial" w:eastAsia="Arial" w:hAnsi="Arial"/>
          <w:sz w:val="17"/>
          <w:szCs w:val="17"/>
          <w:color w:val="auto"/>
        </w:rPr>
        <w:t>U.S. holders</w:t>
      </w:r>
      <w:r>
        <w:rPr>
          <w:sz w:val="20"/>
          <w:szCs w:val="20"/>
          <w:color w:val="auto"/>
        </w:rPr>
        <w:tab/>
      </w:r>
      <w:r>
        <w:rPr>
          <w:rFonts w:ascii="Arial" w:cs="Arial" w:eastAsia="Arial" w:hAnsi="Arial"/>
          <w:sz w:val="17"/>
          <w:szCs w:val="17"/>
          <w:color w:val="auto"/>
        </w:rPr>
        <w:t>may be relevant to non-U.S. stockholders, see “Certain U.S. Federal Income and Estate Tax Consequences to Non-U.S. Holders.”</w:t>
      </w:r>
    </w:p>
    <w:p>
      <w:pPr>
        <w:spacing w:after="0" w:line="209" w:lineRule="exact"/>
        <w:rPr>
          <w:sz w:val="20"/>
          <w:szCs w:val="20"/>
          <w:color w:val="auto"/>
        </w:rPr>
      </w:pPr>
    </w:p>
    <w:p>
      <w:pPr>
        <w:ind w:left="20"/>
        <w:spacing w:after="0"/>
        <w:tabs>
          <w:tab w:leader="none" w:pos="4500" w:val="left"/>
        </w:tabs>
        <w:rPr>
          <w:sz w:val="20"/>
          <w:szCs w:val="20"/>
          <w:color w:val="auto"/>
        </w:rPr>
      </w:pPr>
      <w:r>
        <w:rPr>
          <w:rFonts w:ascii="Arial" w:cs="Arial" w:eastAsia="Arial" w:hAnsi="Arial"/>
          <w:sz w:val="17"/>
          <w:szCs w:val="17"/>
          <w:color w:val="auto"/>
        </w:rPr>
        <w:t>Nasdaq trading symbol</w:t>
      </w:r>
      <w:r>
        <w:rPr>
          <w:sz w:val="20"/>
          <w:szCs w:val="20"/>
          <w:color w:val="auto"/>
        </w:rPr>
        <w:tab/>
      </w:r>
      <w:r>
        <w:rPr>
          <w:rFonts w:ascii="Arial" w:cs="Arial" w:eastAsia="Arial" w:hAnsi="Arial"/>
          <w:sz w:val="17"/>
          <w:szCs w:val="17"/>
          <w:color w:val="auto"/>
        </w:rPr>
        <w:t>“ZI.”</w:t>
      </w:r>
    </w:p>
    <w:p>
      <w:pPr>
        <w:spacing w:after="0" w:line="320" w:lineRule="exact"/>
        <w:rPr>
          <w:sz w:val="20"/>
          <w:szCs w:val="20"/>
          <w:color w:val="auto"/>
        </w:rPr>
      </w:pPr>
    </w:p>
    <w:p>
      <w:pPr>
        <w:ind w:firstLine="309"/>
        <w:spacing w:after="0" w:line="311" w:lineRule="auto"/>
        <w:rPr>
          <w:sz w:val="20"/>
          <w:szCs w:val="20"/>
          <w:color w:val="auto"/>
        </w:rPr>
      </w:pPr>
      <w:r>
        <w:rPr>
          <w:rFonts w:ascii="Arial" w:cs="Arial" w:eastAsia="Arial" w:hAnsi="Arial"/>
          <w:sz w:val="16"/>
          <w:szCs w:val="16"/>
          <w:color w:val="auto"/>
        </w:rPr>
        <w:t>In this prospectus, unless otherwise indicated, the number of shares of Class A common stock outstanding and the other information based thereon reflects 81,740,501 shares of Class A common stock outstanding as of , 2020, after giving effect to this offering, and does not reflect:</w:t>
      </w:r>
    </w:p>
    <w:p>
      <w:pPr>
        <w:spacing w:after="0" w:line="90" w:lineRule="exact"/>
        <w:rPr>
          <w:sz w:val="20"/>
          <w:szCs w:val="20"/>
          <w:color w:val="auto"/>
        </w:rPr>
      </w:pPr>
    </w:p>
    <w:p>
      <w:pPr>
        <w:ind w:left="620" w:hanging="307"/>
        <w:spacing w:after="0" w:line="279"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1,875,000 shares of Class A common stock issuable upon exercise of the underwriters’ option to purchase additional shares of Class A common stock from the selling stockholders, solely to cover over-allotments, if any;</w:t>
      </w:r>
    </w:p>
    <w:p>
      <w:pPr>
        <w:spacing w:after="0" w:line="112"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220,735,226 shares of Class A common stock issuable upon exchange of 216,534,801 OpCo Units and 4,200,425 HoldCo Units and the related shares of Class B common stock that will be held by the Pre-IPO OpCo Unitholders and the Pre-IPO HoldCo Unitholders, respectively,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type w:val="continuous"/>
        </w:sectPr>
      </w:pPr>
    </w:p>
    <w:bookmarkStart w:id="26" w:name="page27"/>
    <w:bookmarkEnd w:id="26"/>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3038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115" cy="3038475"/>
                    </a:xfrm>
                    <a:prstGeom prst="rect">
                      <a:avLst/>
                    </a:prstGeom>
                    <a:noFill/>
                  </pic:spPr>
                </pic:pic>
              </a:graphicData>
            </a:graphic>
          </wp:anchor>
        </w:drawing>
      </w:r>
    </w:p>
    <w:p>
      <w:pPr>
        <w:ind w:left="307" w:hanging="307"/>
        <w:spacing w:after="0" w:line="279" w:lineRule="auto"/>
        <w:tabs>
          <w:tab w:leader="none" w:pos="303" w:val="left"/>
        </w:tabs>
        <w:numPr>
          <w:ilvl w:val="0"/>
          <w:numId w:val="24"/>
        </w:numPr>
        <w:rPr>
          <w:rFonts w:ascii="Arial" w:cs="Arial" w:eastAsia="Arial" w:hAnsi="Arial"/>
          <w:sz w:val="17"/>
          <w:szCs w:val="17"/>
          <w:color w:val="auto"/>
        </w:rPr>
      </w:pPr>
      <w:r>
        <w:rPr>
          <w:rFonts w:ascii="Arial" w:cs="Arial" w:eastAsia="Arial" w:hAnsi="Arial"/>
          <w:sz w:val="17"/>
          <w:szCs w:val="17"/>
          <w:color w:val="auto"/>
        </w:rPr>
        <w:t>86,835,289 shares of Class A common stock issuable upon conversion of 86,835,289 shares of Class C common stock that will be held by the Pre-IPO Blocker Holders after giving effect to this offering;</w:t>
      </w:r>
    </w:p>
    <w:p>
      <w:pPr>
        <w:spacing w:after="0" w:line="112" w:lineRule="exact"/>
        <w:rPr>
          <w:rFonts w:ascii="Arial" w:cs="Arial" w:eastAsia="Arial" w:hAnsi="Arial"/>
          <w:sz w:val="17"/>
          <w:szCs w:val="17"/>
          <w:color w:val="auto"/>
        </w:rPr>
      </w:pPr>
    </w:p>
    <w:p>
      <w:pPr>
        <w:jc w:val="both"/>
        <w:ind w:left="307" w:hanging="307"/>
        <w:spacing w:after="0" w:line="266" w:lineRule="auto"/>
        <w:tabs>
          <w:tab w:leader="none" w:pos="303" w:val="left"/>
        </w:tabs>
        <w:numPr>
          <w:ilvl w:val="0"/>
          <w:numId w:val="24"/>
        </w:numPr>
        <w:rPr>
          <w:rFonts w:ascii="Arial" w:cs="Arial" w:eastAsia="Arial" w:hAnsi="Arial"/>
          <w:sz w:val="17"/>
          <w:szCs w:val="17"/>
          <w:color w:val="auto"/>
        </w:rPr>
      </w:pPr>
      <w:r>
        <w:rPr>
          <w:rFonts w:ascii="Arial" w:cs="Arial" w:eastAsia="Arial" w:hAnsi="Arial"/>
          <w:sz w:val="17"/>
          <w:szCs w:val="17"/>
          <w:color w:val="auto"/>
        </w:rPr>
        <w:t>12,291,007 shares of Class A common stock issuable upon exchange of 14,383,955 Class P Units (assuming such Class P Units are fully vested and based on the closing price of our Class A common stock of $37.99 per share as reported on Nasdaq on October 30, 2020) that are held by the Continuing Class P Unitholders; or</w:t>
      </w:r>
    </w:p>
    <w:p>
      <w:pPr>
        <w:spacing w:after="0" w:line="122" w:lineRule="exact"/>
        <w:rPr>
          <w:rFonts w:ascii="Arial" w:cs="Arial" w:eastAsia="Arial" w:hAnsi="Arial"/>
          <w:sz w:val="17"/>
          <w:szCs w:val="17"/>
          <w:color w:val="auto"/>
        </w:rPr>
      </w:pPr>
    </w:p>
    <w:p>
      <w:pPr>
        <w:ind w:left="307" w:hanging="307"/>
        <w:spacing w:after="0" w:line="279" w:lineRule="auto"/>
        <w:tabs>
          <w:tab w:leader="none" w:pos="303" w:val="left"/>
        </w:tabs>
        <w:numPr>
          <w:ilvl w:val="0"/>
          <w:numId w:val="24"/>
        </w:numPr>
        <w:rPr>
          <w:rFonts w:ascii="Arial" w:cs="Arial" w:eastAsia="Arial" w:hAnsi="Arial"/>
          <w:sz w:val="17"/>
          <w:szCs w:val="17"/>
          <w:color w:val="auto"/>
        </w:rPr>
      </w:pPr>
      <w:r>
        <w:rPr>
          <w:rFonts w:ascii="Arial" w:cs="Arial" w:eastAsia="Arial" w:hAnsi="Arial"/>
          <w:sz w:val="17"/>
          <w:szCs w:val="17"/>
          <w:color w:val="auto"/>
        </w:rPr>
        <w:t>18,650,000 shares of Class A common stock that may be granted under our 2020 Omnibus Incentive Plan, which includes shares of Class A common stock underlying the following employee equity grants:</w:t>
      </w:r>
    </w:p>
    <w:p>
      <w:pPr>
        <w:spacing w:after="0" w:line="112" w:lineRule="exact"/>
        <w:rPr>
          <w:rFonts w:ascii="Arial" w:cs="Arial" w:eastAsia="Arial" w:hAnsi="Arial"/>
          <w:sz w:val="17"/>
          <w:szCs w:val="17"/>
          <w:color w:val="auto"/>
        </w:rPr>
      </w:pPr>
    </w:p>
    <w:p>
      <w:pPr>
        <w:ind w:left="607" w:hanging="298"/>
        <w:spacing w:after="0"/>
        <w:tabs>
          <w:tab w:leader="none" w:pos="607" w:val="left"/>
        </w:tabs>
        <w:numPr>
          <w:ilvl w:val="1"/>
          <w:numId w:val="24"/>
        </w:numPr>
        <w:rPr>
          <w:rFonts w:ascii="Arial" w:cs="Arial" w:eastAsia="Arial" w:hAnsi="Arial"/>
          <w:sz w:val="17"/>
          <w:szCs w:val="17"/>
          <w:color w:val="auto"/>
        </w:rPr>
      </w:pPr>
      <w:r>
        <w:rPr>
          <w:rFonts w:ascii="Arial" w:cs="Arial" w:eastAsia="Arial" w:hAnsi="Arial"/>
          <w:sz w:val="17"/>
          <w:szCs w:val="17"/>
          <w:color w:val="auto"/>
        </w:rPr>
        <w:t>512,681 restricted stock units;</w:t>
      </w:r>
    </w:p>
    <w:p>
      <w:pPr>
        <w:spacing w:after="0" w:line="165" w:lineRule="exact"/>
        <w:rPr>
          <w:rFonts w:ascii="Arial" w:cs="Arial" w:eastAsia="Arial" w:hAnsi="Arial"/>
          <w:sz w:val="17"/>
          <w:szCs w:val="17"/>
          <w:color w:val="auto"/>
        </w:rPr>
      </w:pPr>
    </w:p>
    <w:p>
      <w:pPr>
        <w:ind w:left="607" w:hanging="298"/>
        <w:spacing w:after="0"/>
        <w:tabs>
          <w:tab w:leader="none" w:pos="607" w:val="left"/>
        </w:tabs>
        <w:numPr>
          <w:ilvl w:val="1"/>
          <w:numId w:val="24"/>
        </w:numPr>
        <w:rPr>
          <w:rFonts w:ascii="Arial" w:cs="Arial" w:eastAsia="Arial" w:hAnsi="Arial"/>
          <w:sz w:val="17"/>
          <w:szCs w:val="17"/>
          <w:color w:val="auto"/>
        </w:rPr>
      </w:pPr>
      <w:r>
        <w:rPr>
          <w:rFonts w:ascii="Arial" w:cs="Arial" w:eastAsia="Arial" w:hAnsi="Arial"/>
          <w:sz w:val="17"/>
          <w:szCs w:val="17"/>
          <w:color w:val="auto"/>
        </w:rPr>
        <w:t>47,620 LTIP Units;</w:t>
      </w:r>
    </w:p>
    <w:p>
      <w:pPr>
        <w:spacing w:after="0" w:line="165" w:lineRule="exact"/>
        <w:rPr>
          <w:rFonts w:ascii="Arial" w:cs="Arial" w:eastAsia="Arial" w:hAnsi="Arial"/>
          <w:sz w:val="17"/>
          <w:szCs w:val="17"/>
          <w:color w:val="auto"/>
        </w:rPr>
      </w:pPr>
    </w:p>
    <w:p>
      <w:pPr>
        <w:ind w:left="627" w:hanging="318"/>
        <w:spacing w:after="0" w:line="279" w:lineRule="auto"/>
        <w:tabs>
          <w:tab w:leader="none" w:pos="624" w:val="left"/>
        </w:tabs>
        <w:numPr>
          <w:ilvl w:val="1"/>
          <w:numId w:val="24"/>
        </w:numPr>
        <w:rPr>
          <w:rFonts w:ascii="Arial" w:cs="Arial" w:eastAsia="Arial" w:hAnsi="Arial"/>
          <w:sz w:val="17"/>
          <w:szCs w:val="17"/>
          <w:color w:val="auto"/>
        </w:rPr>
      </w:pPr>
      <w:r>
        <w:rPr>
          <w:rFonts w:ascii="Arial" w:cs="Arial" w:eastAsia="Arial" w:hAnsi="Arial"/>
          <w:sz w:val="17"/>
          <w:szCs w:val="17"/>
          <w:color w:val="auto"/>
        </w:rPr>
        <w:t>567,515 stock options, which we refer to as “leverage restoration options,” with a strike price equal to the IPO public offering price per share of Class A common stock; and</w:t>
      </w:r>
    </w:p>
    <w:p>
      <w:pPr>
        <w:spacing w:after="0" w:line="112" w:lineRule="exact"/>
        <w:rPr>
          <w:rFonts w:ascii="Arial" w:cs="Arial" w:eastAsia="Arial" w:hAnsi="Arial"/>
          <w:sz w:val="17"/>
          <w:szCs w:val="17"/>
          <w:color w:val="auto"/>
        </w:rPr>
      </w:pPr>
    </w:p>
    <w:p>
      <w:pPr>
        <w:ind w:left="627" w:hanging="318"/>
        <w:spacing w:after="0" w:line="279" w:lineRule="auto"/>
        <w:tabs>
          <w:tab w:leader="none" w:pos="637" w:val="left"/>
        </w:tabs>
        <w:numPr>
          <w:ilvl w:val="1"/>
          <w:numId w:val="24"/>
        </w:numPr>
        <w:rPr>
          <w:rFonts w:ascii="Arial" w:cs="Arial" w:eastAsia="Arial" w:hAnsi="Arial"/>
          <w:sz w:val="17"/>
          <w:szCs w:val="17"/>
          <w:color w:val="auto"/>
        </w:rPr>
      </w:pPr>
      <w:r>
        <w:rPr>
          <w:rFonts w:ascii="Arial" w:cs="Arial" w:eastAsia="Arial" w:hAnsi="Arial"/>
          <w:sz w:val="17"/>
          <w:szCs w:val="17"/>
          <w:color w:val="auto"/>
        </w:rPr>
        <w:t>630,000 Class P Units with a participation threshold (i.e., strike price) equal to the IPO public offering price per share of Class A common stock.</w:t>
      </w:r>
    </w:p>
    <w:p>
      <w:pPr>
        <w:spacing w:after="0" w:line="112" w:lineRule="exact"/>
        <w:rPr>
          <w:sz w:val="20"/>
          <w:szCs w:val="20"/>
          <w:color w:val="auto"/>
        </w:rPr>
      </w:pPr>
    </w:p>
    <w:p>
      <w:pPr>
        <w:ind w:left="307"/>
        <w:spacing w:after="0"/>
        <w:rPr>
          <w:sz w:val="20"/>
          <w:szCs w:val="20"/>
          <w:color w:val="auto"/>
        </w:rPr>
      </w:pPr>
      <w:r>
        <w:rPr>
          <w:rFonts w:ascii="Arial" w:cs="Arial" w:eastAsia="Arial" w:hAnsi="Arial"/>
          <w:sz w:val="16"/>
          <w:szCs w:val="16"/>
          <w:color w:val="auto"/>
        </w:rPr>
        <w:t>See “Executive Compensation—Compensation Arrangements Adopted in Connection with the IPO—2020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93"/>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423545</wp:posOffset>
            </wp:positionV>
            <wp:extent cx="71386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9967"/>
          </w:cols>
          <w:pgMar w:left="1113" w:top="1440" w:right="819" w:bottom="1440" w:gutter="0" w:footer="0" w:header="0"/>
        </w:sectPr>
      </w:pPr>
    </w:p>
    <w:bookmarkStart w:id="27" w:name="page28"/>
    <w:bookmarkEnd w:id="27"/>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785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115" cy="57854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Summary Historical and Pro Forma Financial and Other Data</w:t>
      </w:r>
    </w:p>
    <w:p>
      <w:pPr>
        <w:spacing w:after="0" w:line="171"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The following table presents the summary historical consolidated financial and other data for ZoomInfo OpCo and its subsidiaries and ZoomInfo Technologies Inc. and its subsidiaries and the summary pro forma combined and consolidated financial data for ZoomInfo Technologies Inc. for the periods and at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 the assets and liabilities received in the reorganization at their historical carrying amounts, as reflected in the historical financial statements of ZoomInfo OpCo. ZoomInfo Technologies Inc. consolidates ZoomInfo OpCo through ZoomInfo HoldCo in its consolidated financial statements and records a non-controlling interest related to the OpCo Units and HoldCo Units held by our pre-IPO owners on its consolidated balance sheet and statement of operations. The summary consolidated statements of operations data and summary consolidated statements of cash flows data presented below for the years ended December 31, 2018 and 2019 and the summary consolidated balance sheet data presented below as of December 31, 2018 and 2019 have been derived from the consolidated financial statements of ZoomInfo OpCo included elsewhere in this prospectus. The summary consolidated financial information of ZoomInfo Technologies Inc. as of September 30, 2020 and for the nine months ended September 30, 2019 and 2020 was derived from the unaudited consolidated financial statements of ZoomInfo Technologies Inc. included elsewhere in this prospectus. The unaudited consolidated financial statements of ZoomInfo Technologies Inc.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20"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“Organizational Structure,” “Unaudited Pro Forma Combined and Consolidated Financial Information,” “Selected Historical Consolidated Financial Data,” “Management’s Discussion and Analysis of Financial Condition and Results of Operations,” “Description of Certain Indebtedness,” and the other information appearing elsewhere in this prospectus.</w:t>
      </w:r>
    </w:p>
    <w:p>
      <w:pPr>
        <w:spacing w:after="0" w:line="13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The summary unaudited pro forma combined and consolidated financial data of ZoomInfo Technologies Inc. presented below have been derived from our unaudited pro forma combined and consolidated financial statements included elsewhere in this prospectus. The summary unaudited pro forma combined and consolidated statement of operations data for the year ended December 31, 2019 give effect to (i) the acquisition of Pre-Acquisition ZI by ZoomInfo OpCo on February 1, 2019 (the “Zoom Information Acquisition”), (ii) the Reorganization Transactions, and (iii) the IPO Transactions, each as if they had occurred on January 1, 2019. The summary unaudited pro forma combined and consolidated statement of operations data for the nine months ended September 30, 2020 give effect to (i) the Reorganization Transactions and (ii) the IPO Transactions, each as if they had occurred on January 1, 2019. The summary unaudited combined and consolidated pro forma financial data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Combined and Consolidated Financial Information” and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28" w:name="page29"/>
    <w:bookmarkEnd w:id="28"/>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949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115" cy="59493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0"/>
              </w:rPr>
              <w:t>ZoomInfo OpCo</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ZoomInfo</w:t>
            </w: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40" w:type="dxa"/>
            <w:vAlign w:val="bottom"/>
            <w:gridSpan w:val="7"/>
            <w:vMerge w:val="restart"/>
          </w:tcPr>
          <w:p>
            <w:pPr>
              <w:jc w:val="center"/>
              <w:ind w:right="500"/>
              <w:spacing w:after="0"/>
              <w:rPr>
                <w:sz w:val="20"/>
                <w:szCs w:val="20"/>
                <w:color w:val="auto"/>
              </w:rPr>
            </w:pPr>
            <w:r>
              <w:rPr>
                <w:rFonts w:ascii="Arial" w:cs="Arial" w:eastAsia="Arial" w:hAnsi="Arial"/>
                <w:sz w:val="14"/>
                <w:szCs w:val="14"/>
                <w:b w:val="1"/>
                <w:bCs w:val="1"/>
                <w:color w:val="auto"/>
                <w:w w:val="88"/>
              </w:rPr>
              <w:t>ZoomInfo Technologies Inc.</w:t>
            </w:r>
          </w:p>
        </w:tc>
        <w:tc>
          <w:tcPr>
            <w:tcW w:w="12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Technologies Inc.</w:t>
            </w: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(DiscoverOrg Holdings, LLC)</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gridSpan w:val="7"/>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23"/>
        </w:trPr>
        <w:tc>
          <w:tcPr>
            <w:tcW w:w="39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40" w:type="dxa"/>
            <w:vAlign w:val="bottom"/>
            <w:tcBorders>
              <w:top w:val="single" w:sz="8" w:color="auto"/>
            </w:tcBorders>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gridSpan w:val="6"/>
          </w:tcPr>
          <w:p>
            <w:pPr>
              <w:jc w:val="center"/>
              <w:ind w:right="357"/>
              <w:spacing w:after="0" w:line="123" w:lineRule="exact"/>
              <w:rPr>
                <w:sz w:val="20"/>
                <w:szCs w:val="20"/>
                <w:color w:val="auto"/>
              </w:rPr>
            </w:pPr>
            <w:r>
              <w:rPr>
                <w:rFonts w:ascii="Arial" w:cs="Arial" w:eastAsia="Arial" w:hAnsi="Arial"/>
                <w:sz w:val="14"/>
                <w:szCs w:val="14"/>
                <w:b w:val="1"/>
                <w:bCs w:val="1"/>
                <w:color w:val="auto"/>
                <w:w w:val="90"/>
              </w:rPr>
              <w:t>Nine Months Ended</w:t>
            </w: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78"/>
              <w:spacing w:after="0" w:line="123" w:lineRule="exact"/>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center"/>
              <w:ind w:left="298"/>
              <w:spacing w:after="0"/>
              <w:rPr>
                <w:sz w:val="20"/>
                <w:szCs w:val="20"/>
                <w:color w:val="auto"/>
              </w:rPr>
            </w:pPr>
            <w:r>
              <w:rPr>
                <w:rFonts w:ascii="Arial" w:cs="Arial" w:eastAsia="Arial" w:hAnsi="Arial"/>
                <w:sz w:val="14"/>
                <w:szCs w:val="14"/>
                <w:b w:val="1"/>
                <w:bCs w:val="1"/>
                <w:color w:val="auto"/>
                <w:w w:val="87"/>
              </w:rPr>
              <w:t>September 30,</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20"/>
              <w:spacing w:after="0" w:line="200" w:lineRule="exact"/>
              <w:rPr>
                <w:sz w:val="20"/>
                <w:szCs w:val="20"/>
                <w:color w:val="auto"/>
              </w:rPr>
            </w:pPr>
            <w:r>
              <w:rPr>
                <w:rFonts w:ascii="Arial" w:cs="Arial" w:eastAsia="Arial" w:hAnsi="Arial"/>
                <w:sz w:val="17"/>
                <w:szCs w:val="17"/>
                <w:b w:val="1"/>
                <w:bCs w:val="1"/>
                <w:color w:val="auto"/>
              </w:rPr>
              <w:t>Summary Statements of Operations Data</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144.3</w:t>
            </w:r>
          </w:p>
        </w:tc>
        <w:tc>
          <w:tcPr>
            <w:tcW w:w="3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293.3</w:t>
            </w:r>
          </w:p>
        </w:tc>
        <w:tc>
          <w:tcPr>
            <w:tcW w:w="20" w:type="dxa"/>
            <w:vAlign w:val="bottom"/>
          </w:tcPr>
          <w:p>
            <w:pPr>
              <w:spacing w:after="0"/>
              <w:rPr>
                <w:sz w:val="18"/>
                <w:szCs w:val="18"/>
                <w:color w:val="auto"/>
              </w:rPr>
            </w:pPr>
          </w:p>
        </w:tc>
        <w:tc>
          <w:tcPr>
            <w:tcW w:w="520" w:type="dxa"/>
            <w:vAlign w:val="bottom"/>
            <w:gridSpan w:val="3"/>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336.5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334.6</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0" w:type="dxa"/>
            <w:vAlign w:val="bottom"/>
          </w:tcPr>
          <w:p>
            <w:pPr>
              <w:spacing w:after="0"/>
              <w:rPr>
                <w:sz w:val="1"/>
                <w:szCs w:val="1"/>
                <w:color w:val="auto"/>
              </w:rPr>
            </w:pPr>
          </w:p>
        </w:tc>
      </w:tr>
      <w:tr>
        <w:trPr>
          <w:trHeight w:val="218"/>
        </w:trPr>
        <w:tc>
          <w:tcPr>
            <w:tcW w:w="39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Amortization of acquired technology</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gridSpan w:val="2"/>
          </w:tcPr>
          <w:p>
            <w:pPr>
              <w:spacing w:after="0"/>
              <w:rPr>
                <w:sz w:val="18"/>
                <w:szCs w:val="18"/>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gridSpan w:val="2"/>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2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36.1</w:t>
            </w:r>
          </w:p>
        </w:tc>
        <w:tc>
          <w:tcPr>
            <w:tcW w:w="20" w:type="dxa"/>
            <w:vAlign w:val="bottom"/>
          </w:tcPr>
          <w:p>
            <w:pPr>
              <w:spacing w:after="0"/>
              <w:rPr>
                <w:sz w:val="18"/>
                <w:szCs w:val="18"/>
                <w:color w:val="auto"/>
              </w:rPr>
            </w:pPr>
          </w:p>
        </w:tc>
        <w:tc>
          <w:tcPr>
            <w:tcW w:w="520" w:type="dxa"/>
            <w:vAlign w:val="bottom"/>
            <w:gridSpan w:val="3"/>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187"/>
        </w:trPr>
        <w:tc>
          <w:tcPr>
            <w:tcW w:w="39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2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102.4</w:t>
            </w:r>
          </w:p>
        </w:tc>
        <w:tc>
          <w:tcPr>
            <w:tcW w:w="20" w:type="dxa"/>
            <w:vAlign w:val="bottom"/>
          </w:tcPr>
          <w:p>
            <w:pPr>
              <w:spacing w:after="0"/>
              <w:rPr>
                <w:sz w:val="18"/>
                <w:szCs w:val="18"/>
                <w:color w:val="auto"/>
              </w:rPr>
            </w:pPr>
          </w:p>
        </w:tc>
        <w:tc>
          <w:tcPr>
            <w:tcW w:w="520" w:type="dxa"/>
            <w:vAlign w:val="bottom"/>
            <w:gridSpan w:val="3"/>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72.1</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debt extinguishment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9"/>
        </w:trPr>
        <w:tc>
          <w:tcPr>
            <w:tcW w:w="3920" w:type="dxa"/>
            <w:vAlign w:val="bottom"/>
            <w:tcBorders>
              <w:bottom w:val="single" w:sz="8" w:color="CCEEFF"/>
            </w:tcBorders>
          </w:tcPr>
          <w:p>
            <w:pPr>
              <w:ind w:left="220"/>
              <w:spacing w:after="0" w:line="219"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2"/>
                <w:szCs w:val="22"/>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gridSpan w:val="2"/>
          </w:tcPr>
          <w:p>
            <w:pPr>
              <w:spacing w:after="0"/>
              <w:rPr>
                <w:sz w:val="19"/>
                <w:szCs w:val="19"/>
                <w:color w:val="auto"/>
              </w:rPr>
            </w:pP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gridSpan w:val="2"/>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94"/>
              </w:rPr>
              <w:t>(84.5)</w:t>
            </w:r>
          </w:p>
        </w:tc>
        <w:tc>
          <w:tcPr>
            <w:tcW w:w="52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187"/>
        </w:trPr>
        <w:tc>
          <w:tcPr>
            <w:tcW w:w="3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Benefit (expense) from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(28.6)</w:t>
            </w:r>
          </w:p>
        </w:tc>
        <w:tc>
          <w:tcPr>
            <w:tcW w:w="3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520"/>
              <w:spacing w:after="0"/>
              <w:rPr>
                <w:sz w:val="20"/>
                <w:szCs w:val="20"/>
                <w:color w:val="auto"/>
              </w:rPr>
            </w:pPr>
            <w:r>
              <w:rPr>
                <w:rFonts w:ascii="Arial" w:cs="Arial" w:eastAsia="Arial" w:hAnsi="Arial"/>
                <w:sz w:val="17"/>
                <w:szCs w:val="17"/>
                <w:color w:val="auto"/>
                <w:w w:val="94"/>
              </w:rPr>
              <w:t>(78.0)</w:t>
            </w:r>
          </w:p>
        </w:tc>
        <w:tc>
          <w:tcPr>
            <w:tcW w:w="520" w:type="dxa"/>
            <w:vAlign w:val="bottom"/>
            <w:gridSpan w:val="3"/>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(72.7)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920" w:type="dxa"/>
            <w:vAlign w:val="bottom"/>
            <w:shd w:val="clear" w:color="auto" w:fill="CCEEFF"/>
          </w:tcPr>
          <w:p>
            <w:pPr>
              <w:ind w:left="440"/>
              <w:spacing w:after="0" w:line="133" w:lineRule="exact"/>
              <w:rPr>
                <w:sz w:val="20"/>
                <w:szCs w:val="20"/>
                <w:color w:val="auto"/>
              </w:rPr>
            </w:pPr>
            <w:r>
              <w:rPr>
                <w:rFonts w:ascii="Arial" w:cs="Arial" w:eastAsia="Arial" w:hAnsi="Arial"/>
                <w:sz w:val="15"/>
                <w:szCs w:val="15"/>
                <w:color w:val="auto"/>
              </w:rPr>
              <w:t>Less: Net income (loss) attributable to non-</w:t>
            </w: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controlling interests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920" w:type="dxa"/>
            <w:vAlign w:val="bottom"/>
          </w:tcPr>
          <w:p>
            <w:pPr>
              <w:ind w:left="20"/>
              <w:spacing w:after="0" w:line="148" w:lineRule="exact"/>
              <w:rPr>
                <w:sz w:val="20"/>
                <w:szCs w:val="20"/>
                <w:color w:val="auto"/>
              </w:rPr>
            </w:pPr>
            <w:r>
              <w:rPr>
                <w:rFonts w:ascii="Arial" w:cs="Arial" w:eastAsia="Arial" w:hAnsi="Arial"/>
                <w:sz w:val="17"/>
                <w:szCs w:val="17"/>
                <w:color w:val="auto"/>
              </w:rPr>
              <w:t>Net income (loss) attributable to ZoomInfo</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98"/>
        </w:trPr>
        <w:tc>
          <w:tcPr>
            <w:tcW w:w="3920" w:type="dxa"/>
            <w:vAlign w:val="bottom"/>
          </w:tcPr>
          <w:p>
            <w:pPr>
              <w:ind w:left="180"/>
              <w:spacing w:after="0" w:line="193" w:lineRule="exact"/>
              <w:rPr>
                <w:sz w:val="20"/>
                <w:szCs w:val="20"/>
                <w:color w:val="auto"/>
              </w:rPr>
            </w:pPr>
            <w:r>
              <w:rPr>
                <w:rFonts w:ascii="Arial" w:cs="Arial" w:eastAsia="Arial" w:hAnsi="Arial"/>
                <w:sz w:val="17"/>
                <w:szCs w:val="17"/>
                <w:color w:val="auto"/>
              </w:rPr>
              <w:t>Technologies Inc.</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 and diluted net loss per share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168"/>
        </w:trPr>
        <w:tc>
          <w:tcPr>
            <w:tcW w:w="3920" w:type="dxa"/>
            <w:vAlign w:val="bottom"/>
          </w:tcPr>
          <w:p>
            <w:pPr>
              <w:ind w:left="220"/>
              <w:spacing w:after="0" w:line="168" w:lineRule="exact"/>
              <w:rPr>
                <w:sz w:val="20"/>
                <w:szCs w:val="20"/>
                <w:color w:val="auto"/>
              </w:rPr>
            </w:pPr>
            <w:r>
              <w:rPr>
                <w:rFonts w:ascii="Arial" w:cs="Arial" w:eastAsia="Arial" w:hAnsi="Arial"/>
                <w:sz w:val="17"/>
                <w:szCs w:val="17"/>
                <w:color w:val="auto"/>
              </w:rPr>
              <w:t>Shares used in basic and diluted per share</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150,160,371</w:t>
            </w:r>
          </w:p>
        </w:tc>
        <w:tc>
          <w:tcPr>
            <w:tcW w:w="0" w:type="dxa"/>
            <w:vAlign w:val="bottom"/>
          </w:tcPr>
          <w:p>
            <w:pPr>
              <w:spacing w:after="0"/>
              <w:rPr>
                <w:sz w:val="1"/>
                <w:szCs w:val="1"/>
                <w:color w:val="auto"/>
              </w:rPr>
            </w:pPr>
          </w:p>
        </w:tc>
      </w:tr>
      <w:tr>
        <w:trPr>
          <w:trHeight w:val="217"/>
        </w:trPr>
        <w:tc>
          <w:tcPr>
            <w:tcW w:w="3920" w:type="dxa"/>
            <w:vAlign w:val="bottom"/>
          </w:tcPr>
          <w:p>
            <w:pPr>
              <w:ind w:left="360"/>
              <w:spacing w:after="0"/>
              <w:rPr>
                <w:sz w:val="20"/>
                <w:szCs w:val="20"/>
                <w:color w:val="auto"/>
              </w:rPr>
            </w:pPr>
            <w:r>
              <w:rPr>
                <w:rFonts w:ascii="Arial" w:cs="Arial" w:eastAsia="Arial" w:hAnsi="Arial"/>
                <w:sz w:val="17"/>
                <w:szCs w:val="17"/>
                <w:color w:val="auto"/>
              </w:rPr>
              <w:t>calculations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5"/>
          </w:tcPr>
          <w:p>
            <w:pPr>
              <w:ind w:left="500"/>
              <w:spacing w:after="0"/>
              <w:rPr>
                <w:sz w:val="20"/>
                <w:szCs w:val="20"/>
                <w:color w:val="auto"/>
              </w:rPr>
            </w:pPr>
            <w:r>
              <w:rPr>
                <w:rFonts w:ascii="Arial" w:cs="Arial" w:eastAsia="Arial" w:hAnsi="Arial"/>
                <w:sz w:val="14"/>
                <w:szCs w:val="14"/>
                <w:b w:val="1"/>
                <w:bCs w:val="1"/>
                <w:color w:val="auto"/>
                <w:w w:val="90"/>
              </w:rPr>
              <w:t>ZoomInfo OpCo</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4"/>
            <w:vMerge w:val="restart"/>
          </w:tcPr>
          <w:p>
            <w:pPr>
              <w:jc w:val="right"/>
              <w:ind w:right="358"/>
              <w:spacing w:after="0"/>
              <w:rPr>
                <w:sz w:val="20"/>
                <w:szCs w:val="20"/>
                <w:color w:val="auto"/>
              </w:rPr>
            </w:pPr>
            <w:r>
              <w:rPr>
                <w:rFonts w:ascii="Arial" w:cs="Arial" w:eastAsia="Arial" w:hAnsi="Arial"/>
                <w:sz w:val="14"/>
                <w:szCs w:val="14"/>
                <w:b w:val="1"/>
                <w:bCs w:val="1"/>
                <w:color w:val="auto"/>
                <w:w w:val="88"/>
              </w:rPr>
              <w:t>ZoomInfo Technologies Inc.</w:t>
            </w: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9"/>
          </w:tcPr>
          <w:p>
            <w:pPr>
              <w:ind w:left="120"/>
              <w:spacing w:after="0"/>
              <w:rPr>
                <w:sz w:val="20"/>
                <w:szCs w:val="20"/>
                <w:color w:val="auto"/>
              </w:rPr>
            </w:pPr>
            <w:r>
              <w:rPr>
                <w:rFonts w:ascii="Arial" w:cs="Arial" w:eastAsia="Arial" w:hAnsi="Arial"/>
                <w:sz w:val="14"/>
                <w:szCs w:val="14"/>
                <w:b w:val="1"/>
                <w:bCs w:val="1"/>
                <w:color w:val="auto"/>
              </w:rPr>
              <w:t>(DiscoverOrg Holdings, LLC)</w:t>
            </w:r>
          </w:p>
        </w:tc>
        <w:tc>
          <w:tcPr>
            <w:tcW w:w="400" w:type="dxa"/>
            <w:vAlign w:val="bottom"/>
          </w:tcPr>
          <w:p>
            <w:pPr>
              <w:spacing w:after="0"/>
              <w:rPr>
                <w:sz w:val="15"/>
                <w:szCs w:val="15"/>
                <w:color w:val="auto"/>
              </w:rPr>
            </w:pPr>
          </w:p>
        </w:tc>
        <w:tc>
          <w:tcPr>
            <w:tcW w:w="21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240" w:type="dxa"/>
            <w:vAlign w:val="bottom"/>
            <w:tcBorders>
              <w:top w:val="single" w:sz="8" w:color="auto"/>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gridSpan w:val="2"/>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7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Summary Balance Sheet Data (at period end):</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520" w:type="dxa"/>
            <w:vAlign w:val="bottom"/>
            <w:gridSpan w:val="3"/>
          </w:tcPr>
          <w:p>
            <w:pPr>
              <w:jc w:val="right"/>
              <w:ind w:right="25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39.1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304.9</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2,048.5</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Long-term debt (including current portion)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1,203.3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1,204.3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744.3</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Unearned revenue (including current portion)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w:t>
            </w:r>
          </w:p>
        </w:tc>
        <w:tc>
          <w:tcPr>
            <w:tcW w:w="0" w:type="dxa"/>
            <w:vAlign w:val="bottom"/>
          </w:tcPr>
          <w:p>
            <w:pPr>
              <w:spacing w:after="0"/>
              <w:rPr>
                <w:sz w:val="1"/>
                <w:szCs w:val="1"/>
                <w:color w:val="auto"/>
              </w:rPr>
            </w:pPr>
          </w:p>
        </w:tc>
      </w:tr>
      <w:tr>
        <w:trPr>
          <w:trHeight w:val="218"/>
        </w:trPr>
        <w:tc>
          <w:tcPr>
            <w:tcW w:w="392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710.1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1,524.4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1,228.0</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Temporary equity</w:t>
            </w:r>
            <w:r>
              <w:rPr>
                <w:rFonts w:ascii="Arial" w:cs="Arial" w:eastAsia="Arial" w:hAnsi="Arial"/>
                <w:sz w:val="22"/>
                <w:szCs w:val="22"/>
                <w:color w:val="auto"/>
                <w:vertAlign w:val="superscript"/>
              </w:rPr>
              <w:t>(4)</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3920" w:type="dxa"/>
            <w:vAlign w:val="bottom"/>
          </w:tcPr>
          <w:p>
            <w:pPr>
              <w:ind w:left="20"/>
              <w:spacing w:after="0"/>
              <w:rPr>
                <w:sz w:val="20"/>
                <w:szCs w:val="20"/>
                <w:color w:val="auto"/>
              </w:rPr>
            </w:pPr>
            <w:r>
              <w:rPr>
                <w:rFonts w:ascii="Arial" w:cs="Arial" w:eastAsia="Arial" w:hAnsi="Arial"/>
                <w:sz w:val="17"/>
                <w:szCs w:val="17"/>
                <w:color w:val="auto"/>
              </w:rPr>
              <w:t>Permanent equity</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Arial" w:cs="Arial" w:eastAsia="Arial" w:hAnsi="Arial"/>
                <w:sz w:val="17"/>
                <w:szCs w:val="17"/>
                <w:color w:val="auto"/>
                <w:w w:val="92"/>
              </w:rPr>
              <w:t>(119.1)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820.5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29" w:name="page30"/>
    <w:bookmarkEnd w:id="29"/>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725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115" cy="67259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ZoomInfo OpCo</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vMerge w:val="restart"/>
          </w:tcPr>
          <w:p>
            <w:pPr>
              <w:jc w:val="center"/>
              <w:ind w:right="178"/>
              <w:spacing w:after="0"/>
              <w:rPr>
                <w:sz w:val="20"/>
                <w:szCs w:val="20"/>
                <w:color w:val="auto"/>
              </w:rPr>
            </w:pPr>
            <w:r>
              <w:rPr>
                <w:rFonts w:ascii="Arial" w:cs="Arial" w:eastAsia="Arial" w:hAnsi="Arial"/>
                <w:sz w:val="14"/>
                <w:szCs w:val="14"/>
                <w:b w:val="1"/>
                <w:bCs w:val="1"/>
                <w:color w:val="auto"/>
                <w:w w:val="88"/>
              </w:rPr>
              <w:t>ZoomInfo Technologies Inc.</w:t>
            </w:r>
          </w:p>
        </w:tc>
        <w:tc>
          <w:tcPr>
            <w:tcW w:w="0" w:type="dxa"/>
            <w:vAlign w:val="bottom"/>
          </w:tcPr>
          <w:p>
            <w:pPr>
              <w:spacing w:after="0"/>
              <w:rPr>
                <w:sz w:val="1"/>
                <w:szCs w:val="1"/>
                <w:color w:val="auto"/>
              </w:rPr>
            </w:pPr>
          </w:p>
        </w:tc>
      </w:tr>
      <w:tr>
        <w:trPr>
          <w:trHeight w:val="179"/>
        </w:trPr>
        <w:tc>
          <w:tcPr>
            <w:tcW w:w="4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5"/>
          </w:tcPr>
          <w:p>
            <w:pPr>
              <w:ind w:left="220"/>
              <w:spacing w:after="0"/>
              <w:rPr>
                <w:sz w:val="20"/>
                <w:szCs w:val="20"/>
                <w:color w:val="auto"/>
              </w:rPr>
            </w:pPr>
            <w:r>
              <w:rPr>
                <w:rFonts w:ascii="Arial" w:cs="Arial" w:eastAsia="Arial" w:hAnsi="Arial"/>
                <w:sz w:val="14"/>
                <w:szCs w:val="14"/>
                <w:b w:val="1"/>
                <w:bCs w:val="1"/>
                <w:color w:val="auto"/>
              </w:rPr>
              <w:t>(DiscoverOrg Holdings, LLC)</w:t>
            </w:r>
          </w:p>
        </w:tc>
        <w:tc>
          <w:tcPr>
            <w:tcW w:w="26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50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tcBorders>
            <w:gridSpan w:val="4"/>
          </w:tcPr>
          <w:p>
            <w:pPr>
              <w:jc w:val="center"/>
              <w:ind w:right="178"/>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74"/>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Summary Statements of Cash Flows Data:</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ind w:left="680"/>
              <w:spacing w:after="0"/>
              <w:rPr>
                <w:sz w:val="20"/>
                <w:szCs w:val="20"/>
                <w:color w:val="auto"/>
              </w:rPr>
            </w:pPr>
            <w:r>
              <w:rPr>
                <w:rFonts w:ascii="Arial" w:cs="Arial" w:eastAsia="Arial" w:hAnsi="Arial"/>
                <w:sz w:val="17"/>
                <w:szCs w:val="17"/>
                <w:color w:val="auto"/>
              </w:rPr>
              <w:t>43.8</w:t>
            </w:r>
          </w:p>
        </w:tc>
        <w:tc>
          <w:tcPr>
            <w:tcW w:w="8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44.4</w:t>
            </w:r>
          </w:p>
        </w:tc>
        <w:tc>
          <w:tcPr>
            <w:tcW w:w="8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ind w:left="580"/>
              <w:spacing w:after="0"/>
              <w:rPr>
                <w:sz w:val="20"/>
                <w:szCs w:val="20"/>
                <w:color w:val="auto"/>
              </w:rPr>
            </w:pPr>
            <w:r>
              <w:rPr>
                <w:rFonts w:ascii="Arial" w:cs="Arial" w:eastAsia="Arial" w:hAnsi="Arial"/>
                <w:sz w:val="17"/>
                <w:szCs w:val="17"/>
                <w:color w:val="auto"/>
              </w:rPr>
              <w:t>102.7</w:t>
            </w:r>
          </w:p>
        </w:tc>
        <w:tc>
          <w:tcPr>
            <w:tcW w:w="0" w:type="dxa"/>
            <w:vAlign w:val="bottom"/>
          </w:tcPr>
          <w:p>
            <w:pPr>
              <w:spacing w:after="0"/>
              <w:rPr>
                <w:sz w:val="1"/>
                <w:szCs w:val="1"/>
                <w:color w:val="auto"/>
              </w:rPr>
            </w:pPr>
          </w:p>
        </w:tc>
      </w:tr>
      <w:tr>
        <w:trPr>
          <w:trHeight w:val="220"/>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4"/>
              </w:rPr>
              <w:t>(13.1)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4"/>
              </w:rPr>
              <w:t>(11.8)</w:t>
            </w:r>
          </w:p>
        </w:tc>
        <w:tc>
          <w:tcPr>
            <w:tcW w:w="0" w:type="dxa"/>
            <w:vAlign w:val="bottom"/>
          </w:tcPr>
          <w:p>
            <w:pPr>
              <w:spacing w:after="0"/>
              <w:rPr>
                <w:sz w:val="1"/>
                <w:szCs w:val="1"/>
                <w:color w:val="auto"/>
              </w:rPr>
            </w:pPr>
          </w:p>
        </w:tc>
      </w:tr>
      <w:tr>
        <w:trPr>
          <w:trHeight w:val="217"/>
        </w:trPr>
        <w:tc>
          <w:tcPr>
            <w:tcW w:w="4540" w:type="dxa"/>
            <w:vAlign w:val="bottom"/>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20" w:type="dxa"/>
            <w:vAlign w:val="bottom"/>
          </w:tcPr>
          <w:p>
            <w:pPr>
              <w:spacing w:after="0"/>
              <w:rPr>
                <w:sz w:val="18"/>
                <w:szCs w:val="18"/>
                <w:color w:val="auto"/>
              </w:rPr>
            </w:pPr>
          </w:p>
        </w:tc>
        <w:tc>
          <w:tcPr>
            <w:tcW w:w="1040" w:type="dxa"/>
            <w:vAlign w:val="bottom"/>
          </w:tcPr>
          <w:p>
            <w:pPr>
              <w:ind w:left="600"/>
              <w:spacing w:after="0"/>
              <w:rPr>
                <w:sz w:val="20"/>
                <w:szCs w:val="20"/>
                <w:color w:val="auto"/>
              </w:rPr>
            </w:pPr>
            <w:r>
              <w:rPr>
                <w:rFonts w:ascii="Arial" w:cs="Arial" w:eastAsia="Arial" w:hAnsi="Arial"/>
                <w:sz w:val="17"/>
                <w:szCs w:val="17"/>
                <w:color w:val="auto"/>
                <w:w w:val="94"/>
              </w:rPr>
              <w:t>(29.9)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ind w:left="580"/>
              <w:spacing w:after="0"/>
              <w:rPr>
                <w:sz w:val="20"/>
                <w:szCs w:val="20"/>
                <w:color w:val="auto"/>
              </w:rPr>
            </w:pPr>
            <w:r>
              <w:rPr>
                <w:rFonts w:ascii="Arial" w:cs="Arial" w:eastAsia="Arial" w:hAnsi="Arial"/>
                <w:sz w:val="17"/>
                <w:szCs w:val="17"/>
                <w:color w:val="auto"/>
              </w:rPr>
              <w:t>172.6</w:t>
            </w:r>
          </w:p>
        </w:tc>
        <w:tc>
          <w:tcPr>
            <w:tcW w:w="0" w:type="dxa"/>
            <w:vAlign w:val="bottom"/>
          </w:tcPr>
          <w:p>
            <w:pPr>
              <w:spacing w:after="0"/>
              <w:rPr>
                <w:sz w:val="1"/>
                <w:szCs w:val="1"/>
                <w:color w:val="auto"/>
              </w:rPr>
            </w:pPr>
          </w:p>
        </w:tc>
      </w:tr>
    </w:tbl>
    <w:p>
      <w:pPr>
        <w:spacing w:after="0" w:line="156" w:lineRule="exact"/>
        <w:rPr>
          <w:sz w:val="20"/>
          <w:szCs w:val="20"/>
          <w:color w:val="auto"/>
        </w:rPr>
      </w:pPr>
    </w:p>
    <w:p>
      <w:pPr>
        <w:sectPr>
          <w:pgSz w:w="11900" w:h="16838" w:orient="portrait"/>
          <w:cols w:equalWidth="0" w:num="1">
            <w:col w:w="10280"/>
          </w:cols>
          <w:pgMar w:left="800" w:top="1440" w:right="819" w:bottom="1440" w:gutter="0" w:footer="0" w:header="0"/>
        </w:sectPr>
      </w:pPr>
    </w:p>
    <w:p>
      <w:pPr>
        <w:jc w:val="center"/>
        <w:ind w:left="4100"/>
        <w:spacing w:after="0"/>
        <w:rPr>
          <w:sz w:val="20"/>
          <w:szCs w:val="20"/>
          <w:color w:val="auto"/>
        </w:rPr>
      </w:pPr>
      <w:r>
        <w:rPr>
          <w:rFonts w:ascii="Arial" w:cs="Arial" w:eastAsia="Arial" w:hAnsi="Arial"/>
          <w:sz w:val="14"/>
          <w:szCs w:val="14"/>
          <w:b w:val="1"/>
          <w:bCs w:val="1"/>
          <w:color w:val="auto"/>
        </w:rPr>
        <w:t>ZoomInfo OpCo</w:t>
      </w:r>
    </w:p>
    <w:p>
      <w:pPr>
        <w:jc w:val="center"/>
        <w:ind w:left="4080"/>
        <w:spacing w:after="0"/>
        <w:rPr>
          <w:sz w:val="20"/>
          <w:szCs w:val="20"/>
          <w:color w:val="auto"/>
        </w:rPr>
      </w:pPr>
      <w:r>
        <w:rPr>
          <w:rFonts w:ascii="Arial" w:cs="Arial" w:eastAsia="Arial" w:hAnsi="Arial"/>
          <w:sz w:val="13"/>
          <w:szCs w:val="13"/>
          <w:b w:val="1"/>
          <w:bCs w:val="1"/>
          <w:color w:val="auto"/>
        </w:rPr>
        <w:t>(DiscoverOrg Holdings, LLC)</w:t>
      </w:r>
    </w:p>
    <w:p>
      <w:pPr>
        <w:spacing w:after="0" w:line="28"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Year Ended December 31,</w:t>
      </w:r>
    </w:p>
    <w:p>
      <w:pPr>
        <w:spacing w:after="0" w:line="32" w:lineRule="exact"/>
        <w:rPr>
          <w:sz w:val="20"/>
          <w:szCs w:val="20"/>
          <w:color w:val="auto"/>
        </w:rPr>
      </w:pPr>
    </w:p>
    <w:p>
      <w:pPr>
        <w:ind w:left="4600"/>
        <w:spacing w:after="0"/>
        <w:tabs>
          <w:tab w:leader="none" w:pos="6180" w:val="left"/>
        </w:tabs>
        <w:rPr>
          <w:sz w:val="20"/>
          <w:szCs w:val="20"/>
          <w:color w:val="auto"/>
        </w:rPr>
      </w:pPr>
      <w:r>
        <w:rPr>
          <w:rFonts w:ascii="Arial" w:cs="Arial" w:eastAsia="Arial" w:hAnsi="Arial"/>
          <w:sz w:val="11"/>
          <w:szCs w:val="11"/>
          <w:b w:val="1"/>
          <w:bCs w:val="1"/>
          <w:color w:val="auto"/>
        </w:rPr>
        <w:t>2018</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ZoomInfo Technologies Inc.</w:t>
      </w:r>
    </w:p>
    <w:p>
      <w:pPr>
        <w:spacing w:after="0" w:line="32" w:lineRule="exact"/>
        <w:rPr>
          <w:sz w:val="20"/>
          <w:szCs w:val="20"/>
          <w:color w:val="auto"/>
        </w:rPr>
      </w:pPr>
    </w:p>
    <w:p>
      <w:pPr>
        <w:jc w:val="center"/>
        <w:ind w:right="520"/>
        <w:spacing w:after="0"/>
        <w:rPr>
          <w:sz w:val="20"/>
          <w:szCs w:val="20"/>
          <w:color w:val="auto"/>
        </w:rPr>
      </w:pPr>
      <w:r>
        <w:rPr>
          <w:rFonts w:ascii="Arial" w:cs="Arial" w:eastAsia="Arial" w:hAnsi="Arial"/>
          <w:sz w:val="11"/>
          <w:szCs w:val="11"/>
          <w:b w:val="1"/>
          <w:bCs w:val="1"/>
          <w:color w:val="auto"/>
        </w:rPr>
        <w:t>Nine Months Ended September 30,</w:t>
      </w:r>
    </w:p>
    <w:p>
      <w:pPr>
        <w:spacing w:after="0" w:line="67"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17" w:lineRule="exact"/>
        <w:rPr>
          <w:sz w:val="20"/>
          <w:szCs w:val="20"/>
          <w:color w:val="auto"/>
        </w:rPr>
      </w:pPr>
    </w:p>
    <w:p>
      <w:pPr>
        <w:sectPr>
          <w:pgSz w:w="11900" w:h="16838" w:orient="portrait"/>
          <w:cols w:equalWidth="0" w:num="2">
            <w:col w:w="6980" w:space="720"/>
            <w:col w:w="2580"/>
          </w:cols>
          <w:pgMar w:left="800" w:top="1440" w:right="8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9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b w:val="1"/>
                <w:bCs w:val="1"/>
                <w:color w:val="auto"/>
              </w:rPr>
              <w:t>Other Data</w:t>
            </w:r>
            <w:r>
              <w:rPr>
                <w:rFonts w:ascii="Arial" w:cs="Arial" w:eastAsia="Arial" w:hAnsi="Arial"/>
                <w:sz w:val="22"/>
                <w:szCs w:val="22"/>
                <w:b w:val="1"/>
                <w:bCs w:val="1"/>
                <w:color w:val="auto"/>
                <w:vertAlign w:val="superscript"/>
              </w:rPr>
              <w:t>(5)</w:t>
            </w:r>
            <w:r>
              <w:rPr>
                <w:rFonts w:ascii="Arial" w:cs="Arial" w:eastAsia="Arial" w:hAnsi="Arial"/>
                <w:sz w:val="17"/>
                <w:szCs w:val="17"/>
                <w:b w:val="1"/>
                <w:bCs w:val="1"/>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9"/>
        </w:trPr>
        <w:tc>
          <w:tcPr>
            <w:tcW w:w="3980" w:type="dxa"/>
            <w:vAlign w:val="bottom"/>
          </w:tcPr>
          <w:p>
            <w:pPr>
              <w:ind w:left="20"/>
              <w:spacing w:after="0" w:line="219" w:lineRule="exact"/>
              <w:rPr>
                <w:sz w:val="20"/>
                <w:szCs w:val="20"/>
                <w:color w:val="auto"/>
              </w:rPr>
            </w:pPr>
            <w:r>
              <w:rPr>
                <w:rFonts w:ascii="Arial" w:cs="Arial" w:eastAsia="Arial" w:hAnsi="Arial"/>
                <w:sz w:val="17"/>
                <w:szCs w:val="17"/>
                <w:color w:val="auto"/>
              </w:rPr>
              <w:t>Allocated Combined Receipts</w:t>
            </w:r>
            <w:r>
              <w:rPr>
                <w:rFonts w:ascii="Arial" w:cs="Arial" w:eastAsia="Arial" w:hAnsi="Arial"/>
                <w:sz w:val="22"/>
                <w:szCs w:val="22"/>
                <w:color w:val="auto"/>
                <w:vertAlign w:val="superscript"/>
              </w:rPr>
              <w:t>(6)</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336.0</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239.9</w:t>
            </w:r>
          </w:p>
        </w:tc>
        <w:tc>
          <w:tcPr>
            <w:tcW w:w="8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4"/>
              <w:spacing w:after="0"/>
              <w:rPr>
                <w:sz w:val="20"/>
                <w:szCs w:val="20"/>
                <w:color w:val="auto"/>
              </w:rPr>
            </w:pPr>
            <w:r>
              <w:rPr>
                <w:rFonts w:ascii="Arial" w:cs="Arial" w:eastAsia="Arial" w:hAnsi="Arial"/>
                <w:sz w:val="17"/>
                <w:szCs w:val="17"/>
                <w:color w:val="auto"/>
              </w:rPr>
              <w:t>338.4</w:t>
            </w:r>
          </w:p>
        </w:tc>
      </w:tr>
      <w:tr>
        <w:trPr>
          <w:trHeight w:val="219"/>
        </w:trPr>
        <w:tc>
          <w:tcPr>
            <w:tcW w:w="39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Adjusted Operating Income</w:t>
            </w:r>
            <w:r>
              <w:rPr>
                <w:rFonts w:ascii="Arial" w:cs="Arial" w:eastAsia="Arial" w:hAnsi="Arial"/>
                <w:sz w:val="22"/>
                <w:szCs w:val="22"/>
                <w:color w:val="auto"/>
                <w:vertAlign w:val="superscript"/>
              </w:rPr>
              <w:t>(7)</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162.6</w:t>
            </w:r>
          </w:p>
        </w:tc>
      </w:tr>
      <w:tr>
        <w:trPr>
          <w:trHeight w:val="219"/>
        </w:trPr>
        <w:tc>
          <w:tcPr>
            <w:tcW w:w="3980" w:type="dxa"/>
            <w:vAlign w:val="bottom"/>
          </w:tcPr>
          <w:p>
            <w:pPr>
              <w:ind w:left="20"/>
              <w:spacing w:after="0" w:line="219" w:lineRule="exact"/>
              <w:rPr>
                <w:sz w:val="20"/>
                <w:szCs w:val="20"/>
                <w:color w:val="auto"/>
              </w:rPr>
            </w:pPr>
            <w:r>
              <w:rPr>
                <w:rFonts w:ascii="Arial" w:cs="Arial" w:eastAsia="Arial" w:hAnsi="Arial"/>
                <w:sz w:val="17"/>
                <w:szCs w:val="17"/>
                <w:color w:val="auto"/>
              </w:rPr>
              <w:t>Adjusted Operating Income Margin</w:t>
            </w:r>
            <w:r>
              <w:rPr>
                <w:rFonts w:ascii="Arial" w:cs="Arial" w:eastAsia="Arial" w:hAnsi="Arial"/>
                <w:sz w:val="22"/>
                <w:szCs w:val="22"/>
                <w:color w:val="auto"/>
                <w:vertAlign w:val="superscript"/>
              </w:rPr>
              <w:t>(7)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48 %</w:t>
            </w:r>
          </w:p>
        </w:tc>
      </w:tr>
      <w:tr>
        <w:trPr>
          <w:trHeight w:val="219"/>
        </w:trPr>
        <w:tc>
          <w:tcPr>
            <w:tcW w:w="39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2"/>
                <w:szCs w:val="22"/>
                <w:color w:val="auto"/>
                <w:vertAlign w:val="superscript"/>
              </w:rPr>
              <w:t>(7)</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89.9</w:t>
            </w:r>
          </w:p>
        </w:tc>
      </w:tr>
      <w:tr>
        <w:trPr>
          <w:trHeight w:val="201"/>
        </w:trPr>
        <w:tc>
          <w:tcPr>
            <w:tcW w:w="3980" w:type="dxa"/>
            <w:vAlign w:val="bottom"/>
          </w:tcPr>
          <w:p>
            <w:pPr>
              <w:ind w:left="20"/>
              <w:spacing w:after="0" w:line="201"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(8)</w:t>
            </w: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7"/>
                <w:szCs w:val="17"/>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17"/>
                <w:szCs w:val="17"/>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14"/>
              <w:spacing w:after="0"/>
              <w:rPr>
                <w:sz w:val="20"/>
                <w:szCs w:val="20"/>
                <w:color w:val="auto"/>
              </w:rPr>
            </w:pPr>
            <w:r>
              <w:rPr>
                <w:rFonts w:ascii="Arial" w:cs="Arial" w:eastAsia="Arial" w:hAnsi="Arial"/>
                <w:sz w:val="17"/>
                <w:szCs w:val="17"/>
                <w:color w:val="auto"/>
              </w:rPr>
              <w:t>124.1</w:t>
            </w:r>
          </w:p>
        </w:tc>
        <w:tc>
          <w:tcPr>
            <w:tcW w:w="80" w:type="dxa"/>
            <w:vAlign w:val="bottom"/>
          </w:tcPr>
          <w:p>
            <w:pPr>
              <w:spacing w:after="0"/>
              <w:rPr>
                <w:sz w:val="17"/>
                <w:szCs w:val="17"/>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4"/>
              <w:spacing w:after="0"/>
              <w:rPr>
                <w:sz w:val="20"/>
                <w:szCs w:val="20"/>
                <w:color w:val="auto"/>
              </w:rPr>
            </w:pPr>
            <w:r>
              <w:rPr>
                <w:rFonts w:ascii="Arial" w:cs="Arial" w:eastAsia="Arial" w:hAnsi="Arial"/>
                <w:sz w:val="17"/>
                <w:szCs w:val="17"/>
                <w:color w:val="auto"/>
              </w:rPr>
              <w:t>169.0</w:t>
            </w:r>
          </w:p>
        </w:tc>
      </w:tr>
      <w:tr>
        <w:trPr>
          <w:trHeight w:val="167"/>
        </w:trPr>
        <w:tc>
          <w:tcPr>
            <w:tcW w:w="3980" w:type="dxa"/>
            <w:vAlign w:val="bottom"/>
          </w:tcPr>
          <w:p>
            <w:pPr>
              <w:spacing w:after="0"/>
              <w:rPr>
                <w:sz w:val="20"/>
                <w:szCs w:val="20"/>
                <w:color w:val="auto"/>
              </w:rPr>
            </w:pPr>
            <w:r>
              <w:rPr>
                <w:rFonts w:ascii="Arial" w:cs="Arial" w:eastAsia="Arial" w:hAnsi="Arial"/>
                <w:sz w:val="14"/>
                <w:szCs w:val="14"/>
                <w:color w:val="auto"/>
              </w:rPr>
              <w:t>__________________</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ind w:left="320" w:hanging="316"/>
        <w:spacing w:after="0" w:line="236" w:lineRule="auto"/>
        <w:tabs>
          <w:tab w:leader="none" w:pos="313" w:val="left"/>
        </w:tabs>
        <w:numPr>
          <w:ilvl w:val="0"/>
          <w:numId w:val="25"/>
        </w:numPr>
        <w:rPr>
          <w:rFonts w:ascii="Arial" w:cs="Arial" w:eastAsia="Arial" w:hAnsi="Arial"/>
          <w:sz w:val="14"/>
          <w:szCs w:val="14"/>
          <w:color w:val="auto"/>
        </w:rPr>
      </w:pPr>
      <w:r>
        <w:rPr>
          <w:rFonts w:ascii="Arial" w:cs="Arial" w:eastAsia="Arial" w:hAnsi="Arial"/>
          <w:sz w:val="14"/>
          <w:szCs w:val="14"/>
          <w:color w:val="auto"/>
        </w:rPr>
        <w:t>Historical results of ZoomInfo OpCo for the years ended December 31, 2018 and 2019 do not reflect the results of Pre-Acquisition ZI prior to the Zoom Information Acquisition on February 1, 2019.</w:t>
      </w:r>
    </w:p>
    <w:p>
      <w:pPr>
        <w:sectPr>
          <w:pgSz w:w="11900" w:h="16838" w:orient="portrait"/>
          <w:cols w:equalWidth="0" w:num="1">
            <w:col w:w="10280"/>
          </w:cols>
          <w:pgMar w:left="800" w:top="1440"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 in millions)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Revenue</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Income from operations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Net income (loss)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w:t>
      </w:r>
    </w:p>
    <w:p>
      <w:pPr>
        <w:ind w:left="620" w:hanging="307"/>
        <w:spacing w:after="0"/>
        <w:tabs>
          <w:tab w:leader="none" w:pos="620" w:val="left"/>
        </w:tabs>
        <w:numPr>
          <w:ilvl w:val="1"/>
          <w:numId w:val="26"/>
        </w:numPr>
        <w:rPr>
          <w:rFonts w:ascii="Arial" w:cs="Arial" w:eastAsia="Arial" w:hAnsi="Arial"/>
          <w:sz w:val="11"/>
          <w:szCs w:val="11"/>
          <w:color w:val="auto"/>
        </w:rPr>
      </w:pPr>
      <w:r>
        <w:rPr>
          <w:rFonts w:ascii="Arial" w:cs="Arial" w:eastAsia="Arial" w:hAnsi="Arial"/>
          <w:sz w:val="11"/>
          <w:szCs w:val="11"/>
          <w:color w:val="auto"/>
        </w:rPr>
        <w:t>Reflects January 2019 results for Pre-Acquisition ZI.</w:t>
      </w:r>
    </w:p>
    <w:p>
      <w:pPr>
        <w:spacing w:after="0" w:line="67" w:lineRule="exact"/>
        <w:rPr>
          <w:rFonts w:ascii="Arial" w:cs="Arial" w:eastAsia="Arial" w:hAnsi="Arial"/>
          <w:sz w:val="11"/>
          <w:szCs w:val="11"/>
          <w:color w:val="auto"/>
        </w:rPr>
      </w:pPr>
    </w:p>
    <w:p>
      <w:pPr>
        <w:ind w:left="300" w:hanging="296"/>
        <w:spacing w:after="0"/>
        <w:tabs>
          <w:tab w:leader="none" w:pos="300"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Includes equity-based compensation expense, as follows:</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4"/>
                <w:szCs w:val="14"/>
                <w:color w:val="auto"/>
              </w:rPr>
            </w:pPr>
          </w:p>
        </w:tc>
        <w:tc>
          <w:tcPr>
            <w:tcW w:w="2260" w:type="dxa"/>
            <w:vAlign w:val="bottom"/>
            <w:gridSpan w:val="3"/>
          </w:tcPr>
          <w:p>
            <w:pPr>
              <w:jc w:val="center"/>
              <w:ind w:left="51"/>
              <w:spacing w:after="0"/>
              <w:rPr>
                <w:sz w:val="20"/>
                <w:szCs w:val="20"/>
                <w:color w:val="auto"/>
              </w:rPr>
            </w:pPr>
            <w:r>
              <w:rPr>
                <w:rFonts w:ascii="Arial" w:cs="Arial" w:eastAsia="Arial" w:hAnsi="Arial"/>
                <w:sz w:val="14"/>
                <w:szCs w:val="14"/>
                <w:b w:val="1"/>
                <w:bCs w:val="1"/>
                <w:color w:val="auto"/>
                <w:w w:val="90"/>
              </w:rPr>
              <w:t>Year Ended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8"/>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8"/>
              </w:rPr>
              <w:t>December 31, 2018</w:t>
            </w:r>
          </w:p>
        </w:tc>
        <w:tc>
          <w:tcPr>
            <w:tcW w:w="120" w:type="dxa"/>
            <w:vAlign w:val="bottom"/>
          </w:tcPr>
          <w:p>
            <w:pPr>
              <w:spacing w:after="0"/>
              <w:rPr>
                <w:sz w:val="15"/>
                <w:szCs w:val="15"/>
                <w:color w:val="auto"/>
              </w:rPr>
            </w:pPr>
          </w:p>
        </w:tc>
        <w:tc>
          <w:tcPr>
            <w:tcW w:w="226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87"/>
              </w:rPr>
              <w:t>December 31, 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
        </w:trPr>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51"/>
        </w:trPr>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w w:val="92"/>
              </w:rPr>
              <w:t>ZoomInfo OpCo</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80"/>
              <w:spacing w:after="0" w:line="151" w:lineRule="exact"/>
              <w:rPr>
                <w:sz w:val="20"/>
                <w:szCs w:val="20"/>
                <w:color w:val="auto"/>
              </w:rPr>
            </w:pPr>
            <w:r>
              <w:rPr>
                <w:rFonts w:ascii="Arial" w:cs="Arial" w:eastAsia="Arial" w:hAnsi="Arial"/>
                <w:sz w:val="14"/>
                <w:szCs w:val="14"/>
                <w:b w:val="1"/>
                <w:bCs w:val="1"/>
                <w:color w:val="auto"/>
                <w:w w:val="92"/>
              </w:rPr>
              <w:t>ZoomInfo OpCo</w:t>
            </w: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(DiscoverOrg</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(DiscoverOrg</w:t>
            </w: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8"/>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Holdings, LLC)</w:t>
            </w:r>
          </w:p>
        </w:tc>
        <w:tc>
          <w:tcPr>
            <w:tcW w:w="80" w:type="dxa"/>
            <w:vAlign w:val="bottom"/>
          </w:tcPr>
          <w:p>
            <w:pPr>
              <w:spacing w:after="0"/>
              <w:rPr>
                <w:sz w:val="15"/>
                <w:szCs w:val="15"/>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Pre-Acquisition ZI</w:t>
            </w: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Holdings, LLC)</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Pre-Acquisition ZI</w:t>
            </w:r>
            <w:r>
              <w:rPr>
                <w:rFonts w:ascii="Arial" w:cs="Arial" w:eastAsia="Arial" w:hAnsi="Arial"/>
                <w:sz w:val="8"/>
                <w:szCs w:val="8"/>
                <w:b w:val="1"/>
                <w:bCs w:val="1"/>
                <w:color w:val="auto"/>
                <w:w w:val="94"/>
              </w:rPr>
              <w:t>(a)</w:t>
            </w:r>
          </w:p>
        </w:tc>
        <w:tc>
          <w:tcPr>
            <w:tcW w:w="60" w:type="dxa"/>
            <w:vAlign w:val="bottom"/>
          </w:tcPr>
          <w:p>
            <w:pPr>
              <w:spacing w:after="0"/>
              <w:rPr>
                <w:sz w:val="15"/>
                <w:szCs w:val="15"/>
                <w:color w:val="auto"/>
              </w:rPr>
            </w:pPr>
          </w:p>
        </w:tc>
      </w:tr>
      <w:tr>
        <w:trPr>
          <w:trHeight w:val="24"/>
        </w:trPr>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144.3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3"/>
          </w:tcPr>
          <w:p>
            <w:pPr>
              <w:jc w:val="center"/>
              <w:ind w:left="771"/>
              <w:spacing w:after="0"/>
              <w:rPr>
                <w:sz w:val="20"/>
                <w:szCs w:val="20"/>
                <w:color w:val="auto"/>
              </w:rPr>
            </w:pPr>
            <w:r>
              <w:rPr>
                <w:rFonts w:ascii="Arial" w:cs="Arial" w:eastAsia="Arial" w:hAnsi="Arial"/>
                <w:sz w:val="14"/>
                <w:szCs w:val="14"/>
                <w:color w:val="auto"/>
                <w:w w:val="87"/>
              </w:rPr>
              <w:t>72.5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293.3</w:t>
            </w:r>
          </w:p>
        </w:tc>
        <w:tc>
          <w:tcPr>
            <w:tcW w:w="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w w:val="92"/>
              </w:rPr>
              <w:t>9.7</w:t>
            </w:r>
          </w:p>
        </w:tc>
        <w:tc>
          <w:tcPr>
            <w:tcW w:w="60" w:type="dxa"/>
            <w:vAlign w:val="bottom"/>
          </w:tcPr>
          <w:p>
            <w:pPr>
              <w:spacing w:after="0"/>
              <w:rPr>
                <w:sz w:val="15"/>
                <w:szCs w:val="15"/>
                <w:color w:val="auto"/>
              </w:rPr>
            </w:pPr>
          </w:p>
        </w:tc>
      </w:tr>
      <w:tr>
        <w:trPr>
          <w:trHeight w:val="20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left="751"/>
              <w:spacing w:after="0"/>
              <w:rPr>
                <w:sz w:val="20"/>
                <w:szCs w:val="20"/>
                <w:color w:val="auto"/>
              </w:rPr>
            </w:pPr>
            <w:r>
              <w:rPr>
                <w:rFonts w:ascii="Arial" w:cs="Arial" w:eastAsia="Arial" w:hAnsi="Arial"/>
                <w:sz w:val="14"/>
                <w:szCs w:val="14"/>
                <w:color w:val="auto"/>
                <w:w w:val="92"/>
              </w:rPr>
              <w:t>(23.1)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2"/>
              </w:rPr>
              <w:t>1.7</w:t>
            </w:r>
          </w:p>
        </w:tc>
        <w:tc>
          <w:tcPr>
            <w:tcW w:w="60" w:type="dxa"/>
            <w:vAlign w:val="bottom"/>
          </w:tcPr>
          <w:p>
            <w:pPr>
              <w:spacing w:after="0"/>
              <w:rPr>
                <w:sz w:val="17"/>
                <w:szCs w:val="17"/>
                <w:color w:val="auto"/>
              </w:rPr>
            </w:pPr>
          </w:p>
        </w:tc>
      </w:tr>
      <w:tr>
        <w:trPr>
          <w:trHeight w:val="206"/>
        </w:trPr>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center"/>
              <w:ind w:left="751"/>
              <w:spacing w:after="0"/>
              <w:rPr>
                <w:sz w:val="20"/>
                <w:szCs w:val="20"/>
                <w:color w:val="auto"/>
              </w:rPr>
            </w:pPr>
            <w:r>
              <w:rPr>
                <w:rFonts w:ascii="Arial" w:cs="Arial" w:eastAsia="Arial" w:hAnsi="Arial"/>
                <w:sz w:val="14"/>
                <w:szCs w:val="14"/>
                <w:color w:val="auto"/>
                <w:w w:val="92"/>
              </w:rPr>
              <w:t>(27.5)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(78.0)</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2"/>
              </w:rPr>
              <w:t>0.8</w:t>
            </w:r>
          </w:p>
        </w:tc>
        <w:tc>
          <w:tcPr>
            <w:tcW w:w="60" w:type="dxa"/>
            <w:vAlign w:val="bottom"/>
          </w:tcPr>
          <w:p>
            <w:pPr>
              <w:spacing w:after="0"/>
              <w:rPr>
                <w:sz w:val="17"/>
                <w:szCs w:val="17"/>
                <w:color w:val="auto"/>
              </w:rPr>
            </w:pPr>
          </w:p>
        </w:tc>
      </w:tr>
      <w:tr>
        <w:trPr>
          <w:trHeight w:val="74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24"/>
                <w:szCs w:val="24"/>
                <w:color w:val="auto"/>
              </w:rPr>
            </w:pPr>
          </w:p>
        </w:tc>
        <w:tc>
          <w:tcPr>
            <w:tcW w:w="226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89"/>
              </w:rPr>
              <w:t>Nine Months Ended September 30,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
        </w:trPr>
        <w:tc>
          <w:tcPr>
            <w:tcW w:w="2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75"/>
        </w:trPr>
        <w:tc>
          <w:tcPr>
            <w:tcW w:w="2040" w:type="dxa"/>
            <w:vAlign w:val="bottom"/>
            <w:gridSpan w:val="3"/>
          </w:tcPr>
          <w:p>
            <w:pPr>
              <w:jc w:val="right"/>
              <w:ind w:right="9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13" w:lineRule="exact"/>
        <w:rPr>
          <w:sz w:val="20"/>
          <w:szCs w:val="20"/>
          <w:color w:val="auto"/>
        </w:rPr>
      </w:pPr>
    </w:p>
    <w:p>
      <w:pPr>
        <w:sectPr>
          <w:pgSz w:w="11900" w:h="16838" w:orient="portrait"/>
          <w:cols w:equalWidth="0" w:num="2">
            <w:col w:w="3520" w:space="240"/>
            <w:col w:w="6520"/>
          </w:cols>
          <w:pgMar w:left="800" w:top="1440" w:right="819" w:bottom="1440" w:gutter="0" w:footer="0" w:header="0"/>
          <w:type w:val="continuous"/>
        </w:sectPr>
      </w:pPr>
    </w:p>
    <w:tbl>
      <w:tblPr>
        <w:tblLayout w:type="fixed"/>
        <w:tblInd w:w="300" w:type="dxa"/>
        <w:tblCellMar>
          <w:top w:w="0" w:type="dxa"/>
          <w:left w:w="0" w:type="dxa"/>
          <w:bottom w:w="0" w:type="dxa"/>
          <w:right w:w="0" w:type="dxa"/>
        </w:tblCellMar>
      </w:tblPr>
      <w:tr>
        <w:trPr>
          <w:trHeight w:val="185"/>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640" w:type="dxa"/>
            <w:vAlign w:val="bottom"/>
            <w:tcBorders>
              <w:top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r>
      <w:tr>
        <w:trPr>
          <w:trHeight w:val="200"/>
        </w:trPr>
        <w:tc>
          <w:tcPr>
            <w:tcW w:w="34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0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r>
      <w:tr>
        <w:trPr>
          <w:trHeight w:val="20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64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00" w:hanging="296"/>
        <w:spacing w:after="0"/>
        <w:tabs>
          <w:tab w:leader="none" w:pos="3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5" w:lineRule="exact"/>
        <w:rPr>
          <w:rFonts w:ascii="Arial" w:cs="Arial" w:eastAsia="Arial" w:hAnsi="Arial"/>
          <w:sz w:val="14"/>
          <w:szCs w:val="14"/>
          <w:color w:val="auto"/>
        </w:rPr>
      </w:pPr>
    </w:p>
    <w:p>
      <w:pPr>
        <w:ind w:left="320" w:hanging="316"/>
        <w:spacing w:after="0" w:line="293" w:lineRule="auto"/>
        <w:tabs>
          <w:tab w:leader="none" w:pos="313"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Consists of 207,000,000 Series A Preferred Units issued on February 1, 2019 in connection with the Zoom Information Acquisition. We redeemed and cancelled all outstanding Series A Preferred Units with proceeds from the IPO for approximately $274.2 million, including accumulated but unpaid distributions and related prepayment premiums.</w:t>
      </w:r>
    </w:p>
    <w:p>
      <w:pPr>
        <w:jc w:val="both"/>
        <w:ind w:left="320" w:hanging="316"/>
        <w:spacing w:after="0" w:line="230" w:lineRule="auto"/>
        <w:tabs>
          <w:tab w:leader="none" w:pos="313"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addition to our results determined in accordance with U.S. generally accepted accounting principles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 w:lineRule="exact"/>
        <w:rPr>
          <w:rFonts w:ascii="Arial" w:cs="Arial" w:eastAsia="Arial" w:hAnsi="Arial"/>
          <w:sz w:val="14"/>
          <w:szCs w:val="14"/>
          <w:color w:val="auto"/>
        </w:rPr>
      </w:pPr>
    </w:p>
    <w:p>
      <w:pPr>
        <w:jc w:val="both"/>
        <w:ind w:left="320"/>
        <w:spacing w:after="0" w:line="254" w:lineRule="auto"/>
        <w:rPr>
          <w:rFonts w:ascii="Arial" w:cs="Arial" w:eastAsia="Arial" w:hAnsi="Arial"/>
          <w:sz w:val="14"/>
          <w:szCs w:val="14"/>
          <w:color w:val="auto"/>
        </w:rPr>
      </w:pPr>
      <w:r>
        <w:rPr>
          <w:rFonts w:ascii="Arial" w:cs="Arial" w:eastAsia="Arial" w:hAnsi="Arial"/>
          <w:sz w:val="13"/>
          <w:szCs w:val="13"/>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type w:val="continuous"/>
        </w:sectPr>
      </w:pPr>
    </w:p>
    <w:bookmarkStart w:id="30" w:name="page31"/>
    <w:bookmarkEnd w:id="30"/>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4178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115" cy="5417820"/>
                    </a:xfrm>
                    <a:prstGeom prst="rect">
                      <a:avLst/>
                    </a:prstGeom>
                    <a:noFill/>
                  </pic:spPr>
                </pic:pic>
              </a:graphicData>
            </a:graphic>
          </wp:anchor>
        </w:drawing>
      </w:r>
    </w:p>
    <w:p>
      <w:pPr>
        <w:ind w:left="320"/>
        <w:spacing w:after="0" w:line="239" w:lineRule="auto"/>
        <w:rPr>
          <w:sz w:val="20"/>
          <w:szCs w:val="20"/>
          <w:color w:val="auto"/>
        </w:rPr>
      </w:pPr>
      <w:r>
        <w:rPr>
          <w:rFonts w:ascii="Arial" w:cs="Arial" w:eastAsia="Arial" w:hAnsi="Arial"/>
          <w:sz w:val="14"/>
          <w:szCs w:val="14"/>
          <w:color w:val="auto"/>
        </w:rPr>
        <w:t>performance, all of which could reduce the usefulness of our non-GAAP financial measures as tools for comparison. A reconciliation is provided below for each non-GAAP financial measure to the most directly comparable financial measure stated in accordance with GAAP.</w:t>
      </w:r>
    </w:p>
    <w:p>
      <w:pPr>
        <w:jc w:val="both"/>
        <w:ind w:left="320" w:hanging="316"/>
        <w:spacing w:after="0" w:line="304" w:lineRule="auto"/>
        <w:tabs>
          <w:tab w:leader="none" w:pos="313" w:val="left"/>
        </w:tabs>
        <w:numPr>
          <w:ilvl w:val="0"/>
          <w:numId w:val="29"/>
        </w:numPr>
        <w:rPr>
          <w:rFonts w:ascii="Arial" w:cs="Arial" w:eastAsia="Arial" w:hAnsi="Arial"/>
          <w:sz w:val="11"/>
          <w:szCs w:val="11"/>
          <w:color w:val="auto"/>
        </w:rPr>
      </w:pPr>
      <w:r>
        <w:rPr>
          <w:rFonts w:ascii="Arial" w:cs="Arial" w:eastAsia="Arial" w:hAnsi="Arial"/>
          <w:sz w:val="11"/>
          <w:szCs w:val="11"/>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a reconciliation of Allocated Combined Receipts for the periods presented:</w:t>
      </w:r>
    </w:p>
    <w:p>
      <w:pPr>
        <w:spacing w:after="0" w:line="28" w:lineRule="exact"/>
        <w:rPr>
          <w:sz w:val="20"/>
          <w:szCs w:val="20"/>
          <w:color w:val="auto"/>
        </w:rPr>
      </w:pPr>
    </w:p>
    <w:tbl>
      <w:tblPr>
        <w:tblLayout w:type="fixed"/>
        <w:tblInd w:w="300" w:type="dxa"/>
        <w:tblCellMar>
          <w:top w:w="0" w:type="dxa"/>
          <w:left w:w="0" w:type="dxa"/>
          <w:bottom w:w="0" w:type="dxa"/>
          <w:right w:w="0" w:type="dxa"/>
        </w:tblCellMar>
      </w:tblPr>
      <w:tr>
        <w:trPr>
          <w:trHeight w:val="183"/>
        </w:trPr>
        <w:tc>
          <w:tcPr>
            <w:tcW w:w="3700" w:type="dxa"/>
            <w:vAlign w:val="bottom"/>
          </w:tcPr>
          <w:p>
            <w:pPr>
              <w:spacing w:after="0"/>
              <w:rPr>
                <w:sz w:val="15"/>
                <w:szCs w:val="15"/>
                <w:color w:val="auto"/>
              </w:rPr>
            </w:pPr>
          </w:p>
        </w:tc>
        <w:tc>
          <w:tcPr>
            <w:tcW w:w="236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8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96"/>
              </w:rPr>
              <w:t>293.3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336.5</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line="129" w:lineRule="exact"/>
              <w:rPr>
                <w:sz w:val="20"/>
                <w:szCs w:val="20"/>
                <w:color w:val="auto"/>
              </w:rPr>
            </w:pPr>
            <w:r>
              <w:rPr>
                <w:rFonts w:ascii="Arial" w:cs="Arial" w:eastAsia="Arial" w:hAnsi="Arial"/>
                <w:sz w:val="14"/>
                <w:szCs w:val="14"/>
                <w:color w:val="auto"/>
              </w:rPr>
              <w:t>Impact of fair value adjustments to acquired unearned</w:t>
            </w:r>
          </w:p>
        </w:tc>
        <w:tc>
          <w:tcPr>
            <w:tcW w:w="8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7"/>
        </w:trPr>
        <w:tc>
          <w:tcPr>
            <w:tcW w:w="3700" w:type="dxa"/>
            <w:vAlign w:val="bottom"/>
          </w:tcPr>
          <w:p>
            <w:pPr>
              <w:ind w:left="40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(a)</w:t>
            </w:r>
          </w:p>
        </w:tc>
        <w:tc>
          <w:tcPr>
            <w:tcW w:w="8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Pre-Acquisition ZI revenue</w:t>
            </w:r>
            <w:r>
              <w:rPr>
                <w:rFonts w:ascii="Arial" w:cs="Arial" w:eastAsia="Arial" w:hAnsi="Arial"/>
                <w:sz w:val="8"/>
                <w:szCs w:val="8"/>
                <w:color w:val="auto"/>
              </w:rPr>
              <w:t>(b)</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line="129" w:lineRule="exact"/>
              <w:rPr>
                <w:sz w:val="20"/>
                <w:szCs w:val="20"/>
                <w:color w:val="auto"/>
              </w:rPr>
            </w:pPr>
            <w:r>
              <w:rPr>
                <w:rFonts w:ascii="Arial" w:cs="Arial" w:eastAsia="Arial" w:hAnsi="Arial"/>
                <w:sz w:val="14"/>
                <w:szCs w:val="14"/>
                <w:color w:val="auto"/>
                <w:w w:val="88"/>
              </w:rPr>
              <w:t>Impact of fair value adjustments to acquired unearned revenue</w:t>
            </w:r>
          </w:p>
        </w:tc>
        <w:tc>
          <w:tcPr>
            <w:tcW w:w="8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vMerge w:val="restart"/>
          </w:tcPr>
          <w:p>
            <w:pPr>
              <w:jc w:val="right"/>
              <w:ind w:right="91"/>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3700" w:type="dxa"/>
            <w:vAlign w:val="bottom"/>
          </w:tcPr>
          <w:p>
            <w:pPr>
              <w:ind w:left="400"/>
              <w:spacing w:after="0"/>
              <w:rPr>
                <w:sz w:val="20"/>
                <w:szCs w:val="20"/>
                <w:color w:val="auto"/>
              </w:rPr>
            </w:pPr>
            <w:r>
              <w:rPr>
                <w:rFonts w:ascii="Arial" w:cs="Arial" w:eastAsia="Arial" w:hAnsi="Arial"/>
                <w:sz w:val="14"/>
                <w:szCs w:val="14"/>
                <w:color w:val="auto"/>
              </w:rPr>
              <w:t>recorded by Pre-Acquisition ZI</w:t>
            </w:r>
            <w:r>
              <w:rPr>
                <w:rFonts w:ascii="Arial" w:cs="Arial" w:eastAsia="Arial" w:hAnsi="Arial"/>
                <w:sz w:val="8"/>
                <w:szCs w:val="8"/>
                <w:color w:val="auto"/>
              </w:rPr>
              <w:t>(c)</w:t>
            </w:r>
          </w:p>
        </w:tc>
        <w:tc>
          <w:tcPr>
            <w:tcW w:w="8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Pre-acquisition revenue of other acquired companies</w:t>
            </w:r>
            <w:r>
              <w:rPr>
                <w:rFonts w:ascii="Arial" w:cs="Arial" w:eastAsia="Arial" w:hAnsi="Arial"/>
                <w:sz w:val="8"/>
                <w:szCs w:val="8"/>
                <w:color w:val="auto"/>
              </w:rPr>
              <w:t>(d)</w:t>
            </w:r>
          </w:p>
        </w:tc>
        <w:tc>
          <w:tcPr>
            <w:tcW w:w="8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4"/>
                <w:szCs w:val="14"/>
                <w:color w:val="auto"/>
              </w:rPr>
              <w:t>Allocated Combined Receipts</w:t>
            </w:r>
          </w:p>
        </w:tc>
        <w:tc>
          <w:tcPr>
            <w:tcW w:w="8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241.2</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6"/>
              </w:rPr>
              <w:t>336.0</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239.9</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338.4</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Growth</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39 %</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41 %</w:t>
            </w:r>
          </w:p>
        </w:tc>
        <w:tc>
          <w:tcPr>
            <w:tcW w:w="0" w:type="dxa"/>
            <w:vAlign w:val="bottom"/>
          </w:tcPr>
          <w:p>
            <w:pPr>
              <w:spacing w:after="0"/>
              <w:rPr>
                <w:sz w:val="1"/>
                <w:szCs w:val="1"/>
                <w:color w:val="auto"/>
              </w:rPr>
            </w:pPr>
          </w:p>
        </w:tc>
      </w:tr>
      <w:tr>
        <w:trPr>
          <w:trHeight w:val="148"/>
        </w:trPr>
        <w:tc>
          <w:tcPr>
            <w:tcW w:w="3700" w:type="dxa"/>
            <w:vAlign w:val="bottom"/>
          </w:tcPr>
          <w:p>
            <w:pPr>
              <w:ind w:left="20"/>
              <w:spacing w:after="0" w:line="148" w:lineRule="exact"/>
              <w:rPr>
                <w:sz w:val="20"/>
                <w:szCs w:val="20"/>
                <w:color w:val="auto"/>
              </w:rPr>
            </w:pPr>
            <w:r>
              <w:rPr>
                <w:rFonts w:ascii="Arial" w:cs="Arial" w:eastAsia="Arial" w:hAnsi="Arial"/>
                <w:sz w:val="14"/>
                <w:szCs w:val="14"/>
                <w:color w:val="auto"/>
              </w:rPr>
              <w:t>__________________</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620" w:hanging="307"/>
        <w:spacing w:after="0" w:line="230" w:lineRule="auto"/>
        <w:tabs>
          <w:tab w:leader="none" w:pos="618" w:val="left"/>
        </w:tabs>
        <w:numPr>
          <w:ilvl w:val="1"/>
          <w:numId w:val="30"/>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620" w:hanging="307"/>
        <w:spacing w:after="0" w:line="230" w:lineRule="auto"/>
        <w:tabs>
          <w:tab w:leader="none" w:pos="620" w:val="left"/>
        </w:tabs>
        <w:numPr>
          <w:ilvl w:val="1"/>
          <w:numId w:val="30"/>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620" w:hanging="307"/>
        <w:spacing w:after="0" w:line="248" w:lineRule="auto"/>
        <w:tabs>
          <w:tab w:leader="none" w:pos="618" w:val="left"/>
        </w:tabs>
        <w:numPr>
          <w:ilvl w:val="1"/>
          <w:numId w:val="30"/>
        </w:numPr>
        <w:rPr>
          <w:rFonts w:ascii="Arial" w:cs="Arial" w:eastAsia="Arial" w:hAnsi="Arial"/>
          <w:sz w:val="13"/>
          <w:szCs w:val="13"/>
          <w:color w:val="auto"/>
        </w:rPr>
      </w:pPr>
      <w:r>
        <w:rPr>
          <w:rFonts w:ascii="Arial" w:cs="Arial" w:eastAsia="Arial" w:hAnsi="Arial"/>
          <w:sz w:val="13"/>
          <w:szCs w:val="13"/>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620" w:hanging="307"/>
        <w:spacing w:after="0" w:line="236" w:lineRule="auto"/>
        <w:tabs>
          <w:tab w:leader="none" w:pos="613" w:val="left"/>
        </w:tabs>
        <w:numPr>
          <w:ilvl w:val="1"/>
          <w:numId w:val="30"/>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31" w:lineRule="exact"/>
        <w:rPr>
          <w:rFonts w:ascii="Arial" w:cs="Arial" w:eastAsia="Arial" w:hAnsi="Arial"/>
          <w:sz w:val="14"/>
          <w:szCs w:val="14"/>
          <w:color w:val="auto"/>
        </w:rPr>
      </w:pPr>
    </w:p>
    <w:p>
      <w:pPr>
        <w:jc w:val="both"/>
        <w:ind w:left="320" w:hanging="316"/>
        <w:spacing w:after="0" w:line="252" w:lineRule="auto"/>
        <w:tabs>
          <w:tab w:leader="none" w:pos="313"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 We define Adjusted Operating Income Margin as Adjusted Operating Income divided by the sum of revenue and impacts of fair value adjustments to acquired unearned revenue.</w:t>
      </w:r>
    </w:p>
    <w:p>
      <w:pPr>
        <w:spacing w:after="0" w:line="27" w:lineRule="exact"/>
        <w:rPr>
          <w:rFonts w:ascii="Arial" w:cs="Arial" w:eastAsia="Arial" w:hAnsi="Arial"/>
          <w:sz w:val="13"/>
          <w:szCs w:val="13"/>
          <w:color w:val="auto"/>
        </w:rPr>
      </w:pPr>
    </w:p>
    <w:p>
      <w:pPr>
        <w:jc w:val="both"/>
        <w:ind w:left="320"/>
        <w:spacing w:after="0" w:line="235" w:lineRule="auto"/>
        <w:rPr>
          <w:rFonts w:ascii="Arial" w:cs="Arial" w:eastAsia="Arial" w:hAnsi="Arial"/>
          <w:sz w:val="13"/>
          <w:szCs w:val="13"/>
          <w:color w:val="auto"/>
        </w:rPr>
      </w:pPr>
      <w:r>
        <w:rPr>
          <w:rFonts w:ascii="Arial" w:cs="Arial" w:eastAsia="Arial" w:hAnsi="Arial"/>
          <w:sz w:val="14"/>
          <w:szCs w:val="14"/>
          <w:color w:val="auto"/>
        </w:rPr>
        <w:t>We define Adjusted Net Income as Adjusted Operating Income less (i) interest expense, net (ii) other (income) expense, net, excluding tax receivable agreement liability remeasurement expense (benefit) and (iii) income tax expense (benefit) including incremental tax effects of adjustments to arrive at Adjusted Operating Income and current tax benefits related to the tax receivable agreements.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31" w:name="page32"/>
    <w:bookmarkEnd w:id="31"/>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64236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115" cy="64236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The following table presents a reconciliation of Adjusted Operating Income and Adjusted Net Income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7"/>
                <w:szCs w:val="17"/>
                <w:color w:val="auto"/>
              </w:rPr>
            </w:pPr>
          </w:p>
        </w:tc>
        <w:tc>
          <w:tcPr>
            <w:tcW w:w="262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7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77"/>
        </w:trPr>
        <w:tc>
          <w:tcPr>
            <w:tcW w:w="3700" w:type="dxa"/>
            <w:vAlign w:val="bottom"/>
          </w:tcPr>
          <w:p>
            <w:pPr>
              <w:ind w:left="180"/>
              <w:spacing w:after="0"/>
              <w:rPr>
                <w:sz w:val="20"/>
                <w:szCs w:val="20"/>
                <w:color w:val="auto"/>
              </w:rPr>
            </w:pPr>
            <w:r>
              <w:rPr>
                <w:rFonts w:ascii="Arial" w:cs="Arial" w:eastAsia="Arial" w:hAnsi="Arial"/>
                <w:sz w:val="14"/>
                <w:szCs w:val="14"/>
                <w:color w:val="auto"/>
              </w:rPr>
              <w:t>Benefit (expenses) from income taxes</w:t>
            </w:r>
          </w:p>
        </w:tc>
        <w:tc>
          <w:tcPr>
            <w:tcW w:w="3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76.9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77"/>
        </w:trPr>
        <w:tc>
          <w:tcPr>
            <w:tcW w:w="3700" w:type="dxa"/>
            <w:vAlign w:val="bottom"/>
          </w:tcPr>
          <w:p>
            <w:pPr>
              <w:ind w:left="180"/>
              <w:spacing w:after="0"/>
              <w:rPr>
                <w:sz w:val="20"/>
                <w:szCs w:val="20"/>
                <w:color w:val="auto"/>
              </w:rPr>
            </w:pPr>
            <w:r>
              <w:rPr>
                <w:rFonts w:ascii="Arial" w:cs="Arial" w:eastAsia="Arial" w:hAnsi="Arial"/>
                <w:sz w:val="14"/>
                <w:szCs w:val="14"/>
                <w:color w:val="auto"/>
              </w:rPr>
              <w:t>Loss on debt extinguishment</w:t>
            </w:r>
          </w:p>
        </w:tc>
        <w:tc>
          <w:tcPr>
            <w:tcW w:w="3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0"/>
        </w:trPr>
        <w:tc>
          <w:tcPr>
            <w:tcW w:w="3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Income (loss) from operations</w:t>
            </w: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12"/>
        </w:trPr>
        <w:tc>
          <w:tcPr>
            <w:tcW w:w="37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Impacts of fair value adjustments to acquired unearned</w:t>
            </w:r>
          </w:p>
        </w:tc>
        <w:tc>
          <w:tcPr>
            <w:tcW w:w="34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3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00" w:type="dxa"/>
            <w:vAlign w:val="bottom"/>
          </w:tcPr>
          <w:p>
            <w:pPr>
              <w:ind w:left="240"/>
              <w:spacing w:after="0"/>
              <w:rPr>
                <w:sz w:val="20"/>
                <w:szCs w:val="20"/>
                <w:color w:val="auto"/>
              </w:rPr>
            </w:pPr>
            <w:r>
              <w:rPr>
                <w:rFonts w:ascii="Arial" w:cs="Arial" w:eastAsia="Arial" w:hAnsi="Arial"/>
                <w:sz w:val="14"/>
                <w:szCs w:val="14"/>
                <w:color w:val="auto"/>
              </w:rPr>
              <w:t>Amortization of acquired technology</w:t>
            </w: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19.6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other acquired intangibles</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7"/>
        </w:trPr>
        <w:tc>
          <w:tcPr>
            <w:tcW w:w="3700" w:type="dxa"/>
            <w:vAlign w:val="bottom"/>
          </w:tcPr>
          <w:p>
            <w:pPr>
              <w:ind w:left="240"/>
              <w:spacing w:after="0"/>
              <w:rPr>
                <w:sz w:val="20"/>
                <w:szCs w:val="20"/>
                <w:color w:val="auto"/>
              </w:rPr>
            </w:pPr>
            <w:r>
              <w:rPr>
                <w:rFonts w:ascii="Arial" w:cs="Arial" w:eastAsia="Arial" w:hAnsi="Arial"/>
                <w:sz w:val="14"/>
                <w:szCs w:val="14"/>
                <w:color w:val="auto"/>
              </w:rPr>
              <w:t>Equity-based compensation expense</w:t>
            </w: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7"/>
        </w:trPr>
        <w:tc>
          <w:tcPr>
            <w:tcW w:w="37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Integration costs and acquisition-related expenses</w:t>
            </w:r>
            <w:r>
              <w:rPr>
                <w:rFonts w:ascii="Arial" w:cs="Arial" w:eastAsia="Arial" w:hAnsi="Arial"/>
                <w:sz w:val="8"/>
                <w:szCs w:val="8"/>
                <w:color w:val="auto"/>
              </w:rPr>
              <w:t>(d)</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14.3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Operating Income</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167.1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77"/>
        </w:trPr>
        <w:tc>
          <w:tcPr>
            <w:tcW w:w="3700" w:type="dxa"/>
            <w:vAlign w:val="bottom"/>
          </w:tcPr>
          <w:p>
            <w:pPr>
              <w:ind w:left="240"/>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color w:val="auto"/>
              </w:rPr>
              <w:t>(76.9)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32"/>
        </w:trPr>
        <w:tc>
          <w:tcPr>
            <w:tcW w:w="3700" w:type="dxa"/>
            <w:vAlign w:val="bottom"/>
            <w:shd w:val="clear" w:color="auto" w:fill="CCEEFF"/>
          </w:tcPr>
          <w:p>
            <w:pPr>
              <w:ind w:left="240"/>
              <w:spacing w:after="0" w:line="132" w:lineRule="exact"/>
              <w:rPr>
                <w:sz w:val="20"/>
                <w:szCs w:val="20"/>
                <w:color w:val="auto"/>
              </w:rPr>
            </w:pPr>
            <w:r>
              <w:rPr>
                <w:rFonts w:ascii="Arial" w:cs="Arial" w:eastAsia="Arial" w:hAnsi="Arial"/>
                <w:sz w:val="14"/>
                <w:szCs w:val="14"/>
                <w:color w:val="auto"/>
              </w:rPr>
              <w:t>Other (income) expense, net, excluding TRA liability</w:t>
            </w:r>
          </w:p>
        </w:tc>
        <w:tc>
          <w:tcPr>
            <w:tcW w:w="3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measurement (benefit) expense</w:t>
            </w:r>
          </w:p>
        </w:tc>
        <w:tc>
          <w:tcPr>
            <w:tcW w:w="3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00" w:type="dxa"/>
            <w:vAlign w:val="bottom"/>
          </w:tcPr>
          <w:p>
            <w:pPr>
              <w:ind w:left="240"/>
              <w:spacing w:after="0"/>
              <w:rPr>
                <w:sz w:val="20"/>
                <w:szCs w:val="20"/>
                <w:color w:val="auto"/>
              </w:rPr>
            </w:pPr>
            <w:r>
              <w:rPr>
                <w:rFonts w:ascii="Arial" w:cs="Arial" w:eastAsia="Arial" w:hAnsi="Arial"/>
                <w:sz w:val="14"/>
                <w:szCs w:val="14"/>
                <w:color w:val="auto"/>
              </w:rPr>
              <w:t>Benefit (expense) from income taxes</w:t>
            </w:r>
          </w:p>
        </w:tc>
        <w:tc>
          <w:tcPr>
            <w:tcW w:w="340" w:type="dxa"/>
            <w:vAlign w:val="bottom"/>
          </w:tcPr>
          <w:p>
            <w:pPr>
              <w:spacing w:after="0"/>
              <w:rPr>
                <w:sz w:val="15"/>
                <w:szCs w:val="15"/>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0"/>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Tax impacts of adjustments to net income (loss)</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0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Adjusted Operating Income Margin</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51 %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52 %</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48 %</w:t>
            </w:r>
          </w:p>
        </w:tc>
        <w:tc>
          <w:tcPr>
            <w:tcW w:w="0" w:type="dxa"/>
            <w:vAlign w:val="bottom"/>
          </w:tcPr>
          <w:p>
            <w:pPr>
              <w:spacing w:after="0"/>
              <w:rPr>
                <w:sz w:val="1"/>
                <w:szCs w:val="1"/>
                <w:color w:val="auto"/>
              </w:rPr>
            </w:pPr>
          </w:p>
        </w:tc>
      </w:tr>
      <w:tr>
        <w:trPr>
          <w:trHeight w:val="148"/>
        </w:trPr>
        <w:tc>
          <w:tcPr>
            <w:tcW w:w="3700" w:type="dxa"/>
            <w:vAlign w:val="bottom"/>
          </w:tcPr>
          <w:p>
            <w:pPr>
              <w:ind w:left="20"/>
              <w:spacing w:after="0" w:line="148" w:lineRule="exact"/>
              <w:rPr>
                <w:sz w:val="20"/>
                <w:szCs w:val="20"/>
                <w:color w:val="auto"/>
              </w:rPr>
            </w:pPr>
            <w:r>
              <w:rPr>
                <w:rFonts w:ascii="Arial" w:cs="Arial" w:eastAsia="Arial" w:hAnsi="Arial"/>
                <w:sz w:val="14"/>
                <w:szCs w:val="14"/>
                <w:color w:val="auto"/>
              </w:rPr>
              <w:t>__________________</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07"/>
        <w:spacing w:after="0" w:line="230" w:lineRule="auto"/>
        <w:tabs>
          <w:tab w:leader="none" w:pos="3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07"/>
        <w:spacing w:after="0" w:line="230" w:lineRule="auto"/>
        <w:tabs>
          <w:tab w:leader="none" w:pos="313"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07"/>
        <w:spacing w:after="0" w:line="248" w:lineRule="auto"/>
        <w:tabs>
          <w:tab w:leader="none" w:pos="318"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jc w:val="both"/>
        <w:ind w:left="320" w:hanging="307"/>
        <w:spacing w:after="0" w:line="250" w:lineRule="auto"/>
        <w:tabs>
          <w:tab w:leader="none" w:pos="313"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 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113"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25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7"/>
        </w:trPr>
        <w:tc>
          <w:tcPr>
            <w:tcW w:w="32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3"/>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7"/>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12"/>
        </w:trPr>
        <w:tc>
          <w:tcPr>
            <w:tcW w:w="326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Total integration costs and acquisition-related</w:t>
            </w:r>
          </w:p>
        </w:tc>
        <w:tc>
          <w:tcPr>
            <w:tcW w:w="32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3260" w:type="dxa"/>
            <w:vAlign w:val="bottom"/>
            <w:tcBorders>
              <w:bottom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compensation</w:t>
            </w: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423545</wp:posOffset>
            </wp:positionV>
            <wp:extent cx="713867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9980"/>
          </w:cols>
          <w:pgMar w:left="1100" w:top="1440" w:right="819" w:bottom="1440" w:gutter="0" w:footer="0" w:header="0"/>
        </w:sectPr>
      </w:pPr>
    </w:p>
    <w:bookmarkStart w:id="32" w:name="page33"/>
    <w:bookmarkEnd w:id="32"/>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52870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115" cy="5287010"/>
                    </a:xfrm>
                    <a:prstGeom prst="rect">
                      <a:avLst/>
                    </a:prstGeom>
                    <a:noFill/>
                  </pic:spPr>
                </pic:pic>
              </a:graphicData>
            </a:graphic>
          </wp:anchor>
        </w:drawing>
      </w:r>
    </w:p>
    <w:p>
      <w:pPr>
        <w:jc w:val="both"/>
        <w:ind w:left="320" w:hanging="316"/>
        <w:spacing w:after="0" w:line="253" w:lineRule="auto"/>
        <w:tabs>
          <w:tab w:leader="none" w:pos="313" w:val="left"/>
        </w:tabs>
        <w:numPr>
          <w:ilvl w:val="0"/>
          <w:numId w:val="33"/>
        </w:numPr>
        <w:rPr>
          <w:rFonts w:ascii="Arial" w:cs="Arial" w:eastAsia="Arial" w:hAnsi="Arial"/>
          <w:sz w:val="13"/>
          <w:szCs w:val="13"/>
          <w:color w:val="auto"/>
        </w:rPr>
      </w:pPr>
      <w:r>
        <w:rPr>
          <w:rFonts w:ascii="Arial" w:cs="Arial" w:eastAsia="Arial" w:hAnsi="Arial"/>
          <w:sz w:val="13"/>
          <w:szCs w:val="13"/>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of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a reconciliation of net loss to Adjusted EBITDA for the periods presented:</w:t>
      </w:r>
    </w:p>
    <w:p>
      <w:pPr>
        <w:spacing w:after="0" w:line="41" w:lineRule="exact"/>
        <w:rPr>
          <w:sz w:val="20"/>
          <w:szCs w:val="20"/>
          <w:color w:val="auto"/>
        </w:rPr>
      </w:pPr>
    </w:p>
    <w:tbl>
      <w:tblPr>
        <w:tblLayout w:type="fixed"/>
        <w:tblInd w:w="30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7"/>
                <w:szCs w:val="17"/>
                <w:color w:val="auto"/>
              </w:rPr>
            </w:pPr>
          </w:p>
        </w:tc>
        <w:tc>
          <w:tcPr>
            <w:tcW w:w="25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7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rPr>
              <w:t>Benefit (expenses) from income taxes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 net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rPr>
              <w:t>Loss on debt extinguishment</w:t>
            </w:r>
          </w:p>
        </w:tc>
        <w:tc>
          <w:tcPr>
            <w:tcW w:w="3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rPr>
              <w:t>Amortization of acquired technology</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other acquired intangibles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7"/>
        </w:trPr>
        <w:tc>
          <w:tcPr>
            <w:tcW w:w="3940" w:type="dxa"/>
            <w:vAlign w:val="bottom"/>
          </w:tcPr>
          <w:p>
            <w:pPr>
              <w:ind w:left="20"/>
              <w:spacing w:after="0"/>
              <w:rPr>
                <w:sz w:val="20"/>
                <w:szCs w:val="20"/>
                <w:color w:val="auto"/>
              </w:rPr>
            </w:pPr>
            <w:r>
              <w:rPr>
                <w:rFonts w:ascii="Arial" w:cs="Arial" w:eastAsia="Arial" w:hAnsi="Arial"/>
                <w:sz w:val="14"/>
                <w:szCs w:val="14"/>
                <w:color w:val="auto"/>
              </w:rPr>
              <w:t>EBITDA</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w w:val="90"/>
              </w:rPr>
              <w:t>Impact of fair value adjustments to acquired unearned revenue</w:t>
            </w:r>
            <w:r>
              <w:rPr>
                <w:rFonts w:ascii="Arial" w:cs="Arial" w:eastAsia="Arial" w:hAnsi="Arial"/>
                <w:sz w:val="8"/>
                <w:szCs w:val="8"/>
                <w:color w:val="auto"/>
                <w:w w:val="90"/>
              </w:rPr>
              <w:t>(b)</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Equity-based compensation</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77"/>
        </w:trPr>
        <w:tc>
          <w:tcPr>
            <w:tcW w:w="3940" w:type="dxa"/>
            <w:vAlign w:val="bottom"/>
          </w:tcPr>
          <w:p>
            <w:pPr>
              <w:ind w:left="30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Integration costs and acquisition-related expenses</w:t>
            </w:r>
            <w:r>
              <w:rPr>
                <w:rFonts w:ascii="Arial" w:cs="Arial" w:eastAsia="Arial" w:hAnsi="Arial"/>
                <w:sz w:val="8"/>
                <w:szCs w:val="8"/>
                <w:color w:val="auto"/>
              </w:rPr>
              <w:t>(d)</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__________________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9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20" w:hanging="307"/>
        <w:spacing w:after="0" w:line="230" w:lineRule="auto"/>
        <w:tabs>
          <w:tab w:leader="none" w:pos="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620" w:hanging="307"/>
        <w:spacing w:after="0" w:line="230" w:lineRule="auto"/>
        <w:tabs>
          <w:tab w:leader="none" w:pos="613"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620" w:hanging="307"/>
        <w:spacing w:after="0" w:line="248" w:lineRule="auto"/>
        <w:tabs>
          <w:tab w:leader="none" w:pos="618"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jc w:val="both"/>
        <w:ind w:left="620" w:hanging="307"/>
        <w:spacing w:after="0" w:line="250" w:lineRule="auto"/>
        <w:tabs>
          <w:tab w:leader="none" w:pos="613"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423545</wp:posOffset>
            </wp:positionV>
            <wp:extent cx="713867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80"/>
          </w:cols>
          <w:pgMar w:left="800" w:top="1440" w:right="819" w:bottom="1440" w:gutter="0" w:footer="0" w:header="0"/>
        </w:sectPr>
      </w:pPr>
    </w:p>
    <w:bookmarkStart w:id="33" w:name="page34"/>
    <w:bookmarkEnd w:id="33"/>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871855</wp:posOffset>
            </wp:positionV>
            <wp:extent cx="7143115" cy="1689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115" cy="168910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4"/>
          <w:szCs w:val="14"/>
          <w:color w:val="auto"/>
        </w:rPr>
        <w:t>discussion regarding cash vesting payments associated with the acquisition of Pre-Acquisition ZI). This expense is included in cost of service, sales and marketing expense, research and development expense, and general and administrative expense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24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7"/>
        </w:trPr>
        <w:tc>
          <w:tcPr>
            <w:tcW w:w="33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7"/>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12"/>
        </w:trPr>
        <w:tc>
          <w:tcPr>
            <w:tcW w:w="33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Total integration costs and acquisition-related</w:t>
            </w:r>
          </w:p>
        </w:tc>
        <w:tc>
          <w:tcPr>
            <w:tcW w:w="30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CCEEFF"/>
            </w:tcBorders>
            <w:shd w:val="clear" w:color="auto" w:fill="CCEEFF"/>
          </w:tcPr>
          <w:p>
            <w:pPr>
              <w:ind w:left="280"/>
              <w:spacing w:after="0" w:line="155" w:lineRule="exact"/>
              <w:rPr>
                <w:sz w:val="20"/>
                <w:szCs w:val="20"/>
                <w:color w:val="auto"/>
              </w:rPr>
            </w:pPr>
            <w:r>
              <w:rPr>
                <w:rFonts w:ascii="Arial" w:cs="Arial" w:eastAsia="Arial" w:hAnsi="Arial"/>
                <w:sz w:val="14"/>
                <w:szCs w:val="14"/>
                <w:color w:val="auto"/>
              </w:rPr>
              <w:t>compensation</w:t>
            </w: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423545</wp:posOffset>
            </wp:positionV>
            <wp:extent cx="713867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9660"/>
          </w:cols>
          <w:pgMar w:left="1420" w:top="1440" w:right="81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RISK FACTORS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i w:val="1"/>
          <w:iCs w:val="1"/>
          <w:color w:val="auto"/>
        </w:rPr>
        <w:t>An investment in shares of our Class A common stock involves risks. You should carefully consider the following information about these risks, together with the other information contained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1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which could materially and adversely impact our business. Further, as a result of the COVID-19 pandemic, we expect we will experience slowed growth or decline in new customer demand for our platform and lower demand from our existing customers for upgrades within our platform, as well as existing and potential customers reducing or delaying purchasing decisions. We have experienced, and expect to continue to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22"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In response to the COVID-19 pandemic, we have temporarily closed all of our offices (including our headquarters and our office in Israel),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10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6"/>
          <w:szCs w:val="16"/>
          <w:color w:val="auto"/>
        </w:rPr>
        <w:t>supply chain of hardware required by their systems and services, any of which could materially adversely affect our business. Further, the COVID-19 pandemic has resulted in our employees and those of many of our customers and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1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9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1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1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7"/>
          <w:szCs w:val="17"/>
          <w:color w:val="auto"/>
        </w:rPr>
        <w:t>from these possible consolidations may create more compelling product offerings and be able to offer more attractive pricing options, making it more difficult for us to compete effectively.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competitors may be able to respond more quickly and effectively to new or changing opportunities, technologies, standards, or customer requirements, or pricing pressure. As a result, even if our products and services are more effective than the products and services that our competitors offer, potential customers might select competitive products and services in lieu of our services.</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3"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3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collection and selling of personal data, and, among others, introducing opt-out rights and data broker registration obligations.</w:t>
      </w:r>
    </w:p>
    <w:p>
      <w:pPr>
        <w:spacing w:after="0" w:line="130"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 For example, the European Union Court of Justice recently struck down a permitted personal data transfer mechanism between the European Union and the United States and introduced requirements in relation to use of other data transfer mechanisms. This may increase regulatory and compliance burdens and may lead to uncertainty about or interruptions of personal data transfers from Europe to the United States (and beyond).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12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costs of complying with existing or new data privacy or data protection laws and regulations may limit our ability to gather personal data needed to provide our products and services, the use and adoption of our products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7" w:name="page38"/>
    <w:bookmarkEnd w:id="37"/>
    <w:p>
      <w:pPr>
        <w:jc w:val="both"/>
        <w:spacing w:after="0" w:line="266" w:lineRule="auto"/>
        <w:rPr>
          <w:sz w:val="20"/>
          <w:szCs w:val="20"/>
          <w:color w:val="auto"/>
        </w:rPr>
      </w:pPr>
      <w:r>
        <w:rPr>
          <w:rFonts w:ascii="Arial" w:cs="Arial" w:eastAsia="Arial" w:hAnsi="Arial"/>
          <w:sz w:val="17"/>
          <w:szCs w:val="17"/>
          <w:color w:val="auto"/>
        </w:rPr>
        <w:t>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 of worldwide gross annual revenue and CCPA allows for fines of up to $7,500 per violation.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1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Since the enactment of CCPA, new privacy and data security laws have been proposed in more than half of the states in the United States and in the U.S. Congress, reflecting a trend toward more stringent privacy legislation in the United States, which trend may accelerate based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1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28"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We also receive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90" w:lineRule="exact"/>
        <w:rPr>
          <w:sz w:val="20"/>
          <w:szCs w:val="20"/>
          <w:color w:val="auto"/>
        </w:rPr>
      </w:pPr>
    </w:p>
    <w:p>
      <w:pPr>
        <w:jc w:val="both"/>
        <w:spacing w:after="0" w:line="348" w:lineRule="auto"/>
        <w:rPr>
          <w:sz w:val="20"/>
          <w:szCs w:val="20"/>
          <w:color w:val="auto"/>
        </w:rPr>
      </w:pPr>
      <w:r>
        <w:rPr>
          <w:rFonts w:ascii="Arial" w:cs="Arial" w:eastAsia="Arial" w:hAnsi="Arial"/>
          <w:sz w:val="15"/>
          <w:szCs w:val="15"/>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66"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6"/>
          <w:szCs w:val="16"/>
          <w:color w:val="auto"/>
        </w:rPr>
        <w:t>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COVID-19, and many may choose or switch to competing products even if do our best to innovate and provide superior products and services.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current competitors include:</w:t>
      </w:r>
    </w:p>
    <w:p>
      <w:pPr>
        <w:spacing w:after="0" w:line="165" w:lineRule="exact"/>
        <w:rPr>
          <w:sz w:val="20"/>
          <w:szCs w:val="20"/>
          <w:color w:val="auto"/>
        </w:rPr>
      </w:pPr>
    </w:p>
    <w:p>
      <w:pPr>
        <w:jc w:val="both"/>
        <w:ind w:left="620" w:hanging="308"/>
        <w:spacing w:after="0" w:line="266"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TechTarget, and Infogroup;</w:t>
      </w:r>
    </w:p>
    <w:p>
      <w:pPr>
        <w:spacing w:after="0" w:line="122"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current and potential customers’ internal and homegrown business contact databases;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predictive analytics and customer data platform technologies;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vendors of sales automation software;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providers of third-party company attributes, technology attributes, and business contact information;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providers of online content consumption data for predictive sales and marketing analytics;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user-based networks of companies and/or business professionals.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9" w:name="page40"/>
    <w:bookmarkEnd w:id="39"/>
    <w:p>
      <w:pPr>
        <w:jc w:val="both"/>
        <w:spacing w:after="0" w:line="279" w:lineRule="auto"/>
        <w:rPr>
          <w:sz w:val="20"/>
          <w:szCs w:val="20"/>
          <w:color w:val="auto"/>
        </w:rPr>
      </w:pPr>
      <w:r>
        <w:rPr>
          <w:rFonts w:ascii="Arial" w:cs="Arial" w:eastAsia="Arial" w:hAnsi="Arial"/>
          <w:sz w:val="17"/>
          <w:szCs w:val="17"/>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18"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2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product offerings are also concentrated by varying degrees across different industries, particularly the software and business services industries in the United States. In 2018, approximately 41% and 30% of our customers, as measured by ACV, operated in the software and business services industries, respectively. In 2019, approximately 39% and 29% of our customers, as measured by ACV, operated in the software and business services 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decrease in the use of telephones and email as primary means of B2B communication, demand for our platform and data would be negatively affected.</w:t>
      </w:r>
    </w:p>
    <w:p>
      <w:pPr>
        <w:spacing w:after="0" w:line="17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23" w:lineRule="exact"/>
        <w:rPr>
          <w:sz w:val="20"/>
          <w:szCs w:val="20"/>
          <w:color w:val="auto"/>
        </w:rPr>
      </w:pPr>
    </w:p>
    <w:p>
      <w:pPr>
        <w:ind w:left="620" w:hanging="308"/>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awareness and acceptance of the sales and marketing platform category generally, and the growth, contraction and evolution of the category;</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pricing;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integration with CRM and other related technologies;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for the development of new systems and protocols for B2B communication.</w:t>
      </w:r>
    </w:p>
    <w:p>
      <w:pPr>
        <w:spacing w:after="0" w:line="165" w:lineRule="exact"/>
        <w:rPr>
          <w:sz w:val="20"/>
          <w:szCs w:val="20"/>
          <w:color w:val="auto"/>
        </w:rPr>
      </w:pPr>
    </w:p>
    <w:p>
      <w:pPr>
        <w:jc w:val="both"/>
        <w:ind w:firstLine="309"/>
        <w:spacing w:after="0" w:line="348" w:lineRule="auto"/>
        <w:rPr>
          <w:sz w:val="20"/>
          <w:szCs w:val="20"/>
          <w:color w:val="auto"/>
        </w:rPr>
      </w:pPr>
      <w:r>
        <w:rPr>
          <w:rFonts w:ascii="Arial" w:cs="Arial" w:eastAsia="Arial" w:hAnsi="Arial"/>
          <w:sz w:val="15"/>
          <w:szCs w:val="15"/>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9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30" w:lineRule="exact"/>
        <w:rPr>
          <w:sz w:val="20"/>
          <w:szCs w:val="20"/>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internally develop and implement new and competitive technologies;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use leading third-party technologies effectively;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respond to advances in data collection, cataloging, and updating.</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products and services.</w:t>
      </w:r>
    </w:p>
    <w:p>
      <w:pPr>
        <w:spacing w:after="0" w:line="18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upon the interoperability of our platform with third-party systems that we do not control.</w:t>
      </w:r>
    </w:p>
    <w:p>
      <w:pPr>
        <w:spacing w:after="0" w:line="16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55%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“—Larger and more well-funded companies with access to significant resources, large amounts of data or data collection methods and sophisticated technologies may shift their business model to become competitive with us.”</w:t>
      </w:r>
    </w:p>
    <w:p>
      <w:pPr>
        <w:spacing w:after="0" w:line="12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2" w:name="page43"/>
    <w:bookmarkEnd w:id="42"/>
    <w:p>
      <w:pPr>
        <w:jc w:val="both"/>
        <w:spacing w:after="0" w:line="317" w:lineRule="auto"/>
        <w:rPr>
          <w:sz w:val="20"/>
          <w:szCs w:val="20"/>
          <w:color w:val="auto"/>
        </w:rPr>
      </w:pPr>
      <w:r>
        <w:rPr>
          <w:rFonts w:ascii="Arial" w:cs="Arial" w:eastAsia="Arial" w:hAnsi="Arial"/>
          <w:sz w:val="15"/>
          <w:szCs w:val="15"/>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89"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30"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1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attract new customers and expand subscriptions of current customers, our revenue growth and profitability will be harmed.</w:t>
      </w:r>
    </w:p>
    <w:p>
      <w:pPr>
        <w:spacing w:after="0" w:line="177"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3" w:name="page44"/>
    <w:bookmarkEnd w:id="43"/>
    <w:p>
      <w:pPr>
        <w:jc w:val="both"/>
        <w:ind w:firstLine="309"/>
        <w:spacing w:after="0" w:line="274" w:lineRule="auto"/>
        <w:rPr>
          <w:sz w:val="20"/>
          <w:szCs w:val="20"/>
          <w:color w:val="auto"/>
        </w:rPr>
      </w:pPr>
      <w:r>
        <w:rPr>
          <w:rFonts w:ascii="Arial" w:cs="Arial" w:eastAsia="Arial" w:hAnsi="Arial"/>
          <w:sz w:val="16"/>
          <w:szCs w:val="16"/>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18"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1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Additionally, some of our customers may have multiple subscription plans simultaneously. For example, large enterprises with distributed procurement processes where different buyers, departments, or affiliates make their own 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4" w:name="page45"/>
    <w:bookmarkEnd w:id="44"/>
    <w:p>
      <w:pPr>
        <w:jc w:val="both"/>
        <w:spacing w:after="0" w:line="258" w:lineRule="auto"/>
        <w:rPr>
          <w:sz w:val="20"/>
          <w:szCs w:val="20"/>
          <w:color w:val="auto"/>
        </w:rPr>
      </w:pPr>
      <w:r>
        <w:rPr>
          <w:rFonts w:ascii="Arial" w:cs="Arial" w:eastAsia="Arial" w:hAnsi="Arial"/>
          <w:sz w:val="17"/>
          <w:szCs w:val="17"/>
          <w:color w:val="auto"/>
        </w:rPr>
        <w:t>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7"/>
          <w:szCs w:val="17"/>
          <w:i w:val="1"/>
          <w:iCs w:val="1"/>
          <w:color w:val="auto"/>
        </w:rPr>
        <w:t>i.e.</w:t>
      </w:r>
      <w:r>
        <w:rPr>
          <w:rFonts w:ascii="Arial" w:cs="Arial" w:eastAsia="Arial" w:hAnsi="Arial"/>
          <w:sz w:val="17"/>
          <w:szCs w:val="17"/>
          <w:color w:val="auto"/>
        </w:rPr>
        <w:t>, from all platforms, including ours). Consequently, our ability to grow our business may be harmed and our results of operations and financial condition could suffer.</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28"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3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color w:val="auto"/>
        </w:rPr>
        <w:t>search engine optimization, search engine marketing or other traffic-generating arrangements in a negative manner, our business and financial performance would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adequately protect our proprietary and intellectual property rights in our data or technology.</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30"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1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6" w:name="page47"/>
    <w:bookmarkEnd w:id="46"/>
    <w:p>
      <w:pPr>
        <w:jc w:val="both"/>
        <w:spacing w:after="0" w:line="279" w:lineRule="auto"/>
        <w:rPr>
          <w:sz w:val="20"/>
          <w:szCs w:val="20"/>
          <w:color w:val="auto"/>
        </w:rPr>
      </w:pPr>
      <w:r>
        <w:rPr>
          <w:rFonts w:ascii="Arial" w:cs="Arial" w:eastAsia="Arial" w:hAnsi="Arial"/>
          <w:sz w:val="17"/>
          <w:szCs w:val="17"/>
          <w:color w:val="auto"/>
        </w:rPr>
        <w:t>reputational damage, adversely affect our ability to attract new customers and cause existing customers to reduce or discontinue the use of our platform, any of which could harm our business and operating results.</w:t>
      </w:r>
    </w:p>
    <w:p>
      <w:pPr>
        <w:spacing w:after="0" w:line="11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117" w:lineRule="exact"/>
        <w:rPr>
          <w:sz w:val="20"/>
          <w:szCs w:val="20"/>
          <w:color w:val="auto"/>
        </w:rPr>
      </w:pPr>
    </w:p>
    <w:p>
      <w:pPr>
        <w:jc w:val="both"/>
        <w:spacing w:after="0" w:line="390" w:lineRule="auto"/>
        <w:rPr>
          <w:sz w:val="20"/>
          <w:szCs w:val="20"/>
          <w:color w:val="auto"/>
        </w:rPr>
      </w:pPr>
      <w:r>
        <w:rPr>
          <w:rFonts w:ascii="Arial" w:cs="Arial" w:eastAsia="Arial" w:hAnsi="Arial"/>
          <w:sz w:val="14"/>
          <w:szCs w:val="14"/>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4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132"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Acquisitions and other transactions, arrangements, and investments involve numerous risks and could create unforeseen operating difficulties and expenditures, including:</w:t>
      </w:r>
    </w:p>
    <w:p>
      <w:pPr>
        <w:spacing w:after="0" w:line="112" w:lineRule="exact"/>
        <w:rPr>
          <w:sz w:val="20"/>
          <w:szCs w:val="20"/>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potential failure to achieve the expected benefits on a timely basis or at all;</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difficulties in, and the cost of, integrating operations, technologies, services, and platforms;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diversion of financial and managerial resources from existing operations;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potential entry into new markets in which we have little or no experience or where competitors may have stronger market positions;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differences between our values and those of our acquired companies;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7" w:name="page48"/>
    <w:bookmarkEnd w:id="47"/>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inability to maintain, or changes in, relationships with customers and partners of the acquired business;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difficulty with, and costs related to, transitioning the acquired technology onto our existing platforms and customer acceptance of multiple platforms on a temporary or permanent basis;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augmenting the acquired technologies and platforms to the levels that are consistent with our brand and reputation;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potential for acquired products to impact the profitability of existing products;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increasing or maintaining the security standards for acquired technology consistent with our other services;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potential unknown liabilities associated with the acquired businesses, including risks associated with acquired intellectual property and/or technologies;</w:t>
      </w:r>
    </w:p>
    <w:p>
      <w:pPr>
        <w:spacing w:after="0" w:line="188" w:lineRule="exact"/>
        <w:rPr>
          <w:rFonts w:ascii="Arial" w:cs="Arial" w:eastAsia="Arial" w:hAnsi="Arial"/>
          <w:sz w:val="15"/>
          <w:szCs w:val="15"/>
          <w:color w:val="auto"/>
        </w:rPr>
      </w:pPr>
    </w:p>
    <w:p>
      <w:pPr>
        <w:ind w:left="620" w:hanging="308"/>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challenges relating to the structure of an investment, such as governance, accountability, and decision-making conflicts that may arise in the context of a joint venture or other majority ownership investments;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negative impact to our results of operations because of the depreciation and amortization of amounts related to acquired intangible assets, fixed assets, and deferred compensation;</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additional stock-based compensation;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loss of acquired unearned revenue and unbilled unearned revenue;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delays in customer purchases due to uncertainty related to any acquisition;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ineffective or inadequate controls, procedures, and policies at the acquired company;</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case of foreign acquisitions, challenges caused by integrating operations over distance, and across different languages, cultures, and political environments;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currency and regulatory risks associated with foreign countries and potential additional cybersecurity and compliance risks resulting from entry into new markets;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tax effects and costs of any such acquisitions, including the related integration into our tax structure and assessment of the impact on the realizability of our future tax assets or liabilities; and</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Department of Justice, for anti-competitive or other reasons.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more than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8" w:name="page49"/>
    <w:bookmarkEnd w:id="48"/>
    <w:p>
      <w:pPr>
        <w:jc w:val="both"/>
        <w:spacing w:after="0" w:line="256" w:lineRule="auto"/>
        <w:rPr>
          <w:sz w:val="20"/>
          <w:szCs w:val="20"/>
          <w:color w:val="auto"/>
        </w:rPr>
      </w:pPr>
      <w:r>
        <w:rPr>
          <w:rFonts w:ascii="Arial" w:cs="Arial" w:eastAsia="Arial" w:hAnsi="Arial"/>
          <w:sz w:val="17"/>
          <w:szCs w:val="17"/>
          <w:color w:val="auto"/>
        </w:rPr>
        <w:t>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13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effectively expand our sales capabilities could harm our ability to bring on new customers at the rate we anticipate.</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offer high-quality customer experience, our business and reputation will suffer.</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9" w:name="page50"/>
    <w:bookmarkEnd w:id="49"/>
    <w:p>
      <w:pPr>
        <w:jc w:val="both"/>
        <w:spacing w:after="0" w:line="258" w:lineRule="auto"/>
        <w:rPr>
          <w:sz w:val="20"/>
          <w:szCs w:val="20"/>
          <w:color w:val="auto"/>
        </w:rPr>
      </w:pPr>
      <w:r>
        <w:rPr>
          <w:rFonts w:ascii="Arial" w:cs="Arial" w:eastAsia="Arial" w:hAnsi="Arial"/>
          <w:sz w:val="17"/>
          <w:szCs w:val="17"/>
          <w:color w:val="auto"/>
        </w:rPr>
        <w:t>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30"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123"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90"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offer the optimal pricing and packaging of our products and services.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rapid growth in recent periods, and our recent growth rates will not be indicative of our future growth.</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have experienced rapid organic and acquisition-driven growth in recent periods. We do not expect revenue growth in future periods to be consistent with recent history.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23" w:lineRule="exact"/>
        <w:rPr>
          <w:sz w:val="20"/>
          <w:szCs w:val="20"/>
          <w:color w:val="auto"/>
        </w:rPr>
      </w:pPr>
    </w:p>
    <w:p>
      <w:pPr>
        <w:ind w:left="620" w:hanging="308"/>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attract new customers;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0" w:name="page51"/>
    <w:bookmarkEnd w:id="50"/>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provide excellent customer experience;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renew and grow current customer subscriptions;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convert users of and organizations on our free Community Edition into paying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introduce and grow adoption of our products and services in new markets outside of the United States;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achieve widespread acceptance and use of our platform;</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adequately expand our sales force and otherwise scale our operations as a business;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expand the features and capabilities of our platform, including through the creation and use of additional integrations;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maintain the security and reliability of our platform;</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comply with existing and new applicable laws and regulations;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price and package our products and services effectively;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successfully compete against established companies and new market entrants;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increase awareness of our brand on a global basis;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execute on our acquisition strategy.</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on the West Coast, where our headquarters is located, and in other locations where we maintain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1" w:name="page52"/>
    <w:bookmarkEnd w:id="51"/>
    <w:p>
      <w:pPr>
        <w:jc w:val="both"/>
        <w:spacing w:after="0" w:line="299" w:lineRule="auto"/>
        <w:rPr>
          <w:sz w:val="20"/>
          <w:szCs w:val="20"/>
          <w:color w:val="auto"/>
        </w:rPr>
      </w:pPr>
      <w:r>
        <w:rPr>
          <w:rFonts w:ascii="Arial" w:cs="Arial" w:eastAsia="Arial" w:hAnsi="Arial"/>
          <w:sz w:val="15"/>
          <w:szCs w:val="15"/>
          <w:color w:val="auto"/>
        </w:rPr>
        <w:t>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have overestimated the size of our total addressable market, our future growth rate may be limited.</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this prospectus should not be taken as indicative of our ability to grow our business. For more information regarding the estimates of market opportunity and the forecasts of market growth included in this prospectus, see the sections titled “Summary—Our Market Opportunity” and “Business—Our Market Opportunity.”</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1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106" w:lineRule="exact"/>
        <w:rPr>
          <w:sz w:val="20"/>
          <w:szCs w:val="20"/>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attract and retain customers and grow subscriptions of existing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price and package our products and services effectively;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2" w:name="page53"/>
    <w:bookmarkEnd w:id="52"/>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pricing pressure as a result of competition or otherwise;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unforeseen costs and expenses, including those related to the expansion of our business and operations;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customers’ budgets and in the timing of their budget cycles and purchasing decisions;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customers and the introduction of new products or product enhancements;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research and development, sales, and marketing expenses and employee benefit expenses;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revenue and expenses related to the development or acquisition of technologies, products, or businesses;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goodwill and intangible asset impairment charges and amortization associated with acquired businesses;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restructuring and transaction-related expenses;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general economic and political conditions in our domestic and international markets.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30" w:lineRule="exact"/>
        <w:rPr>
          <w:sz w:val="20"/>
          <w:szCs w:val="20"/>
          <w:color w:val="auto"/>
        </w:rPr>
      </w:pPr>
    </w:p>
    <w:p>
      <w:pPr>
        <w:ind w:left="620" w:hanging="30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develop new features, integrations, capabilities, and enhancements;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continue to expand our product development, sales, and marketing organizations;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working capital requirements;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pursue acquisition opportunities.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more information, see “—Risks Related to Our Indebtedness.”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We devote, and may continue to devote, substantial resources to our earlier platforms.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Operations and sales to customers outside the United States expose us to risks inherent in international operations.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Our success depends in part on our ability to expand sales to customers located outside of the United States. For the years ended December 31, 2018 and 2019, our business outside of the United States accounted for approximately 7% and 9%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00" w:lineRule="exact"/>
        <w:rPr>
          <w:sz w:val="20"/>
          <w:szCs w:val="20"/>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need to localize our products and services, including translation into foreign languages and associated expenses;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competition from local incumbents that better understand the local market, customs, and culture, may market and operate more effectively, and may enjoy greater local affinity or awareness;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need to comply with foreign regulatory frameworks or business practices, which among other things may favor local competitors;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evolving domestic and international tax environments;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foreign currency fluctuations and controls, which may make our products and services more expensive for international customers and could add volatility to our operating results;</w:t>
      </w:r>
    </w:p>
    <w:p>
      <w:pPr>
        <w:spacing w:after="0" w:line="112"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2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vetting and monitoring internal or external sales or customer experience resources in new and evolving markets to confirm they maintain standards consistent with our brand and reputation;</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the public perception of governments in the regions where we operate or plan to operate;</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4" w:name="page55"/>
    <w:bookmarkEnd w:id="54"/>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different pricing environments;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different or lesser protection of our intellectual property;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longer accounts receivable payment cycles and other collection difficulties;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natural disasters, pandemics (such as COVID-19), acts of war, terrorism, pandemics, or security breaches;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regional economic and political conditions;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of these factors could negatively impact our business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Cyber-attacks and security vulnerabilities could result in serious harm to our reputation, business, and financial condition.</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28"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22"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We may experience breaches of our security measures due to human error, malfeasance, system errors or vulnerabilities, or other irregularities, including attempts by former, current or future employees to misuse their authorized access and/or gain unauthorized access to our systems.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5" w:name="page56"/>
    <w:bookmarkEnd w:id="55"/>
    <w:p>
      <w:pPr>
        <w:jc w:val="both"/>
        <w:spacing w:after="0" w:line="266" w:lineRule="auto"/>
        <w:rPr>
          <w:sz w:val="20"/>
          <w:szCs w:val="20"/>
          <w:color w:val="auto"/>
        </w:rPr>
      </w:pPr>
      <w:r>
        <w:rPr>
          <w:rFonts w:ascii="Arial" w:cs="Arial" w:eastAsia="Arial" w:hAnsi="Arial"/>
          <w:sz w:val="17"/>
          <w:szCs w:val="17"/>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2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13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1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Any errors, defects, disruptions, or other performance problems with our services could harm our reputation, business, results of operations, and financial condition.</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6" w:name="page57"/>
    <w:bookmarkEnd w:id="56"/>
    <w:p>
      <w:pPr>
        <w:spacing w:after="0"/>
        <w:rPr>
          <w:sz w:val="20"/>
          <w:szCs w:val="20"/>
          <w:color w:val="auto"/>
        </w:rPr>
      </w:pPr>
      <w:r>
        <w:rPr>
          <w:rFonts w:ascii="Arial" w:cs="Arial" w:eastAsia="Arial" w:hAnsi="Arial"/>
          <w:sz w:val="15"/>
          <w:szCs w:val="15"/>
          <w:color w:val="auto"/>
        </w:rPr>
        <w:t>customers, all of which would reduce our revenue. Our business would also be harmed if our customers and potential customers believe our services are unreliable.</w:t>
      </w:r>
    </w:p>
    <w:p>
      <w:pPr>
        <w:spacing w:after="0" w:line="18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90"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03"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be subject to litigation for any of a variety of claims, which could harm our reputation and adversely affect our business, results of operations, and financial condition.</w:t>
      </w:r>
    </w:p>
    <w:p>
      <w:pPr>
        <w:spacing w:after="0" w:line="112"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3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 the future be sued by third parties for various claims including alleged infringement of proprietary intellectual property rights.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3"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7"/>
          <w:szCs w:val="17"/>
          <w:color w:val="auto"/>
        </w:rPr>
        <w:t>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liability if we breach our contracts, and our insurance may be inadequate to cover our losses.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platform and could harm our business.</w:t>
      </w:r>
    </w:p>
    <w:p>
      <w:pPr>
        <w:spacing w:after="0" w:line="11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22"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7"/>
          <w:szCs w:val="17"/>
          <w:color w:val="auto"/>
        </w:rPr>
        <w:t>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30"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could incur greater operating expenses and our user acquisition and retention could be negatively impacted if network operators:</w:t>
      </w:r>
    </w:p>
    <w:p>
      <w:pPr>
        <w:spacing w:after="0" w:line="165" w:lineRule="exact"/>
        <w:rPr>
          <w:sz w:val="20"/>
          <w:szCs w:val="20"/>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12"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are subject to requirements under the U.S. Treasury Department’s Office of Foreign Assets Control, anti-corruption, anti-bribery, and similar laws, such as the U.S. Foreign Corrupt Practices Act of 1977, as amended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0" w:name="page61"/>
    <w:bookmarkEnd w:id="60"/>
    <w:p>
      <w:pPr>
        <w:jc w:val="both"/>
        <w:spacing w:after="0" w:line="256" w:lineRule="auto"/>
        <w:rPr>
          <w:sz w:val="20"/>
          <w:szCs w:val="20"/>
          <w:color w:val="auto"/>
        </w:rPr>
      </w:pPr>
      <w:r>
        <w:rPr>
          <w:rFonts w:ascii="Arial" w:cs="Arial" w:eastAsia="Arial" w:hAnsi="Arial"/>
          <w:sz w:val="17"/>
          <w:szCs w:val="17"/>
          <w:color w:val="auto"/>
        </w:rPr>
        <w:t>“FCPA”),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3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1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existing financial accounting standards or practices may harm our results of operations.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In particular, in May 2014, the FASB and International Accounting Standard Board jointly issued a new revenue recognition standard, Accounting Standard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1" w:name="page62"/>
    <w:bookmarkEnd w:id="61"/>
    <w:p>
      <w:pPr>
        <w:jc w:val="both"/>
        <w:spacing w:after="0" w:line="283" w:lineRule="auto"/>
        <w:rPr>
          <w:sz w:val="20"/>
          <w:szCs w:val="20"/>
          <w:color w:val="auto"/>
        </w:rPr>
      </w:pPr>
      <w:r>
        <w:rPr>
          <w:rFonts w:ascii="Arial" w:cs="Arial" w:eastAsia="Arial" w:hAnsi="Arial"/>
          <w:sz w:val="16"/>
          <w:szCs w:val="16"/>
          <w:color w:val="auto"/>
        </w:rPr>
        <w:t xml:space="preserve">presented under Topic 606, while prior period amounts are not adjusted and continue to be presented in accordance with their historic accounting under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We believe that the revenue presented for Pre-Acquisition ZI in 2018 would not have materially changed, had Pre-Acquisition ZI used the full retrospective method of adoption for Topic 606 and restated their 2018 revenue figures. See Note 2 - Basis of Presentation and Summary of Significant Accounting Policies within our consolidated financial statements included appearing elsewhere in this prospectus for additional information.</w:t>
      </w:r>
    </w:p>
    <w:p>
      <w:pPr>
        <w:spacing w:after="0" w:line="111"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did not elect the hindsight practical expedient permitted under the transition guidance within the new lease standard. While adoption of Topic 842 did not have a material impact to our consolidated statements of operations or comprehensive loss, we did record a material increase to our assets and liabilities on the balance sheet upon adoption of this standard. Upon adoption, we recognized a right-of-use asset of $9.3 million and a lease liability of $12.8 million, largely pertaining to the Company’s headquarter office lease, with a cumulative-effect adjustment, net of tax, to retained earnings in the amount of $1.8 million representing hidden impairment. In addition, we recorded an additional $28.6 million right-of-use asset and lease liability on February 1, 2019 in connection with the acquisition of Pre-Acquisition ZI.</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Any difficulties in implementing these pronouncements could cause us to fail to meet our financial reporting obligations, which could result in regulatory discipline and harm investors’ confidence in us.</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90"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of SOX, to furnish a report by management on, among other things, the effectiveness of our internal control over financial reporting in the second annual report on Form 10-K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the IPO, our independent registered public accounting firm will be required to attest to the effectiveness of our internal control over financial reporting on an annual basis. However, while we remain an emerging growth company, we are not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2" w:name="page63"/>
    <w:bookmarkEnd w:id="62"/>
    <w:p>
      <w:pPr>
        <w:jc w:val="both"/>
        <w:ind w:firstLine="309"/>
        <w:spacing w:after="0" w:line="283" w:lineRule="auto"/>
        <w:rPr>
          <w:sz w:val="20"/>
          <w:szCs w:val="20"/>
          <w:color w:val="auto"/>
        </w:rPr>
      </w:pPr>
      <w:r>
        <w:rPr>
          <w:rFonts w:ascii="Arial" w:cs="Arial" w:eastAsia="Arial" w:hAnsi="Arial"/>
          <w:sz w:val="16"/>
          <w:szCs w:val="16"/>
          <w:color w:val="auto"/>
        </w:rPr>
        <w:t>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1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Class A common stock.</w:t>
      </w:r>
    </w:p>
    <w:p>
      <w:pPr>
        <w:spacing w:after="0" w:line="130"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September 30, 2020. For a discussion of the restatement of our financial statements for the three- and six-month periods ended June 30, 2020, see “Management’s Discussion and Analysis of Financial Condition and Results of Operations—Recent Developments.”</w:t>
      </w:r>
    </w:p>
    <w:p>
      <w:pPr>
        <w:spacing w:after="0" w:line="11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because the material weakness discussed above had not been fully remediated as of September 30, 2020, our management was unable to conclude that our disclosure controls and procedures were effective as of September 30, 2020.</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1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3" w:name="page64"/>
    <w:bookmarkEnd w:id="63"/>
    <w:p>
      <w:pPr>
        <w:jc w:val="both"/>
        <w:spacing w:after="0" w:line="261" w:lineRule="auto"/>
        <w:rPr>
          <w:sz w:val="20"/>
          <w:szCs w:val="20"/>
          <w:color w:val="auto"/>
        </w:rPr>
      </w:pPr>
      <w:r>
        <w:rPr>
          <w:rFonts w:ascii="Arial" w:cs="Arial" w:eastAsia="Arial" w:hAnsi="Arial"/>
          <w:sz w:val="17"/>
          <w:szCs w:val="17"/>
          <w:color w:val="auto"/>
        </w:rPr>
        <w:t>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a history of net losses, we anticipate increasing operating expenses in the future, and we may not be able to achieve and, if achieved, maintain profitability.</w:t>
      </w:r>
    </w:p>
    <w:p>
      <w:pPr>
        <w:spacing w:after="0" w:line="112"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We have incurred significant net losses in each year since our inception, including net losses of $28.6 million in 2018, $78.0 million in 2019 and $72.7 million for the nine months ended September 30, 2020, and we had an accumulated deficit of $213.8 million as of December 31, 2019. We may not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12"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Our balance sheet reflects goodwill of $445.7 million, $966.8 million, and $966.8 million as of December 31, 2018, December 31, 2019, and September 30, 2020, respectively, and intangible assets of $88.7 million, $370.6 million, and $340.0 million as of December 31, 2018, December 31, 2019, and September 30, 2020, respectively.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13" w:lineRule="exact"/>
        <w:rPr>
          <w:sz w:val="20"/>
          <w:szCs w:val="20"/>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underperformance relative to historical or projected future operating results;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changes in the manner of our use of acquired assets or the strategy for our overall business;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negative industry or economic trends;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decline in our market capitalization relative to net book value for a sustained period.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4" w:name="page65"/>
    <w:bookmarkEnd w:id="64"/>
    <w:p>
      <w:pPr>
        <w:jc w:val="both"/>
        <w:ind w:firstLine="309"/>
        <w:spacing w:after="0" w:line="266"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Unanticipated changes in our effective tax rate and additional tax liabilities may impact our financial results.</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2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5" w:name="page66"/>
    <w:bookmarkEnd w:id="65"/>
    <w:p>
      <w:pPr>
        <w:jc w:val="both"/>
        <w:ind w:firstLine="309"/>
        <w:spacing w:after="0" w:line="258" w:lineRule="auto"/>
        <w:rPr>
          <w:sz w:val="20"/>
          <w:szCs w:val="20"/>
          <w:color w:val="auto"/>
        </w:rPr>
      </w:pPr>
      <w:r>
        <w:rPr>
          <w:rFonts w:ascii="Arial" w:cs="Arial" w:eastAsia="Arial" w:hAnsi="Arial"/>
          <w:sz w:val="17"/>
          <w:szCs w:val="17"/>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30"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1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September 30, 2020, we had total outstanding indebtedness of approximately $756.4 million consisting of outstanding borrowings under our first lien credit facilities. Additionally, we had $100 million of availability under our first lien revolving credit facility as of September 30, 2020. Our substantial indebtedness may:</w:t>
      </w:r>
    </w:p>
    <w:p>
      <w:pPr>
        <w:spacing w:after="0" w:line="123" w:lineRule="exact"/>
        <w:rPr>
          <w:sz w:val="20"/>
          <w:szCs w:val="20"/>
          <w:color w:val="auto"/>
        </w:rPr>
      </w:pPr>
    </w:p>
    <w:p>
      <w:pPr>
        <w:ind w:left="620" w:hanging="30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make it difficult for us to satisfy our financial obligations, including with respect to our indebtedness;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limit our ability to borrow additional funds for working capital, capital expenditures, acquisitions, or other general business purposes;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expose us to the risk of increased interest rates as certain of our borrowings, including under our secured credit facilities, are at variable rates of interest;</w:t>
      </w:r>
    </w:p>
    <w:p>
      <w:pPr>
        <w:spacing w:after="0" w:line="188" w:lineRule="exact"/>
        <w:rPr>
          <w:rFonts w:ascii="Arial" w:cs="Arial" w:eastAsia="Arial" w:hAnsi="Arial"/>
          <w:sz w:val="15"/>
          <w:szCs w:val="15"/>
          <w:color w:val="auto"/>
        </w:rPr>
      </w:pPr>
    </w:p>
    <w:p>
      <w:pPr>
        <w:ind w:left="620" w:hanging="30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limit our ability to pay dividends;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limit our flexibility to plan for, or react to, changes in our business and industry;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place us at a competitive disadvantage compared with our less-leveraged competitors;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increase our vulnerability to the impact of adverse economic, competitive, and industry conditions;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increase our cost of borrowing.</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1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1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principal repayments of debt made in 2019 and 2018 were $649.8 million and $3.7 million, respectively. Our total interest expense, net for 2019 and 2018 was $102.4 million and $58.2 million, respectively. Our total principal repayments of debt made during the nine months ended September 30, 2020 were $510.9 million. Our total interest expense, net, for the nine months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67" w:name="page68"/>
    <w:bookmarkEnd w:id="67"/>
    <w:p>
      <w:pPr>
        <w:jc w:val="both"/>
        <w:spacing w:after="0" w:line="279" w:lineRule="auto"/>
        <w:rPr>
          <w:sz w:val="20"/>
          <w:szCs w:val="20"/>
          <w:color w:val="auto"/>
        </w:rPr>
      </w:pPr>
      <w:r>
        <w:rPr>
          <w:rFonts w:ascii="Arial" w:cs="Arial" w:eastAsia="Arial" w:hAnsi="Arial"/>
          <w:sz w:val="17"/>
          <w:szCs w:val="17"/>
          <w:color w:val="auto"/>
        </w:rPr>
        <w:t>ended September 30, 2020 was $59.3 million. We may be unable to maintain a level of cash flow sufficient to permit us to pay the principal, premium, if any, and interest on our indebtedness.</w:t>
      </w:r>
    </w:p>
    <w:p>
      <w:pPr>
        <w:spacing w:after="0" w:line="112"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 governing our secured credit facilities, ZoomInfo OpCo is restricted from making certain payments, including dividend payments to ZoomInfo Technologies Inc., subject to certain exceptions.</w:t>
      </w:r>
    </w:p>
    <w:p>
      <w:pPr>
        <w:spacing w:after="0" w:line="13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fluctuations may affect our results of operations and financial condition.</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30"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our credit ratings could adversely impact our operations and lower our profitability.</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ZoomInfo Technologies Inc. is a holding company, and has no material assets other than its ownership of HoldCo Units. ZoomInfo HoldCo is a holding company and has no material assets other than its ownership of OpCo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8" w:name="page69"/>
    <w:bookmarkEnd w:id="68"/>
    <w:p>
      <w:pPr>
        <w:jc w:val="both"/>
        <w:spacing w:after="0" w:line="294" w:lineRule="auto"/>
        <w:rPr>
          <w:sz w:val="20"/>
          <w:szCs w:val="20"/>
          <w:color w:val="auto"/>
        </w:rPr>
      </w:pPr>
      <w:r>
        <w:rPr>
          <w:rFonts w:ascii="Arial" w:cs="Arial" w:eastAsia="Arial" w:hAnsi="Arial"/>
          <w:sz w:val="15"/>
          <w:szCs w:val="15"/>
          <w:color w:val="auto"/>
        </w:rPr>
        <w:t>Units. ZoomInfo Technologies Inc. has no independent means of generating revenue.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07"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132"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Distributions from ZoomInfo OpCo may in certain periods exceed our liabilities, including tax liabilities, and obligations to make payments under the tax receivable agreements. Our board of directors, in its sole discretion, will 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and Class C common stock, or any combination of the foregoing. We will have no obligation to distribute such cash (or other available cash other than any declared dividend) to our stockholders. See “Certain Relationships and Related Person Transactions— ZoomInfo OpCo Amended and Restated Limited Liability Company Agreement.”</w:t>
      </w:r>
    </w:p>
    <w:p>
      <w:pPr>
        <w:spacing w:after="0" w:line="12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9" w:name="page70"/>
    <w:bookmarkEnd w:id="69"/>
    <w:p>
      <w:pPr>
        <w:jc w:val="both"/>
        <w:spacing w:after="0" w:line="261" w:lineRule="auto"/>
        <w:rPr>
          <w:sz w:val="20"/>
          <w:szCs w:val="20"/>
          <w:color w:val="auto"/>
        </w:rPr>
      </w:pPr>
      <w:r>
        <w:rPr>
          <w:rFonts w:ascii="Arial" w:cs="Arial" w:eastAsia="Arial" w:hAnsi="Arial"/>
          <w:sz w:val="17"/>
          <w:szCs w:val="17"/>
          <w:b w:val="1"/>
          <w:bCs w:val="1"/>
          <w:i w:val="1"/>
          <w:iCs w:val="1"/>
          <w:color w:val="auto"/>
        </w:rPr>
        <w:t>ZoomInfo Technologies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28"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20"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on the date of this offering) is approximately $344.8 million (assuming a public offering price of $42.99 per share of Class A common stock, which is the last reported sale price of our Class A common stock on the Nasdaq on September 30, 2020). The payments under the tax receivable agreements are not conditioned upon continued ownership of us by the exchanging holders of OpCo Units or the prior owners of the Blocker Companies. See “Certain Relationships and Related Person Transactions—Tax Receivable Agreements.”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0" w:name="page71"/>
    <w:bookmarkEnd w:id="70"/>
    <w:p>
      <w:pPr>
        <w:jc w:val="both"/>
        <w:spacing w:after="0" w:line="279"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12"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108"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Based upon certain assumptions described in greater detail below under “Certain Relationships and Related Person Transactions—Tax Receivable Agreements,” we estimate that if ZoomInfo Technologies Inc. were to exercise its termination right immediately following this offering, the aggregate amount of these termination payments would be approximately $1,963.9 million. The foregoing number is merely an estimate and the actual payments could differ materially.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1" w:name="page72"/>
    <w:bookmarkEnd w:id="71"/>
    <w:p>
      <w:pPr>
        <w:jc w:val="both"/>
        <w:spacing w:after="0" w:line="266"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1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As a result of the Reorganization Transactions, we obtained control over ZoomInfo HoldCo. As the sole managing member of ZoomInfo OpCo, ZoomInfo HoldCo controls and operates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 ZoomInfo HoldCo’s interest in ZoomInfo OpCo, as applicable, could be deemed an “investment security” for purposes of the 1940 Act.</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parties to our stockholders agreement control us, and their interests may conflict with ours or yours in the future.</w:t>
      </w:r>
    </w:p>
    <w:p>
      <w:pPr>
        <w:spacing w:after="0" w:line="165"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Immediately following this offering, the parties to our stockholders agreement will beneficially own approximately 88.7% of the combined voting power of our Class A, Class B, and Class C common stock (or 88.6% if the underwriters exercise in full their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agreed to nominate to our board of directors individuals designated by TA Associates, Carlyle, and our Founders in accordance with our stockholders agreement. TA Associates, Carlyle, and our Founders each retained the right to designate directors for so long as they beneficially own at least 5% of the voting power of all shares of our outstanding capital stock entitled to vote generally in the election of our directors. See “Certain Relationships and Related Person Transactions—Stockholders Agreement.”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2" w:name="page73"/>
    <w:bookmarkEnd w:id="72"/>
    <w:p>
      <w:pPr>
        <w:jc w:val="both"/>
        <w:spacing w:after="0" w:line="279" w:lineRule="auto"/>
        <w:rPr>
          <w:sz w:val="20"/>
          <w:szCs w:val="20"/>
          <w:color w:val="auto"/>
        </w:rPr>
      </w:pPr>
      <w:r>
        <w:rPr>
          <w:rFonts w:ascii="Arial" w:cs="Arial" w:eastAsia="Arial" w:hAnsi="Arial"/>
          <w:sz w:val="16"/>
          <w:szCs w:val="16"/>
          <w:color w:val="auto"/>
        </w:rPr>
        <w:t>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1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addition, immediately following this offering, the Pre-IPO OpCo Unitholders will own 55.6% of the OpCo Units (or 55.3% if the underwriters exercise in full their option to purchase additional shares of Class A common stock).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entered in connection with the IPO, whether and when to incur new or refinance existing indebtedness and whether and when ZoomInfo Technologies Inc. should terminate the tax receivable agreements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does not limit the ability of our Sponsors to compete with us, and they and certain of our executive officers may have investments in businesses whose interests conflict with ours.</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118" w:lineRule="exact"/>
        <w:rPr>
          <w:sz w:val="20"/>
          <w:szCs w:val="20"/>
          <w:color w:val="auto"/>
        </w:rPr>
      </w:pPr>
    </w:p>
    <w:p>
      <w:pPr>
        <w:jc w:val="both"/>
        <w:spacing w:after="0" w:line="348"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qualify for, and intend to rely on, exemptions and relief from certain corporate governance requirements. You will not have the same protections afforded to stockholders of companies that are subject to such requirements.</w:t>
      </w:r>
    </w:p>
    <w:p>
      <w:pPr>
        <w:spacing w:after="0" w:line="66"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After the completion of this offering, certain affiliates of TA Associates, Carlyle, and our Founders will beneficially own approximately 88.7% of the combined voting power of our Class A, Class B, and Class C common stock (or 88.6% if the underwriters exercise in full their option to purchase additional shares of Class A common stock) and are parties, among others, to a stockholders agreement described in “Certain Relationships and Related Person Transactions— Stockholders Agreement.”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3" w:name="page74"/>
    <w:bookmarkEnd w:id="73"/>
    <w:p>
      <w:pPr>
        <w:spacing w:after="0" w:line="279" w:lineRule="auto"/>
        <w:rPr>
          <w:sz w:val="20"/>
          <w:szCs w:val="20"/>
          <w:color w:val="auto"/>
        </w:rPr>
      </w:pPr>
      <w:r>
        <w:rPr>
          <w:rFonts w:ascii="Arial" w:cs="Arial" w:eastAsia="Arial" w:hAnsi="Arial"/>
          <w:sz w:val="17"/>
          <w:szCs w:val="17"/>
          <w:color w:val="auto"/>
        </w:rPr>
        <w:t>company is a “controlled company” and may elect not to comply with certain corporate governance requirements. For example, controlled companies are not required to have:</w:t>
      </w:r>
    </w:p>
    <w:p>
      <w:pPr>
        <w:spacing w:after="0" w:line="112" w:lineRule="exact"/>
        <w:rPr>
          <w:sz w:val="20"/>
          <w:szCs w:val="20"/>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board that is composed of a majority of “independent directors,” as defined under the Nasdaq rules;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compensation committee that is composed entirely of independent directors; and</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intend to continue to utilize these exemptions for as long as we continue to qualify as a “controlled company.” Accordingly, you will not have the same protections afforded to stockholders of companies that are subject to all of the corporate governance requirements of the Nasdaq.</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11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are not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may remain an emerging growth company until the fiscal year-end following the fifth anniversary of the completion of the IPO,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incur increased costs and are subject to additional regulations and requirements as a public company, which could impair our profitability, make it more difficult to run our business, or divert management’s attention from our business.</w:t>
      </w:r>
    </w:p>
    <w:p>
      <w:pPr>
        <w:spacing w:after="0" w:line="11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As a public company, and particularly after we are no longer an emerging growth company, we are and will be required to commit significant resources and management time and attention to the requirements of being a public company, which has caused us to incur significant legal, accounting, and other expenses that we did not incur as a private company, including costs associated with public company reporting requirements and recruiting 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4" w:name="page75"/>
    <w:bookmarkEnd w:id="74"/>
    <w:p>
      <w:pPr>
        <w:jc w:val="both"/>
        <w:spacing w:after="0" w:line="255" w:lineRule="auto"/>
        <w:rPr>
          <w:sz w:val="20"/>
          <w:szCs w:val="20"/>
          <w:color w:val="auto"/>
        </w:rPr>
      </w:pPr>
      <w:r>
        <w:rPr>
          <w:rFonts w:ascii="Arial" w:cs="Arial" w:eastAsia="Arial" w:hAnsi="Arial"/>
          <w:sz w:val="17"/>
          <w:szCs w:val="17"/>
          <w:color w:val="auto"/>
        </w:rPr>
        <w:t>retaining independent directors. We also have incurred and will continue to incur costs associated with SOX and the Dodd-Frank Wall Street Reform and Consumer Protection Act and related rules implemented by the SEC and the Nasdaq, and compliance with these requirements places significant demands on our legal, accounting, and finance staff and on our accounting, financial, and information systems. The expenses incurred by public companies generally for reporting and corporate governance purposes have been increasing. These rules and regulations have increased our legal and financial compliance costs and made some activities more time-consuming and costly.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predict the impact our multi-class structure may have on the market price of our Class A common stock.</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cannot predict whether our multi-class structure, combined with the concentrated control of our stockholders who held our capital stock prior to the completion of this offering,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disparity in the voting rights among the classes of common stock may have a potential adverse effect on the price of our Class A common stock.</w:t>
      </w:r>
    </w:p>
    <w:p>
      <w:pPr>
        <w:spacing w:after="0" w:line="188"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Each share of our Class A common stock entitles its holder to one vote on all matters on which stockholders of ZoomInfo Technologies Inc. are entitled to vote generally. Shares of Class B common stock have no economic rights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All of our Class B common stock is held by the Pre-IPO OpCo Unitholders, including the Sponsors and the Founders, and the Pre-IPO HoldCo Unitholders. Shares of Class C common stock have the same economic rights as shares of Class A common stock, but each share entitles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5" w:name="page76"/>
    <w:bookmarkEnd w:id="75"/>
    <w:p>
      <w:pPr>
        <w:jc w:val="both"/>
        <w:spacing w:after="0" w:line="256" w:lineRule="auto"/>
        <w:rPr>
          <w:sz w:val="20"/>
          <w:szCs w:val="20"/>
          <w:color w:val="auto"/>
        </w:rPr>
      </w:pPr>
      <w:r>
        <w:rPr>
          <w:rFonts w:ascii="Arial" w:cs="Arial" w:eastAsia="Arial" w:hAnsi="Arial"/>
          <w:sz w:val="17"/>
          <w:szCs w:val="17"/>
          <w:color w:val="auto"/>
        </w:rPr>
        <w:t>generally. All of our Class C common stock is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stockholders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“Description of Capital Stock.”</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1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public offering price due to a number of factors, such as those listed elsewhere in this “Risk Factors” section and the following:</w:t>
      </w:r>
    </w:p>
    <w:p>
      <w:pPr>
        <w:spacing w:after="0" w:line="111" w:lineRule="exact"/>
        <w:rPr>
          <w:sz w:val="20"/>
          <w:szCs w:val="20"/>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our competitors, or other comparable companies report operating results below the expectations of public market analysts and investors;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variations in our, our competitors’, or other comparable companies’ quarterly operating results or dividends, if any, to stockholders;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guidance, if any, that we, our competitors, or other comparable companies provide to the public, any changes in this guidance, or failure to meet this guidance;</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failure by us or others in our industry to meet analysts’ earnings estimates;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publication of research reports about our industry;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market valuations of similar companies or speculation in the press or investment community;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declines in the market prices of stocks generally, particularly those of similar companies;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contracts, acquisitions, dispositions, strategic partnerships, joint ventures, or capital commitments;</w:t>
      </w:r>
    </w:p>
    <w:p>
      <w:pPr>
        <w:spacing w:after="0" w:line="188" w:lineRule="exact"/>
        <w:rPr>
          <w:rFonts w:ascii="Arial" w:cs="Arial" w:eastAsia="Arial" w:hAnsi="Arial"/>
          <w:sz w:val="15"/>
          <w:szCs w:val="15"/>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Class A common stock relative to other investment alternatives;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announcements relating to litigation, government investigations, changes in laws, or changes in business or regulatory conditions, or differing interpretations or enforcement thereof;</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adverse publicity about the industries we participate in;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individual scandals.</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Furthermore, the stock market may experience extreme volatility that, in some cases, may be unrelated or disproportionate to the operating performance of particular companies. These broad market and industry fluctuations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6" w:name="page77"/>
    <w:bookmarkEnd w:id="76"/>
    <w:p>
      <w:pPr>
        <w:jc w:val="both"/>
        <w:spacing w:after="0" w:line="279" w:lineRule="auto"/>
        <w:rPr>
          <w:sz w:val="20"/>
          <w:szCs w:val="20"/>
          <w:color w:val="auto"/>
        </w:rPr>
      </w:pPr>
      <w:r>
        <w:rPr>
          <w:rFonts w:ascii="Arial" w:cs="Arial" w:eastAsia="Arial" w:hAnsi="Arial"/>
          <w:sz w:val="17"/>
          <w:szCs w:val="17"/>
          <w:color w:val="auto"/>
        </w:rPr>
        <w:t>may adversely affect the market price of our Class A common stock, regardless of our actual operating performance. In addition, price volatility may be greater if the public float and trading volume of our Class A common stock is low.</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You may be diluted by the future issuance of additional Class A common stock or OpCo Units in connection with our incentive plans, acquisitions, or otherwise.</w:t>
      </w:r>
    </w:p>
    <w:p>
      <w:pPr>
        <w:spacing w:after="0" w:line="112"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As of October 31, 2020, after giving effect to this offering, we would have had 2,418,259,499 shares of Class A common stock authorized but unissued, including 220,735,226 shares of Class A common stock issuable upon exchange of OpCo Units or HoldCo Units that are held by the Pre-IPO OpCo Unitholders or the Pre-IPO HoldCo Unitholders, respectively, 86,835,289 shares of Class A common stock issuable upon conversion of 86,835,289 shares of Class C common stock that are held by the Pre-IPO Blocker Holders, and 12,291,007 shares of Class A common stock (based on the closing price of our Class A common stock of $37.99 per share as reported on Nasdaq on October 30, 2020) issuable upon the vesting and conversion of 14,383,955 Class P Units held by the Continuing Class P Unitholders.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IPO, 513,440 restricted stock units, 47,620 LTIP Units, 577,879 stock options, which we refer to as “leverage restoration options,” with a strike price equal to the IPO public offering price per share of Class A common stock, and 630,000 Class P Units with a participation threshold (</w:t>
      </w:r>
      <w:r>
        <w:rPr>
          <w:rFonts w:ascii="Arial" w:cs="Arial" w:eastAsia="Arial" w:hAnsi="Arial"/>
          <w:sz w:val="16"/>
          <w:szCs w:val="16"/>
          <w:i w:val="1"/>
          <w:iCs w:val="1"/>
          <w:color w:val="auto"/>
        </w:rPr>
        <w:t>i</w:t>
      </w:r>
      <w:r>
        <w:rPr>
          <w:rFonts w:ascii="Arial" w:cs="Arial" w:eastAsia="Arial" w:hAnsi="Arial"/>
          <w:sz w:val="16"/>
          <w:szCs w:val="16"/>
          <w:color w:val="auto"/>
        </w:rPr>
        <w:t>.</w:t>
      </w:r>
      <w:r>
        <w:rPr>
          <w:rFonts w:ascii="Arial" w:cs="Arial" w:eastAsia="Arial" w:hAnsi="Arial"/>
          <w:sz w:val="16"/>
          <w:szCs w:val="16"/>
          <w:i w:val="1"/>
          <w:iCs w:val="1"/>
          <w:color w:val="auto"/>
        </w:rPr>
        <w:t>e</w:t>
      </w:r>
      <w:r>
        <w:rPr>
          <w:rFonts w:ascii="Arial" w:cs="Arial" w:eastAsia="Arial" w:hAnsi="Arial"/>
          <w:sz w:val="16"/>
          <w:szCs w:val="16"/>
          <w:color w:val="auto"/>
        </w:rPr>
        <w:t>., strike price) equal to the IPO public offering price per share of Class A common stock were granted under our 2020 Omnibus Incentive Plan. See “Executive Compensation—Compensation Arrangements Adopted in Connection with the IPO—2020 Omnibus Incentive Plan.” Any Class A common stock that we issue, including under our 2020 Omnibus Incentive Plan or other equity incentive plans that we may adopt in the future, would dilute the percentage ownership held by the investors who purchase Class A common stock in this offering.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whose terms could adversely affect the voting power or value of our Class A common stock.</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7" w:name="page78"/>
    <w:bookmarkEnd w:id="77"/>
    <w:p>
      <w:pPr>
        <w:jc w:val="both"/>
        <w:spacing w:after="0" w:line="279" w:lineRule="auto"/>
        <w:rPr>
          <w:sz w:val="20"/>
          <w:szCs w:val="20"/>
          <w:color w:val="auto"/>
        </w:rPr>
      </w:pPr>
      <w:r>
        <w:rPr>
          <w:rFonts w:ascii="Arial" w:cs="Arial" w:eastAsia="Arial" w:hAnsi="Arial"/>
          <w:sz w:val="17"/>
          <w:szCs w:val="17"/>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81,740,501 shares of our Class A common stock outstanding (or 83,615,501 shares if the underwriters exercise in full their option to purchase additional shares of our Class A common stock). Of these shares, all of the shares of our Class A common stock sold in this offering, the IPO, and the Secondary Offering (totaling 63,675,000 shares of our Class A common stock) will be freely tradable without restriction or further registration under the Securities Act of 1933, as amended (the “Securities Act”), by persons other than our “affiliates,” as that term is defined under Rule 144 of the Securities Act (“Rule 144”). The remaining shares of our Class A common stock will be “restricted securities,” as defined in Rule 144, and may not be sold absent registration under the Securities Act or compliance with Rule 144 thereunder or in reliance on another exemption from registration. See “Shares Eligible for Future Sale.”</w:t>
      </w:r>
    </w:p>
    <w:p>
      <w:pPr>
        <w:spacing w:after="0" w:line="118"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In addition, under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09"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As of October 31, 2020, after giving effect to this offering (subject to the terms of the applicable limited liability company agreement), an aggregate of 216,534,801 OpCo Units and an aggregate of 4,200,425 HoldCo Units would be exchangeable for shares of our Class A common stock and an aggregate of 86,835,289 shares of Class C common stock would be convertible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w:t>
      </w:r>
    </w:p>
    <w:p>
      <w:pPr>
        <w:spacing w:after="0" w:line="10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60 days from the date of this prospectus, except with certain underwriters’ prior written consent. See “Underwriting.”</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Subject to certain limitations and exceptions, pursuant to the terms of the amended and restated limited liability company agreement of ZoomInfo OpCo, the holders of 14,383,955 Class P Units, which have a weighted-average per unit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xml:space="preserve"> the strike price) of $5.53 per Class P Unit, will be able to exchange their Class 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8" w:name="page79"/>
    <w:bookmarkEnd w:id="78"/>
    <w:p>
      <w:pPr>
        <w:jc w:val="both"/>
        <w:spacing w:after="0" w:line="266" w:lineRule="auto"/>
        <w:rPr>
          <w:sz w:val="20"/>
          <w:szCs w:val="20"/>
          <w:color w:val="auto"/>
        </w:rPr>
      </w:pPr>
      <w:r>
        <w:rPr>
          <w:rFonts w:ascii="Arial" w:cs="Arial" w:eastAsia="Arial" w:hAnsi="Arial"/>
          <w:sz w:val="17"/>
          <w:szCs w:val="17"/>
          <w:color w:val="auto"/>
        </w:rPr>
        <w:t>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28"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However, subject to the expiration or waiver of the 60-day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Following completion of this offering, the shares covered by registration rights would represent approximately 76.1% of our total Class A common stock outstanding (or 75.6% if the underwriters exercise in full their option to purchase additional shares of our Class A common stock), assuming exchange of all OpCo Units and HoldCo Units and conversion of all shares of our Class C common stock. Registration of any of these outstanding shares of Class A common stock would result in such shares becoming freely tradable without compliance with Rule 144 upon effectiveness of the registration statement. See “Shares Eligible for Future Sale—Registration Rights” and “Certain Relationships and Related Person Transactions—Registration Rights Agreement.”</w:t>
      </w:r>
    </w:p>
    <w:p>
      <w:pPr>
        <w:spacing w:after="0" w:line="10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have filed a registration statement on Form S-8 under the Securities Act to register shares of our Class A common stock or securities convertible into or exchangeable for shares of our Class A common stock issued pursuant to the 2020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w:t>
      </w:r>
    </w:p>
    <w:p>
      <w:pPr>
        <w:spacing w:after="0" w:line="128"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Anti-takeover provisions in our organizational documents and Delaware law might discourage or delay acquisition attempts for us that you might consider favorable.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amended and restated certificate of incorporation and amended and restated bylaws contain provisions that may make a merger with or acquisition of our</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Company more difficult without the approval of our board of directors. Among other things, these provisions:</w:t>
      </w:r>
    </w:p>
    <w:p>
      <w:pPr>
        <w:spacing w:after="0" w:line="154" w:lineRule="exact"/>
        <w:rPr>
          <w:sz w:val="20"/>
          <w:szCs w:val="20"/>
          <w:color w:val="auto"/>
        </w:rPr>
      </w:pPr>
    </w:p>
    <w:p>
      <w:pPr>
        <w:ind w:left="620" w:hanging="308"/>
        <w:spacing w:after="0" w:line="279" w:lineRule="auto"/>
        <w:tabs>
          <w:tab w:leader="none" w:pos="6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79" w:lineRule="exact"/>
        <w:rPr>
          <w:rFonts w:ascii="Arial" w:cs="Arial" w:eastAsia="Arial" w:hAnsi="Arial"/>
          <w:sz w:val="17"/>
          <w:szCs w:val="17"/>
          <w:color w:val="auto"/>
        </w:rPr>
      </w:pPr>
    </w:p>
    <w:p>
      <w:pPr>
        <w:jc w:val="both"/>
        <w:ind w:left="620" w:hanging="308"/>
        <w:spacing w:after="0" w:line="286" w:lineRule="auto"/>
        <w:tabs>
          <w:tab w:leader="none" w:pos="6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79" w:name="page80"/>
    <w:bookmarkEnd w:id="79"/>
    <w:p>
      <w:pPr>
        <w:jc w:val="both"/>
        <w:ind w:left="620" w:hanging="308"/>
        <w:spacing w:after="0" w:line="290" w:lineRule="auto"/>
        <w:tabs>
          <w:tab w:leader="none" w:pos="616"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105" w:lineRule="exact"/>
        <w:rPr>
          <w:rFonts w:ascii="Arial" w:cs="Arial" w:eastAsia="Arial" w:hAnsi="Arial"/>
          <w:sz w:val="16"/>
          <w:szCs w:val="16"/>
          <w:color w:val="auto"/>
        </w:rPr>
      </w:pPr>
    </w:p>
    <w:p>
      <w:pPr>
        <w:jc w:val="both"/>
        <w:ind w:left="620" w:hanging="308"/>
        <w:spacing w:after="0" w:line="266" w:lineRule="auto"/>
        <w:tabs>
          <w:tab w:leader="none" w:pos="616"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22" w:lineRule="exact"/>
        <w:rPr>
          <w:rFonts w:ascii="Arial" w:cs="Arial" w:eastAsia="Arial" w:hAnsi="Arial"/>
          <w:sz w:val="17"/>
          <w:szCs w:val="17"/>
          <w:color w:val="auto"/>
        </w:rPr>
      </w:pPr>
    </w:p>
    <w:p>
      <w:pPr>
        <w:ind w:left="620" w:hanging="308"/>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provide for certain limitations on convening special stockholder meetings;</w:t>
      </w:r>
    </w:p>
    <w:p>
      <w:pPr>
        <w:spacing w:after="0" w:line="165"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28" w:lineRule="exact"/>
        <w:rPr>
          <w:rFonts w:ascii="Arial" w:cs="Arial" w:eastAsia="Arial" w:hAnsi="Arial"/>
          <w:sz w:val="17"/>
          <w:szCs w:val="17"/>
          <w:color w:val="auto"/>
        </w:rPr>
      </w:pPr>
    </w:p>
    <w:p>
      <w:pPr>
        <w:jc w:val="both"/>
        <w:ind w:left="620" w:hanging="308"/>
        <w:spacing w:after="0" w:line="290" w:lineRule="auto"/>
        <w:tabs>
          <w:tab w:leader="none" w:pos="616"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105"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53"/>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elections to our board of directors or for proposing matters that can be acted upon by stockholders at stockholder meetings.</w:t>
      </w:r>
    </w:p>
    <w:p>
      <w:pPr>
        <w:spacing w:after="0" w:line="11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23"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 (ii) action asserting a claim of breach of a fiduciary duty owed by any current or former director, officer, stockholder or employee of ours to us or our stockholders,</w:t>
      </w:r>
    </w:p>
    <w:p>
      <w:pPr>
        <w:spacing w:after="0" w:line="2" w:lineRule="exact"/>
        <w:rPr>
          <w:sz w:val="20"/>
          <w:szCs w:val="20"/>
          <w:color w:val="auto"/>
        </w:rPr>
      </w:pPr>
    </w:p>
    <w:p>
      <w:pPr>
        <w:jc w:val="both"/>
        <w:ind w:firstLine="3"/>
        <w:spacing w:after="0" w:line="255" w:lineRule="auto"/>
        <w:tabs>
          <w:tab w:leader="none" w:pos="33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80" w:name="page81"/>
    <w:bookmarkEnd w:id="80"/>
    <w:p>
      <w:pPr>
        <w:jc w:val="both"/>
        <w:spacing w:after="0" w:line="279" w:lineRule="auto"/>
        <w:rPr>
          <w:sz w:val="20"/>
          <w:szCs w:val="20"/>
          <w:color w:val="auto"/>
        </w:rPr>
      </w:pPr>
      <w:r>
        <w:rPr>
          <w:rFonts w:ascii="Arial" w:cs="Arial" w:eastAsia="Arial" w:hAnsi="Arial"/>
          <w:sz w:val="16"/>
          <w:szCs w:val="16"/>
          <w:color w:val="auto"/>
        </w:rPr>
        <w:t>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17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following are some of the factors that could cause actual results to differ from those expressed or implied by our forward-looking statements, including forward-looking statements contained in this prospectus:</w:t>
      </w:r>
    </w:p>
    <w:p>
      <w:pPr>
        <w:spacing w:after="0" w:line="112" w:lineRule="exact"/>
        <w:rPr>
          <w:sz w:val="20"/>
          <w:szCs w:val="20"/>
          <w:color w:val="auto"/>
        </w:rPr>
      </w:pPr>
    </w:p>
    <w:p>
      <w:pPr>
        <w:ind w:left="620" w:hanging="308"/>
        <w:spacing w:after="0" w:line="279" w:lineRule="auto"/>
        <w:tabs>
          <w:tab w:leader="none" w:pos="616"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COVID-19 pandemic, including the global economic uncertainty and measures taken in response, could materially impact our business and future results of operations;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larger well-funded companies shifting their existing business models to become more competitive with us;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provide or adapt our platform for changes in laws and regulations or public perception, or changes in the enforcement of such laws, relating to data privacy;</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effects of companies more effectively catering to our customers by offering more tailored products or platforms at lower costs;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adverse general economic and market conditions reducing spending on sales and marketing;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effects of declining demand for sales and marketing subscription platforms;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improve our technology and keep up with new processes for data collection, organization, and cleansing;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provide a highly accurate, reliable, and comprehensive platform moving forward;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reliance on third-party systems that we do not control to integrate with our system and our potential inability to continue to support integration;</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attract new customers and expand existing subscriptions;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failure to protect and maintain our brand and our ability to attract and retain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failure to achieve and maintain effective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82" w:name="page83"/>
    <w:bookmarkEnd w:id="82"/>
    <w:p>
      <w:pPr>
        <w:ind w:left="620" w:hanging="308"/>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ability to successfully integrate acquired businesses, services, databases, and technologies into our operations;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other factors described under “Risk Factors.”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0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Any forward-looking statement made by us in this prospectus speaks only as of the date of this prospectus. We undertake no obligation to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MARKET AND INDUSTRY DATA</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This prospectus includes market and industry data and forecasts that we have derived from independent consultant reports, publicly available information, various industry publications, other published industry sources, including S&amp;P Global Market Intelligence (“Capital IQ”), Salesforce Research (“Salesforce.com”), Global Industry Analysts (“Global Industry Analysts, Inc.”), Sirius Decisions (“SiriusDecisions”), and Forrester Research, Inc. (“Forrester”), and our internal data and estimates, including data generated utilizing our ZoomInfo platform. Independent consultant reports, industry publications, and other published industry sources generally indicate that the information contained therein was obtained from sources believed to be reliable.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source of certain statistical data, estimates, and forecasts contained in this prospectus are the following independent industry publications or reports:</w:t>
      </w:r>
    </w:p>
    <w:p>
      <w:pPr>
        <w:spacing w:after="0" w:line="177" w:lineRule="exact"/>
        <w:rPr>
          <w:sz w:val="20"/>
          <w:szCs w:val="20"/>
          <w:color w:val="auto"/>
        </w:rPr>
      </w:pPr>
    </w:p>
    <w:p>
      <w:pPr>
        <w:ind w:left="620" w:hanging="308"/>
        <w:spacing w:after="0" w:line="279" w:lineRule="auto"/>
        <w:tabs>
          <w:tab w:leader="none" w:pos="616" w:val="left"/>
        </w:tabs>
        <w:numPr>
          <w:ilvl w:val="0"/>
          <w:numId w:val="57"/>
        </w:numPr>
        <w:rPr>
          <w:rFonts w:ascii="Arial" w:cs="Arial" w:eastAsia="Arial" w:hAnsi="Arial"/>
          <w:sz w:val="17"/>
          <w:szCs w:val="17"/>
          <w:color w:val="auto"/>
        </w:rPr>
      </w:pPr>
      <w:r>
        <w:rPr>
          <w:rFonts w:ascii="Arial" w:cs="Arial" w:eastAsia="Arial" w:hAnsi="Arial"/>
          <w:sz w:val="17"/>
          <w:szCs w:val="17"/>
          <w:color w:val="auto"/>
        </w:rPr>
        <w:t>B2B Sales and Marketing Intelligence Solutions Drive Improved Business Outcomes, a commissioned study conducted by Forrester Consulting on behalf of DiscoverOrg, August 2019;</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State of Sales, Salesforce Research, July 2018;</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S&amp;P Global Capital IQ database, ©2019: S&amp;P Global Market Intelligence;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Global Industry Analysts, Global Customer Relationship Management (CRM) Software Industry Report, October 2019;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Tracking the True Cost of Sales, Sirius Decisions, 2019.</w:t>
      </w:r>
    </w:p>
    <w:p>
      <w:pPr>
        <w:spacing w:after="0" w:line="165"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1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84" w:name="page85"/>
    <w:bookmarkEnd w:id="84"/>
    <w:p>
      <w:pPr>
        <w:ind w:left="4260"/>
        <w:spacing w:after="0"/>
        <w:rPr>
          <w:sz w:val="20"/>
          <w:szCs w:val="20"/>
          <w:color w:val="auto"/>
        </w:rPr>
      </w:pPr>
      <w:r>
        <w:rPr>
          <w:rFonts w:ascii="Arial" w:cs="Arial" w:eastAsia="Arial" w:hAnsi="Arial"/>
          <w:sz w:val="17"/>
          <w:szCs w:val="17"/>
          <w:b w:val="1"/>
          <w:bCs w:val="1"/>
          <w:color w:val="auto"/>
        </w:rPr>
        <w:t>ORGANIZATIONAL STRUCTURE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 Following the IPO and the Transactions</w:t>
      </w:r>
    </w:p>
    <w:p>
      <w:pPr>
        <w:spacing w:after="0" w:line="17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consolidated financial statements of ZoomInfo OpCo, the accounting predecessor. ZoomInfo Technologies Inc. consolidates ZoomInfo OpCo through ZoomInfo HoldCo in its consolidated financial statements and records a non-controlling interest related to the OpCo Units and HoldCo Units held by our pre-IPO owners on its consolidated balance sheet and statement of income.</w:t>
      </w:r>
    </w:p>
    <w:p>
      <w:pPr>
        <w:spacing w:after="0" w:line="13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Pre-IPO OpCo Unitholders and the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3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voting power afforded to Pre-IPO OpCo Unitholders and Pre-IPO HoldCo Unitholders, as applicable, by their shares of Class B common stock is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vote as a single class on all matters on which stockholders are entitled to vote generally, except as otherwise required by law.</w:t>
      </w:r>
    </w:p>
    <w:p>
      <w:pPr>
        <w:spacing w:after="0" w:line="122" w:lineRule="exact"/>
        <w:rPr>
          <w:sz w:val="20"/>
          <w:szCs w:val="20"/>
          <w:color w:val="auto"/>
        </w:rPr>
      </w:pPr>
    </w:p>
    <w:p>
      <w:pPr>
        <w:jc w:val="both"/>
        <w:ind w:firstLine="309"/>
        <w:spacing w:after="0" w:line="293" w:lineRule="auto"/>
        <w:rPr>
          <w:sz w:val="20"/>
          <w:szCs w:val="20"/>
          <w:color w:val="auto"/>
        </w:rPr>
      </w:pPr>
      <w:r>
        <w:rPr>
          <w:rFonts w:ascii="Arial" w:cs="Arial" w:eastAsia="Arial" w:hAnsi="Arial"/>
          <w:sz w:val="15"/>
          <w:szCs w:val="15"/>
          <w:color w:val="auto"/>
        </w:rPr>
        <w:t>Our organizational structure is commonly referred to as an UP-C structure. This organizational structure allows our Pre-IPO OpCo Unitholders to retain their equity ownership in ZoomInfo OpCo, an entity that is classified as a partnership for U.S. federal income tax purposes, in the form of OpCo Units. Investors in this offering will, by contrast, hold their equity ownership in ZoomInfo Technologies Inc., a Delaware corporation that is a domestic corporation for U.S. federal income tax purposes, in the form of shares of Class A common stock. Pre-IPO Blocker Holders hold their equity ownership in ZoomInfo Technologies Inc. in the form of shares of Class C common stock. Pre-IPO HoldCo Unitholders hold their equity ownership in ZoomInfo HoldCo, an entity classified as a corporation for U.S. federal income tax purposes, in the form of HoldCo Units. We believe that our Pre-IPO OpCo Unitholders will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85" w:name="page86"/>
    <w:bookmarkEnd w:id="85"/>
    <w:p>
      <w:pPr>
        <w:jc w:val="both"/>
        <w:spacing w:after="0" w:line="279" w:lineRule="auto"/>
        <w:rPr>
          <w:sz w:val="20"/>
          <w:szCs w:val="20"/>
          <w:color w:val="auto"/>
        </w:rPr>
      </w:pPr>
      <w:r>
        <w:rPr>
          <w:rFonts w:ascii="Arial" w:cs="Arial" w:eastAsia="Arial" w:hAnsi="Arial"/>
          <w:sz w:val="17"/>
          <w:szCs w:val="17"/>
          <w:color w:val="auto"/>
        </w:rPr>
        <w:t>potential liquidity that holders of non-publicly traded limited liability companies are not typically afforded. We do not believe that our UP-C structure gives rise to any significant business or strategic benefit or detriment to us.</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diagram below depicts our organizational structure after giving effect to this offering. For purposes of depicting ownership of voting power in ZoomInfo Technologies Inc., the below diagram takes into account shares of Class B common stock held by Pre-IPO OpCo Unitholders and Pre-IPO HoldCo Unitholders and shares of Class C common stock held by Pre-IPO Blocker Holders.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89535</wp:posOffset>
            </wp:positionV>
            <wp:extent cx="5102225" cy="5249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02225" cy="5249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17" w:lineRule="exact"/>
        <w:rPr>
          <w:sz w:val="20"/>
          <w:szCs w:val="20"/>
          <w:color w:val="auto"/>
        </w:rPr>
      </w:pPr>
    </w:p>
    <w:p>
      <w:pPr>
        <w:jc w:val="both"/>
        <w:ind w:left="320" w:hanging="317"/>
        <w:spacing w:after="0" w:line="254" w:lineRule="auto"/>
        <w:tabs>
          <w:tab w:leader="none" w:pos="313" w:val="left"/>
        </w:tabs>
        <w:numPr>
          <w:ilvl w:val="0"/>
          <w:numId w:val="58"/>
        </w:numPr>
        <w:rPr>
          <w:rFonts w:ascii="Arial" w:cs="Arial" w:eastAsia="Arial" w:hAnsi="Arial"/>
          <w:sz w:val="13"/>
          <w:szCs w:val="13"/>
          <w:color w:val="auto"/>
        </w:rPr>
      </w:pPr>
      <w:r>
        <w:rPr>
          <w:rFonts w:ascii="Arial" w:cs="Arial" w:eastAsia="Arial" w:hAnsi="Arial"/>
          <w:sz w:val="13"/>
          <w:szCs w:val="13"/>
          <w:color w:val="auto"/>
        </w:rPr>
        <w:t>Each share of Class B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this offering, the Pre-IPO OpCo Unitholders and the Pre-IPO HoldCo Unitholders will hold 216,534,801 and 4,200,425 shares of our Class B common stock, respectively, collectively representing 100% of our outstanding Class B common stock, and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86" w:name="page87"/>
    <w:bookmarkEnd w:id="86"/>
    <w:p>
      <w:pPr>
        <w:ind w:left="320"/>
        <w:spacing w:after="0"/>
        <w:rPr>
          <w:sz w:val="20"/>
          <w:szCs w:val="20"/>
          <w:color w:val="auto"/>
        </w:rPr>
      </w:pPr>
      <w:r>
        <w:rPr>
          <w:rFonts w:ascii="Arial" w:cs="Arial" w:eastAsia="Arial" w:hAnsi="Arial"/>
          <w:sz w:val="13"/>
          <w:szCs w:val="13"/>
          <w:color w:val="auto"/>
        </w:rPr>
        <w:t>will collectively hold 69.9% of the voting power in ZoomInfo Technologies Inc. For additional information, see “Description of Capital Stock—Common Stock—Class B Common Stock.”</w:t>
      </w:r>
    </w:p>
    <w:p>
      <w:pPr>
        <w:spacing w:after="0" w:line="17" w:lineRule="exact"/>
        <w:rPr>
          <w:sz w:val="20"/>
          <w:szCs w:val="20"/>
          <w:color w:val="auto"/>
        </w:rPr>
      </w:pPr>
    </w:p>
    <w:p>
      <w:pPr>
        <w:jc w:val="both"/>
        <w:ind w:left="320" w:hanging="317"/>
        <w:spacing w:after="0" w:line="248" w:lineRule="auto"/>
        <w:tabs>
          <w:tab w:leader="none" w:pos="313" w:val="left"/>
        </w:tabs>
        <w:numPr>
          <w:ilvl w:val="0"/>
          <w:numId w:val="59"/>
        </w:numPr>
        <w:rPr>
          <w:rFonts w:ascii="Arial" w:cs="Arial" w:eastAsia="Arial" w:hAnsi="Arial"/>
          <w:sz w:val="13"/>
          <w:szCs w:val="13"/>
          <w:color w:val="auto"/>
        </w:rPr>
      </w:pPr>
      <w:r>
        <w:rPr>
          <w:rFonts w:ascii="Arial" w:cs="Arial" w:eastAsia="Arial" w:hAnsi="Arial"/>
          <w:sz w:val="13"/>
          <w:szCs w:val="13"/>
          <w:color w:val="auto"/>
        </w:rPr>
        <w:t>Each share of Class C common stock provides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 Blocker Holders will hold 86,835,289 shares of our Class C common stock, representing 100% of our Class C common stock, and will collectively hold 27.5% of the voting power in ZoomInfo Technologies Inc. For additional information, see “Description of Capital Stock—Common Stock—Class C Common Stock.”</w:t>
      </w:r>
    </w:p>
    <w:p>
      <w:pPr>
        <w:jc w:val="both"/>
        <w:ind w:left="320" w:hanging="317"/>
        <w:spacing w:after="0" w:line="230" w:lineRule="auto"/>
        <w:tabs>
          <w:tab w:leader="none" w:pos="313" w:val="left"/>
        </w:tabs>
        <w:numPr>
          <w:ilvl w:val="0"/>
          <w:numId w:val="59"/>
        </w:numPr>
        <w:rPr>
          <w:rFonts w:ascii="Arial" w:cs="Arial" w:eastAsia="Arial" w:hAnsi="Arial"/>
          <w:sz w:val="14"/>
          <w:szCs w:val="14"/>
          <w:color w:val="auto"/>
        </w:rPr>
      </w:pPr>
      <w:r>
        <w:rPr>
          <w:rFonts w:ascii="Arial" w:cs="Arial" w:eastAsia="Arial" w:hAnsi="Arial"/>
          <w:sz w:val="14"/>
          <w:szCs w:val="14"/>
          <w:color w:val="auto"/>
        </w:rPr>
        <w:t>Assuming such Class P Units are fully vested, at the time of this offering, 12,291,007 shares of Class A common stock (based on the closing price of our Class A common stock of $37.99 per share as reported on Nasdaq on October 30, 2020) would be issuable upon the exchange of 14,383,955 Class P Units that are held by the Continuing Class P Unitholders. For additional information, see “— Reclassification and Amendment and Restatement of Limited Liability Company Agreement of ZoomInfo OpCo” and “Certain Relationships and Related Person Transactions—ZoomInfo OpCo Amended and Restated Limited Liability Company Agreement.”</w:t>
      </w:r>
    </w:p>
    <w:p>
      <w:pPr>
        <w:ind w:left="300" w:hanging="297"/>
        <w:spacing w:after="0"/>
        <w:tabs>
          <w:tab w:leader="none" w:pos="3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the secured credit facilities. See “Description of Certain Indebtedness.”</w:t>
      </w:r>
    </w:p>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following presents the outstanding common stock, OpCo Units and HoldCo Units, after giving effect to this offering, (i) on an actual basis, excluding the conversion of 14,383,955 Class P Units held by the Continuing Class P Unitholders, which are convertible for 12,291,007 shares of Class A common stock (based on the closing price of our Class A common stock of $37.99 per share as reported on Nasdaq on October 30, 2020) upon vesting, and (ii) on a diluted basis, assuming the conversion of such Class P Units, following completion of the Reorganization Transactions and the IPO Transactions:</w:t>
      </w:r>
    </w:p>
    <w:p>
      <w:pPr>
        <w:sectPr>
          <w:pgSz w:w="11900" w:h="16838" w:orient="portrait"/>
          <w:cols w:equalWidth="0" w:num="1">
            <w:col w:w="11240"/>
          </w:cols>
          <w:pgMar w:left="320" w:top="13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right="1260"/>
        <w:spacing w:after="0" w:line="297" w:lineRule="auto"/>
        <w:rPr>
          <w:sz w:val="20"/>
          <w:szCs w:val="20"/>
          <w:color w:val="auto"/>
        </w:rPr>
      </w:pPr>
      <w:r>
        <w:rPr>
          <w:rFonts w:ascii="Arial" w:cs="Arial" w:eastAsia="Arial" w:hAnsi="Arial"/>
          <w:sz w:val="13"/>
          <w:szCs w:val="13"/>
          <w:color w:val="auto"/>
        </w:rPr>
        <w:t>Public Stockholders Pre-IPO OpCo Unitholders Pre-IPO HoldCo Unitholders Pre-IPO Blocker Holders ZoomInfo Technologies Inc. ZoomInfo HoldCo</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outstanding</w:t>
      </w:r>
    </w:p>
    <w:p>
      <w:pPr>
        <w:spacing w:after="0" w:line="19" w:lineRule="exact"/>
        <w:rPr>
          <w:sz w:val="20"/>
          <w:szCs w:val="20"/>
          <w:color w:val="auto"/>
        </w:rPr>
      </w:pPr>
    </w:p>
    <w:p>
      <w:pPr>
        <w:jc w:val="both"/>
        <w:ind w:left="360" w:right="200" w:hanging="154"/>
        <w:spacing w:after="0" w:line="208" w:lineRule="auto"/>
        <w:rPr>
          <w:sz w:val="20"/>
          <w:szCs w:val="20"/>
          <w:color w:val="auto"/>
        </w:rPr>
      </w:pPr>
      <w:r>
        <w:rPr>
          <w:rFonts w:ascii="Arial" w:cs="Arial" w:eastAsia="Arial" w:hAnsi="Arial"/>
          <w:sz w:val="14"/>
          <w:szCs w:val="14"/>
          <w:color w:val="auto"/>
        </w:rPr>
        <w:t>Total, after giving effect to the conversion of Class P Units held by Continuing Class P Unitholders</w:t>
      </w:r>
      <w:r>
        <w:rPr>
          <w:rFonts w:ascii="Arial" w:cs="Arial" w:eastAsia="Arial" w:hAnsi="Arial"/>
          <w:sz w:val="17"/>
          <w:szCs w:val="17"/>
          <w:color w:val="auto"/>
          <w:vertAlign w:val="superscript"/>
        </w:rPr>
        <w:t>(1)</w:t>
      </w:r>
    </w:p>
    <w:p>
      <w:pPr>
        <w:spacing w:after="0" w:line="1" w:lineRule="exact"/>
        <w:rPr>
          <w:sz w:val="20"/>
          <w:szCs w:val="20"/>
          <w:color w:val="auto"/>
        </w:rPr>
      </w:pPr>
    </w:p>
    <w:p>
      <w:pPr>
        <w:ind w:left="360" w:hanging="154"/>
        <w:spacing w:after="0" w:line="209" w:lineRule="auto"/>
        <w:rPr>
          <w:sz w:val="20"/>
          <w:szCs w:val="20"/>
          <w:color w:val="auto"/>
        </w:rPr>
      </w:pPr>
      <w:r>
        <w:rPr>
          <w:rFonts w:ascii="Arial" w:cs="Arial" w:eastAsia="Arial" w:hAnsi="Arial"/>
          <w:sz w:val="14"/>
          <w:szCs w:val="14"/>
          <w:color w:val="auto"/>
        </w:rPr>
        <w:t>Total, after giving further effect to the vesting of employee equity grants under our 2020 Omnibus Incentive Plan</w:t>
      </w:r>
      <w:r>
        <w:rPr>
          <w:rFonts w:ascii="Arial" w:cs="Arial" w:eastAsia="Arial" w:hAnsi="Arial"/>
          <w:sz w:val="17"/>
          <w:szCs w:val="17"/>
          <w:color w:val="auto"/>
          <w:vertAlign w:val="superscript"/>
        </w:rPr>
        <w:t>(2)</w:t>
      </w:r>
    </w:p>
    <w:p>
      <w:pPr>
        <w:spacing w:after="0" w:line="230" w:lineRule="auto"/>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Common Stock</w:t>
            </w: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Units</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380" w:type="dxa"/>
            <w:vAlign w:val="bottom"/>
            <w:gridSpan w:val="2"/>
          </w:tcPr>
          <w:p>
            <w:pPr>
              <w:jc w:val="center"/>
              <w:ind w:right="80"/>
              <w:spacing w:after="0" w:line="127" w:lineRule="exact"/>
              <w:rPr>
                <w:sz w:val="20"/>
                <w:szCs w:val="20"/>
                <w:color w:val="auto"/>
              </w:rPr>
            </w:pPr>
            <w:r>
              <w:rPr>
                <w:rFonts w:ascii="Arial" w:cs="Arial" w:eastAsia="Arial" w:hAnsi="Arial"/>
                <w:sz w:val="14"/>
                <w:szCs w:val="14"/>
                <w:b w:val="1"/>
                <w:bCs w:val="1"/>
                <w:color w:val="auto"/>
                <w:w w:val="87"/>
              </w:rPr>
              <w:t>Class A Common</w:t>
            </w:r>
          </w:p>
        </w:tc>
        <w:tc>
          <w:tcPr>
            <w:tcW w:w="1400" w:type="dxa"/>
            <w:vAlign w:val="bottom"/>
            <w:gridSpan w:val="2"/>
          </w:tcPr>
          <w:p>
            <w:pPr>
              <w:jc w:val="center"/>
              <w:ind w:right="80"/>
              <w:spacing w:after="0" w:line="127" w:lineRule="exact"/>
              <w:rPr>
                <w:sz w:val="20"/>
                <w:szCs w:val="20"/>
                <w:color w:val="auto"/>
              </w:rPr>
            </w:pPr>
            <w:r>
              <w:rPr>
                <w:rFonts w:ascii="Arial" w:cs="Arial" w:eastAsia="Arial" w:hAnsi="Arial"/>
                <w:sz w:val="14"/>
                <w:szCs w:val="14"/>
                <w:b w:val="1"/>
                <w:bCs w:val="1"/>
                <w:color w:val="auto"/>
                <w:w w:val="86"/>
              </w:rPr>
              <w:t>Class B Common</w:t>
            </w:r>
          </w:p>
        </w:tc>
        <w:tc>
          <w:tcPr>
            <w:tcW w:w="140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87"/>
              </w:rPr>
              <w:t>Class C Common</w:t>
            </w:r>
          </w:p>
        </w:tc>
        <w:tc>
          <w:tcPr>
            <w:tcW w:w="14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16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HoldCo Units</w:t>
            </w:r>
          </w:p>
        </w:tc>
        <w:tc>
          <w:tcPr>
            <w:tcW w:w="11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OpCo Units</w:t>
            </w:r>
          </w:p>
        </w:tc>
        <w:tc>
          <w:tcPr>
            <w:tcW w:w="0" w:type="dxa"/>
            <w:vAlign w:val="bottom"/>
          </w:tcPr>
          <w:p>
            <w:pPr>
              <w:spacing w:after="0"/>
              <w:rPr>
                <w:sz w:val="1"/>
                <w:szCs w:val="1"/>
                <w:color w:val="auto"/>
              </w:rPr>
            </w:pPr>
          </w:p>
        </w:tc>
      </w:tr>
      <w:tr>
        <w:trPr>
          <w:trHeight w:val="179"/>
        </w:trPr>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140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216,534,801</w:t>
            </w: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4,200,425</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4,200,425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4,200,425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168,575,790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172,776,215</w:t>
            </w:r>
          </w:p>
        </w:tc>
        <w:tc>
          <w:tcPr>
            <w:tcW w:w="0" w:type="dxa"/>
            <w:vAlign w:val="bottom"/>
          </w:tcPr>
          <w:p>
            <w:pPr>
              <w:spacing w:after="0"/>
              <w:rPr>
                <w:sz w:val="1"/>
                <w:szCs w:val="1"/>
                <w:color w:val="auto"/>
              </w:rPr>
            </w:pPr>
          </w:p>
        </w:tc>
      </w:tr>
      <w:tr>
        <w:trPr>
          <w:trHeight w:val="176"/>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81,740,501</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389,311,016</w:t>
            </w:r>
          </w:p>
        </w:tc>
        <w:tc>
          <w:tcPr>
            <w:tcW w:w="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172,776,215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389,311,016</w:t>
            </w:r>
          </w:p>
        </w:tc>
        <w:tc>
          <w:tcPr>
            <w:tcW w:w="0" w:type="dxa"/>
            <w:vAlign w:val="bottom"/>
          </w:tcPr>
          <w:p>
            <w:pPr>
              <w:spacing w:after="0"/>
              <w:rPr>
                <w:sz w:val="1"/>
                <w:szCs w:val="1"/>
                <w:color w:val="auto"/>
              </w:rPr>
            </w:pPr>
          </w:p>
        </w:tc>
      </w:tr>
      <w:tr>
        <w:trPr>
          <w:trHeight w:val="22"/>
        </w:trPr>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94,031,508</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401,602,023</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185,067,222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401,602,023</w:t>
            </w:r>
          </w:p>
        </w:tc>
        <w:tc>
          <w:tcPr>
            <w:tcW w:w="0" w:type="dxa"/>
            <w:vAlign w:val="bottom"/>
          </w:tcPr>
          <w:p>
            <w:pPr>
              <w:spacing w:after="0"/>
              <w:rPr>
                <w:sz w:val="1"/>
                <w:szCs w:val="1"/>
                <w:color w:val="auto"/>
              </w:rPr>
            </w:pPr>
          </w:p>
        </w:tc>
      </w:tr>
      <w:tr>
        <w:trPr>
          <w:trHeight w:val="24"/>
        </w:trPr>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3"/>
        </w:trPr>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95,569,800</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220,735,226</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86,835,289</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403,140,315</w:t>
            </w:r>
          </w:p>
        </w:tc>
        <w:tc>
          <w:tcPr>
            <w:tcW w:w="8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186,605,514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403,140,315</w:t>
            </w:r>
          </w:p>
        </w:tc>
        <w:tc>
          <w:tcPr>
            <w:tcW w:w="0" w:type="dxa"/>
            <w:vAlign w:val="bottom"/>
          </w:tcPr>
          <w:p>
            <w:pPr>
              <w:spacing w:after="0"/>
              <w:rPr>
                <w:sz w:val="1"/>
                <w:szCs w:val="1"/>
                <w:color w:val="auto"/>
              </w:rPr>
            </w:pPr>
          </w:p>
        </w:tc>
      </w:tr>
      <w:tr>
        <w:trPr>
          <w:trHeight w:val="24"/>
        </w:trPr>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-1405890</wp:posOffset>
            </wp:positionV>
            <wp:extent cx="7138670" cy="1225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-1168400</wp:posOffset>
            </wp:positionV>
            <wp:extent cx="7138670" cy="1143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-939800</wp:posOffset>
            </wp:positionV>
            <wp:extent cx="7138670" cy="114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8670" cy="114300"/>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-710565</wp:posOffset>
            </wp:positionV>
            <wp:extent cx="7138670" cy="1390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-1864360</wp:posOffset>
            </wp:positionH>
            <wp:positionV relativeFrom="paragraph">
              <wp:posOffset>-294005</wp:posOffset>
            </wp:positionV>
            <wp:extent cx="7138670" cy="278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670" cy="27813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880" w:space="60"/>
            <w:col w:w="8300"/>
          </w:cols>
          <w:pgMar w:left="320" w:top="1357" w:right="339" w:bottom="1440" w:gutter="0" w:footer="0" w:header="0"/>
          <w:type w:val="continuous"/>
        </w:sectPr>
      </w:pPr>
    </w:p>
    <w:p>
      <w:pPr>
        <w:ind w:left="320" w:hanging="317"/>
        <w:spacing w:after="0" w:line="230" w:lineRule="auto"/>
        <w:tabs>
          <w:tab w:leader="none" w:pos="313"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20" w:hanging="317"/>
        <w:spacing w:after="0" w:line="234" w:lineRule="auto"/>
        <w:tabs>
          <w:tab w:leader="none" w:pos="313"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513,440 restricted stock units and 47,620 LTIP Units granted in connection with the IPO under the 2020 Omnibus Incentive Plan. In addition, 577,879 stock options, which we refer to as “leverage restoration options,” and 630,000 Class P Units, in each case with a strike price equal to the IPO public offering price per share of Class A common stock, were granted in connection with the IPO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type w:val="continuous"/>
        </w:sectPr>
      </w:pPr>
    </w:p>
    <w:bookmarkStart w:id="87" w:name="page88"/>
    <w:bookmarkEnd w:id="87"/>
    <w:p>
      <w:pPr>
        <w:jc w:val="both"/>
        <w:ind w:firstLine="309"/>
        <w:spacing w:after="0" w:line="266" w:lineRule="auto"/>
        <w:rPr>
          <w:sz w:val="20"/>
          <w:szCs w:val="20"/>
          <w:color w:val="auto"/>
        </w:rPr>
      </w:pPr>
      <w:r>
        <w:rPr>
          <w:rFonts w:ascii="Arial" w:cs="Arial" w:eastAsia="Arial" w:hAnsi="Arial"/>
          <w:sz w:val="17"/>
          <w:szCs w:val="17"/>
          <w:color w:val="auto"/>
        </w:rPr>
        <w:t>The following presents the economic interests and combined voting power in ZoomInfo Technologies Inc. held by the Sponsors, the Founders, management and others, and public stockholders (which does not reflect the exchange of any Class P Unit for a share of Class A common stock), after giving effect to this offering: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23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6"/>
              </w:rPr>
              <w:t>Common Stock Owned</w:t>
            </w:r>
            <w:r>
              <w:rPr>
                <w:rFonts w:ascii="Arial" w:cs="Arial" w:eastAsia="Arial" w:hAnsi="Arial"/>
                <w:sz w:val="17"/>
                <w:szCs w:val="17"/>
                <w:b w:val="1"/>
                <w:bCs w:val="1"/>
                <w:color w:val="auto"/>
                <w:w w:val="86"/>
                <w:vertAlign w:val="superscript"/>
              </w:rPr>
              <w:t>(1)</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8"/>
              </w:rPr>
              <w:t>Voting Power</w:t>
            </w:r>
            <w:r>
              <w:rPr>
                <w:rFonts w:ascii="Arial" w:cs="Arial" w:eastAsia="Arial" w:hAnsi="Arial"/>
                <w:sz w:val="17"/>
                <w:szCs w:val="17"/>
                <w:b w:val="1"/>
                <w:bCs w:val="1"/>
                <w:color w:val="auto"/>
                <w:w w:val="98"/>
                <w:vertAlign w:val="superscript"/>
              </w:rPr>
              <w:t>(2)</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2380" w:type="dxa"/>
            <w:vAlign w:val="bottom"/>
            <w:gridSpan w:val="3"/>
          </w:tcPr>
          <w:p>
            <w:pPr>
              <w:ind w:left="5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3"/>
          </w:tcPr>
          <w:p>
            <w:pPr>
              <w:ind w:left="620"/>
              <w:spacing w:after="0"/>
              <w:rPr>
                <w:sz w:val="20"/>
                <w:szCs w:val="20"/>
                <w:color w:val="auto"/>
              </w:rPr>
            </w:pPr>
            <w:r>
              <w:rPr>
                <w:rFonts w:ascii="Arial" w:cs="Arial" w:eastAsia="Arial" w:hAnsi="Arial"/>
                <w:sz w:val="14"/>
                <w:szCs w:val="14"/>
                <w:b w:val="1"/>
                <w:bCs w:val="1"/>
                <w:color w:val="auto"/>
              </w:rPr>
              <w:t>Votes</w:t>
            </w:r>
          </w:p>
        </w:tc>
        <w:tc>
          <w:tcPr>
            <w:tcW w:w="1060" w:type="dxa"/>
            <w:vAlign w:val="bottom"/>
          </w:tcPr>
          <w:p>
            <w:pPr>
              <w:jc w:val="right"/>
              <w:ind w:right="6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Sponsors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222,346,817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57.1 %</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2,223,468,170</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70.4 %</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line="219" w:lineRule="exact"/>
              <w:rPr>
                <w:sz w:val="20"/>
                <w:szCs w:val="20"/>
                <w:color w:val="auto"/>
              </w:rPr>
            </w:pPr>
            <w:r>
              <w:rPr>
                <w:rFonts w:ascii="Arial" w:cs="Arial" w:eastAsia="Arial" w:hAnsi="Arial"/>
                <w:sz w:val="17"/>
                <w:szCs w:val="17"/>
                <w:color w:val="auto"/>
              </w:rPr>
              <w:t>Founders</w:t>
            </w:r>
            <w:r>
              <w:rPr>
                <w:rFonts w:ascii="Arial" w:cs="Arial" w:eastAsia="Arial" w:hAnsi="Arial"/>
                <w:sz w:val="22"/>
                <w:szCs w:val="22"/>
                <w:color w:val="auto"/>
                <w:vertAlign w:val="superscript"/>
              </w:rPr>
              <w:t>(3)</w:t>
            </w:r>
          </w:p>
        </w:tc>
        <w:tc>
          <w:tcPr>
            <w:tcW w:w="1540" w:type="dxa"/>
            <w:vAlign w:val="bottom"/>
          </w:tcPr>
          <w:p>
            <w:pPr>
              <w:jc w:val="right"/>
              <w:spacing w:after="0"/>
              <w:rPr>
                <w:sz w:val="20"/>
                <w:szCs w:val="20"/>
                <w:color w:val="auto"/>
              </w:rPr>
            </w:pPr>
            <w:r>
              <w:rPr>
                <w:rFonts w:ascii="Arial" w:cs="Arial" w:eastAsia="Arial" w:hAnsi="Arial"/>
                <w:sz w:val="17"/>
                <w:szCs w:val="17"/>
                <w:color w:val="auto"/>
              </w:rPr>
              <w:t>66,011,392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660,113,920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20.9 %</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Others</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19,212,306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192,123,060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Public Stockholders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81,740,501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21.0 %</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81,740,501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389,311,016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3,157,445,651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spacing w:after="0" w:line="134" w:lineRule="exact"/>
              <w:rPr>
                <w:sz w:val="20"/>
                <w:szCs w:val="20"/>
                <w:color w:val="auto"/>
              </w:rPr>
            </w:pPr>
            <w:r>
              <w:rPr>
                <w:rFonts w:ascii="Arial" w:cs="Arial" w:eastAsia="Arial" w:hAnsi="Arial"/>
                <w:sz w:val="14"/>
                <w:szCs w:val="14"/>
                <w:color w:val="auto"/>
              </w:rPr>
              <w:t>__________________</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54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320" w:hanging="317"/>
        <w:spacing w:after="0" w:line="230" w:lineRule="auto"/>
        <w:tabs>
          <w:tab w:leader="none" w:pos="313"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relates to one OpCo Unit or HoldCo Unit.</w:t>
      </w:r>
    </w:p>
    <w:p>
      <w:pPr>
        <w:ind w:left="320" w:hanging="317"/>
        <w:spacing w:after="0" w:line="230" w:lineRule="auto"/>
        <w:tabs>
          <w:tab w:leader="none" w:pos="313"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beneficial ownership, reflects one vote per share of Class A common stock, ten votes per share of Class B common stock, and ten votes per share of Class C common stock. See “Principal and Selling Stockholders” for additional information.</w:t>
      </w:r>
    </w:p>
    <w:p>
      <w:pPr>
        <w:jc w:val="both"/>
        <w:ind w:left="320" w:hanging="317"/>
        <w:spacing w:after="0" w:line="315" w:lineRule="auto"/>
        <w:tabs>
          <w:tab w:leader="none" w:pos="313" w:val="left"/>
        </w:tabs>
        <w:numPr>
          <w:ilvl w:val="0"/>
          <w:numId w:val="61"/>
        </w:numPr>
        <w:rPr>
          <w:rFonts w:ascii="Arial" w:cs="Arial" w:eastAsia="Arial" w:hAnsi="Arial"/>
          <w:sz w:val="11"/>
          <w:szCs w:val="11"/>
          <w:color w:val="auto"/>
        </w:rPr>
      </w:pPr>
      <w:r>
        <w:rPr>
          <w:rFonts w:ascii="Arial" w:cs="Arial" w:eastAsia="Arial" w:hAnsi="Arial"/>
          <w:sz w:val="11"/>
          <w:szCs w:val="11"/>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LLC and HSKB Funds II, LLC. See “Principal and Selling Stockholders”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 of ZoomInfo Technologies Inc.</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ZoomInfo Technologies Inc. was incorporated as a Delaware corporation on November 14, 2019. ZoomInfo Technologies Inc. has not engaged in any business or other activities except in connection with its formation. The amended and restated certificate of incorporation of ZoomInfo Technologies Inc. authorizes three classes of common stock, Class A common stock, Class B common stock, and Class C common stock, each having the terms described in “Description of Capital Stock.”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of ZoomInfo HoldCo</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ZoomInfo Technologies Inc. formed ZoomInfo HoldCo on February 25, 2020 as a new subsidiary and became the sole managing member of ZoomInfo HoldCo. Upon the consummation of the Reorganization Transactions, ZoomInfo HoldCo became the sole managing member of ZoomInfo OpCo and the management of ZoomInfo HoldCo vested in its manager. Certain pre-IPO owners acquired interests in ZoomInfo HoldCo and ZoomInfo HoldCo acquired OpCo Units previously held directly or indirectly by such pre-IPO owners pursuant to the Blocker Mergers described below and in connection with the redemption of certain OpCo Units.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Blocker Mergers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connection with the Reorganization Transactions, ZoomInfo Technologies Inc. formed a new merger subsidiary with respect to each of the Blocker Companies, through which certain of our Pre-IPO Blocker Holders held their interests in us, and each merger subsidiary merged with and into the respective Blocker Companies in reverse subsidiary mergers, and the surviving entities merged with and into ZoomInfo Technologies Inc. In the Blocker Mergers, the Pre-IPO Blocker Holders, as the 100% owners of the Blocker Companies, received (i) 98,106,387 shares of newly issued Class C common stock and (ii) an aggregate cash amount equal to 275,269 shares of Class C common stock multiplied by the public offering price per share of Class A common stock, less the underwriting discount, in respect of reductions in such Pre-IPO Blocker Holders’ equity interests, and ZoomInfo Technologies Inc. acquired an equal number of outstanding OpCo Units from the Pre-IPO Blocker Holders. ZoomInfo Technologies Inc. contributed the OpCo Units it received in the Blocker Mergers to ZoomInfo HoldCo in exchange for a corresponding number of newly issued HoldCo Units.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Reclassification and Amendment and Restatement of Limited Liability Company Agreement of ZoomInfo OpCo</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Prior to the IPO, the capital structure of ZoomInfo OpCo consisted of four different classes of limited partnership interests (Series A Preferred Units, Preferred, Common, and Class P). A portion of the proceeds from the IPO was used to redeem and cancel all outstanding Series A Preferred Units. The limited liability company agreement of ZoomInfo OpCo was amended and restated to, among other things, modify its capital structure by reclassifying its outstanding preferred units and common units into a new class of units that we refer to as “OpCo Units.” Class P Units that were held by Continuing Class P Unitholders at the time of the IPO remained as Class P Units. Additionally, ZoomInfo OpCo effected a four-for-one reverse unit split. Immediately following the Reorganization Transactions but prior to the other IPO Transactions described below, there were 340,795,683 OpCo Units issued and outstanding.</w:t>
      </w:r>
    </w:p>
    <w:p>
      <w:pPr>
        <w:spacing w:after="0" w:line="117"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on the amount of proceeds that would be distributed to such Class P 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In addition, we granted 577,879 options to purchase shares of Class A common stock under the 2020 Omnibus Incentive Plan to all holders of Class P Units whose interests are converted in the Reclassification, in substitution for part of the economic benefit of the Class P Units that is not reflected in the conversion of Class P Units to Employee Units. We refer to these stock options as “leverage restoration options.” For additional information regarding the conversion of the Class P Units, see “Executive Compensation—Compensation Arrangements Adopted in Connection with the IPO—Conversion of Class P Units.”</w:t>
      </w:r>
    </w:p>
    <w:p>
      <w:pPr>
        <w:spacing w:after="0" w:line="12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Pursuant to the amended and restated limited liability company agreement of ZoomInfo OpCo, ZoomInfo HoldCo is the sole managing member of ZoomInfo OpCo. Pursuant to the amended and restated limited liability company agreement of ZoomInfo Holdco, the management of ZoomInfo HoldCo vests in its manager. Accordingly, ZoomInfo Technologies Inc., through ZoomInfo HoldCo, has the right to determine when distributions will be made to the members of ZoomInfo OpCo and the amount of any such distributions. If ZoomInfo Technologies Inc., through ZoomInfo HoldCo, authorizes a distribution, such distribution will be made to the members of ZoomInfo OpCo pro rata in accordance with the percentages of their respective limited liability company interests.</w:t>
      </w:r>
    </w:p>
    <w:p>
      <w:pPr>
        <w:spacing w:after="0" w:line="11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holders of OpCo Units in ZoomInfo OpCo, including ZoomInfo HoldCo, a member of the ZoomInfo Tax Group, will incur United States federal, state, and local income taxes on their allocable share of any taxable income of ZoomInfo OpCo. The amended and restated limited liability company agreement provides for cash distributions to the holders of limited liability company interests in ZoomInfo OpCo if the taxable income of ZoomInfo OpCo will give rise to taxable income for its members. In accordance with the amended and restated limited liability company agreement, we intend to cause ZoomInfo HoldCo to cause ZoomInfo OpCo to make pro rata (other than with respect to Class P Units) cash distributions to the holders of limited liability company interests in ZoomInfo OpCo for purposes of funding such holders’ tax obligations in respect of the income of ZoomInfo OpCo that is allocated to them. Generally, these tax distributions will be computed, other than with respect to Class P Units, based on an estimate of the taxable income of ZoomInfo OpCo allocated to the holder of OpCo Units that receives the greatest proportionate allocation of income multiplied by an assumed tax rate. Tax distributions with respect to Class P Units will be determined based on the assumed tax liability of such Continuing Class P Unitholder with respect to such Class P Units rather than on a pro rata basis.</w:t>
      </w:r>
    </w:p>
    <w:p>
      <w:pPr>
        <w:spacing w:after="0" w:line="11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89" w:name="page90"/>
    <w:bookmarkEnd w:id="89"/>
    <w:p>
      <w:pPr>
        <w:jc w:val="both"/>
        <w:spacing w:after="0" w:line="272" w:lineRule="auto"/>
        <w:rPr>
          <w:sz w:val="20"/>
          <w:szCs w:val="20"/>
          <w:color w:val="auto"/>
        </w:rPr>
      </w:pPr>
      <w:r>
        <w:rPr>
          <w:rFonts w:ascii="Arial" w:cs="Arial" w:eastAsia="Arial" w:hAnsi="Arial"/>
          <w:sz w:val="16"/>
          <w:szCs w:val="16"/>
          <w:color w:val="auto"/>
        </w:rPr>
        <w:t>restrictions, the holders of Class P Units have the right to exchange their vested Class P Units into a number of shares of Class A common stock that will generally be equal to (a) the product of the number of vested Class P Units to be exchanged with a given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strike price) and then-current difference between the per share value of an OpCo Unit at the time of the exchange (based on the public trading price of Class A common stock) and the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violate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(together with a corresponding number of shares of Class B common stock) for shares of Class A common stock, the number of HoldCo Units held by ZoomInfo Technologies Inc. in exchange for the exchanged OpCo Units is correspondingly increased as it acquires the exchanged OpCo Units. See “Certain Relationships and Related Person Transactions—ZoomInfo OpCo Amended and Restated Limited Liability Company Agreement.”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HoldCo Amended and Restated Limited Liability Company Agreement</w:t>
      </w:r>
    </w:p>
    <w:p>
      <w:pPr>
        <w:spacing w:after="0" w:line="171"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In connection with the Reorganization Transactions,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 See “Certain Relationships and Related Person Transactions—ZoomInfo HoldCo Amended and Restated Limited Liability Company Agreement.”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IPO Transactions</w:t>
      </w:r>
    </w:p>
    <w:p>
      <w:pPr>
        <w:spacing w:after="0" w:line="171" w:lineRule="exact"/>
        <w:rPr>
          <w:sz w:val="20"/>
          <w:szCs w:val="20"/>
          <w:color w:val="auto"/>
        </w:rPr>
      </w:pPr>
    </w:p>
    <w:p>
      <w:pPr>
        <w:jc w:val="both"/>
        <w:ind w:firstLine="309"/>
        <w:spacing w:after="0" w:line="288" w:lineRule="auto"/>
        <w:rPr>
          <w:sz w:val="20"/>
          <w:szCs w:val="20"/>
          <w:color w:val="auto"/>
        </w:rPr>
      </w:pPr>
      <w:r>
        <w:rPr>
          <w:rFonts w:ascii="Arial" w:cs="Arial" w:eastAsia="Arial" w:hAnsi="Arial"/>
          <w:sz w:val="15"/>
          <w:szCs w:val="15"/>
          <w:color w:val="auto"/>
        </w:rPr>
        <w:t>At the time of the consummation of the IPO, ZoomInfo Technologies Inc. consummated the purchase, for cash, of newly issued HoldCo Units from ZoomInfo HoldCo at a purchase price per unit equal to the initial public offering price per share of Class A common stock in the IPO net of the underwriting discount. ZoomInfo HoldCo, in turn, consummated the purchase, for cash, of newly issued OpCo Units from ZoomInfo OpCo at a purchase price per unit equal to the initial public offering price per share of Class A common stock in the IPO net of the underwriting discount. ZoomInfo HoldCo purchased from ZoomInfo OpCo 48,528,783 newly issued OpCo Units for an aggregate of $966.9 million. The issuance and sale of such newly issued OpCo Units by ZoomInfo OpCo to ZoomInfo HoldCo correspondingly diluted the ownership interests of our pre-IPO owners in ZoomInfo OpCo. See “Principal and Selling Stockholders” for more information regarding the proceeds from the IPO that were paid to our directors and named executive officers. In addition, ZoomInfo Technologies Inc. used a portion of the net proceeds from the IPO (including from the exercise by the underwriters of their option to purchase additional shares of Class A common stock)</w:t>
      </w:r>
    </w:p>
    <w:p>
      <w:pPr>
        <w:spacing w:after="0" w:line="3" w:lineRule="exact"/>
        <w:rPr>
          <w:sz w:val="20"/>
          <w:szCs w:val="20"/>
          <w:color w:val="auto"/>
        </w:rPr>
      </w:pPr>
    </w:p>
    <w:p>
      <w:pPr>
        <w:ind w:left="220" w:hanging="217"/>
        <w:spacing w:after="0"/>
        <w:tabs>
          <w:tab w:leader="none" w:pos="2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purchase newly issued HoldCo Units from ZoomInfo HoldCo, which in turn purchased the same number of newly issued OpCo Units from ZoomInfo OpCo,</w:t>
      </w:r>
    </w:p>
    <w:p>
      <w:pPr>
        <w:spacing w:after="0" w:line="33" w:lineRule="exact"/>
        <w:rPr>
          <w:rFonts w:ascii="Arial" w:cs="Arial" w:eastAsia="Arial" w:hAnsi="Arial"/>
          <w:sz w:val="15"/>
          <w:szCs w:val="15"/>
          <w:color w:val="auto"/>
        </w:rPr>
      </w:pPr>
    </w:p>
    <w:p>
      <w:pPr>
        <w:jc w:val="both"/>
        <w:ind w:firstLine="3"/>
        <w:spacing w:after="0" w:line="257" w:lineRule="auto"/>
        <w:tabs>
          <w:tab w:leader="none" w:pos="28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purchase OpCo Units from certain Pre-IPO OpCo Unitholders; and (iii) to fund merger consideration payable to certain Pre-IPO Blocker Holders in connection with the Blocker Mergers. The foregoing purchases of OpCo Units were at a price per unit equal to the initial public offering price per share of Class A common stock in the IPO, less the underwriting discount. Upon each purchase of HoldCo Units or OpCo Units, the corresponding shares of Class B common stock were canceled. ZoomInfo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90" w:name="page91"/>
    <w:bookmarkEnd w:id="90"/>
    <w:p>
      <w:pPr>
        <w:jc w:val="both"/>
        <w:spacing w:after="0" w:line="279" w:lineRule="auto"/>
        <w:rPr>
          <w:sz w:val="20"/>
          <w:szCs w:val="20"/>
          <w:color w:val="auto"/>
        </w:rPr>
      </w:pPr>
      <w:r>
        <w:rPr>
          <w:rFonts w:ascii="Arial" w:cs="Arial" w:eastAsia="Arial" w:hAnsi="Arial"/>
          <w:sz w:val="16"/>
          <w:szCs w:val="16"/>
          <w:color w:val="auto"/>
        </w:rPr>
        <w:t>Technologies Inc. contributed the OpCo Units it received in the Blocker Mergers to ZoomInfo HoldCo in exchange for a corresponding number of newly issued HoldCo Units. The number of outstanding OpCo Units of ZoomInfo OpCo equals the aggregate number of outstanding shares of Class A common stock, Class B common stock, and Class C common stock. ZoomInfo Technologies Inc. holds, indirectly through ZoomInfo HoldCo, a number of OpCo Units that is equal to the number of shares of Class A common stock that it has issued, a relationship that we believe fosters transparency because it results in a single share of Class A common stock representing (albeit indirectly) the same percentage equity interest in ZoomInfo OpCo as a single OpCo Unit.</w:t>
      </w:r>
    </w:p>
    <w:p>
      <w:pPr>
        <w:spacing w:after="0" w:line="11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5"/>
          <w:szCs w:val="15"/>
          <w:color w:val="auto"/>
        </w:rPr>
        <w:t>In connection with the Reorganization Transactions,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the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31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OpCo used the proceeds it received through ZoomInfo HoldCo from the IPO to redeem and cancel all outstanding Series A Preferred Units, to repay our second lien term loans, to repay outstanding borrowings under our first lien revolving credit facility, and for general corporate purposes. See “Certain Relationships and Related Person Transactions—Purchase of OpCo Units and Payment of Blocker Merger Consideration.”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refer to the foregoing transactions as the “IPO Transactions.”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are filing the registration statement of which this prospectus is a part to permit holders of the shares of our Class A common stock included in the section entitled “Principal and Selling Stockholders” to resell such shares. The selling stockholders will receive all of the net proceeds from the sale of shares of our Class A common stock in this offering. We are not selling any shares of our Class A common stock under this prospectus and will not receive any proceeds from the sale of shares by the selling stockholders or if the underwriters exercise their option to purchase additional shares. The selling stockholders will bear the underwriting discount attributable to their sale of our Class A common stock, and we will bear the remaining expenses.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DIVIDEND POLICY</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8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provides that certain distributions to cover the taxes of the ZoomInfo Tax Group and the other holders of OpCo Units and Class P Units will be made based upon assumed tax rates and other assumptions provided in the limited liability company agreement. See “Certain Relationships and Related Person Transactions—ZoomInfo OpCo Amended and Restated Limited Liability Company Agreement.”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in accordance with the percentages of their respective limited liability company interests.</w:t>
      </w:r>
    </w:p>
    <w:p>
      <w:pPr>
        <w:spacing w:after="0" w:line="71"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We anticipate that cash received by ZoomInfo HoldCo may, in certain periods, exceed its liabilities, including tax liabilities, and obligations to make payments under the tax receivable agreements. We expect that ZoomInfo HoldCo will use any such excess cash from time to time to acquire additional newly issued OpCo Units from ZoomInfo OpCo at a per unit price determined by reference to the market value of the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7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agreement governing our secured credit facilities contains a number of covenants that restrict, subject to certain exceptions, certain of our subsidiaries’ ability to pay dividends to us. See “Description of Certain Indebtedness.”</w:t>
      </w:r>
    </w:p>
    <w:p>
      <w:pPr>
        <w:spacing w:after="0" w:line="6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Since its formation in November 2019, ZoomInfo Technologies Inc. has not paid any dividends to holders of 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93" w:name="page94"/>
    <w:bookmarkEnd w:id="93"/>
    <w:p>
      <w:pPr>
        <w:spacing w:after="0" w:line="279" w:lineRule="auto"/>
        <w:rPr>
          <w:sz w:val="20"/>
          <w:szCs w:val="20"/>
          <w:color w:val="auto"/>
        </w:rPr>
      </w:pPr>
      <w:r>
        <w:rPr>
          <w:rFonts w:ascii="Arial" w:cs="Arial" w:eastAsia="Arial" w:hAnsi="Arial"/>
          <w:sz w:val="17"/>
          <w:szCs w:val="17"/>
          <w:color w:val="auto"/>
        </w:rPr>
        <w:t>outstanding common stock. In 2018 and 2019 and during the nine months ended September 30, 2020, ZoomInfo OpCo made cash distributions to equity partners in an aggregate amount of $93.4 million, $16.5 million, and $9.9 million, respectively.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94" w:name="page95"/>
    <w:bookmarkEnd w:id="94"/>
    <w:p>
      <w:pPr>
        <w:ind w:left="4880"/>
        <w:spacing w:after="0"/>
        <w:rPr>
          <w:sz w:val="20"/>
          <w:szCs w:val="20"/>
          <w:color w:val="auto"/>
        </w:rPr>
      </w:pPr>
      <w:r>
        <w:rPr>
          <w:rFonts w:ascii="Arial" w:cs="Arial" w:eastAsia="Arial" w:hAnsi="Arial"/>
          <w:sz w:val="17"/>
          <w:szCs w:val="17"/>
          <w:b w:val="1"/>
          <w:bCs w:val="1"/>
          <w:color w:val="auto"/>
        </w:rPr>
        <w:t>CAPITALIZATION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our consolidated cash and cash equivalents and capitalization as of September 30, 2020.</w:t>
      </w:r>
    </w:p>
    <w:p>
      <w:pPr>
        <w:spacing w:after="0" w:line="165"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Cash and cash equivalents are not components of our total capitalization. You should read this table together with the other information contained in this prospectus, including “Organizational Structure,” “Unaudited Pro Forma Combined and Consolidated Financial Information,” “Management’s Discussion and Analysis of Financial Condition and Results of Operations,” and our historical financial statements and related notes thereto included elsewhere in this prospectus.</w:t>
      </w:r>
    </w:p>
    <w:p>
      <w:pPr>
        <w:sectPr>
          <w:pgSz w:w="11900" w:h="16838" w:orient="portrait"/>
          <w:cols w:equalWidth="0" w:num="1">
            <w:col w:w="11240"/>
          </w:cols>
          <w:pgMar w:left="320" w:top="135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 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7138670" cy="155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and cash equivalents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Debt: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18"/>
        <w:spacing w:after="0"/>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11201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12" w:lineRule="exact"/>
        <w:rPr>
          <w:sz w:val="20"/>
          <w:szCs w:val="20"/>
          <w:color w:val="auto"/>
        </w:rPr>
      </w:pPr>
    </w:p>
    <w:p>
      <w:pPr>
        <w:jc w:val="center"/>
        <w:ind w:right="18"/>
        <w:spacing w:after="0"/>
        <w:rPr>
          <w:sz w:val="20"/>
          <w:szCs w:val="20"/>
          <w:color w:val="auto"/>
        </w:rPr>
      </w:pPr>
      <w:r>
        <w:rPr>
          <w:rFonts w:ascii="Arial" w:cs="Arial" w:eastAsia="Arial" w:hAnsi="Arial"/>
          <w:sz w:val="11"/>
          <w:szCs w:val="11"/>
          <w:b w:val="1"/>
          <w:bCs w:val="1"/>
          <w:color w:val="auto"/>
        </w:rPr>
        <w:t>ZoomInfo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40005</wp:posOffset>
            </wp:positionV>
            <wp:extent cx="11201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24" w:lineRule="exact"/>
        <w:rPr>
          <w:sz w:val="20"/>
          <w:szCs w:val="20"/>
          <w:color w:val="auto"/>
        </w:rPr>
      </w:pPr>
    </w:p>
    <w:p>
      <w:pPr>
        <w:ind w:left="1302" w:hanging="1302"/>
        <w:spacing w:after="0"/>
        <w:tabs>
          <w:tab w:leader="none" w:pos="1302" w:val="left"/>
        </w:tabs>
        <w:numPr>
          <w:ilvl w:val="0"/>
          <w:numId w:val="63"/>
        </w:numPr>
        <w:rPr>
          <w:rFonts w:ascii="Arial" w:cs="Arial" w:eastAsia="Arial" w:hAnsi="Arial"/>
          <w:sz w:val="15"/>
          <w:szCs w:val="15"/>
          <w:color w:val="auto"/>
        </w:rPr>
      </w:pPr>
      <w:r>
        <w:rPr>
          <w:rFonts w:ascii="Arial" w:cs="Arial" w:eastAsia="Arial" w:hAnsi="Arial"/>
          <w:sz w:val="15"/>
          <w:szCs w:val="15"/>
          <w:color w:val="auto"/>
        </w:rPr>
        <w:t>304.9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11201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8778" w:space="720"/>
            <w:col w:w="1742"/>
          </w:cols>
          <w:pgMar w:left="320" w:top="1357" w:right="3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First lien revolving credit facility</w:t>
            </w:r>
            <w:r>
              <w:rPr>
                <w:rFonts w:ascii="Arial" w:cs="Arial" w:eastAsia="Arial" w:hAnsi="Arial"/>
                <w:sz w:val="22"/>
                <w:szCs w:val="22"/>
                <w:color w:val="auto"/>
                <w:vertAlign w:val="superscript"/>
              </w:rPr>
              <w:t>(1)</w:t>
            </w: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9480" w:type="dxa"/>
            <w:vAlign w:val="bottom"/>
          </w:tcPr>
          <w:p>
            <w:pPr>
              <w:ind w:left="220"/>
              <w:spacing w:after="0"/>
              <w:rPr>
                <w:sz w:val="20"/>
                <w:szCs w:val="20"/>
                <w:color w:val="auto"/>
              </w:rPr>
            </w:pPr>
            <w:r>
              <w:rPr>
                <w:rFonts w:ascii="Arial" w:cs="Arial" w:eastAsia="Arial" w:hAnsi="Arial"/>
                <w:sz w:val="17"/>
                <w:szCs w:val="17"/>
                <w:color w:val="auto"/>
              </w:rPr>
              <w:t>First lien term loans</w:t>
            </w:r>
            <w:r>
              <w:rPr>
                <w:rFonts w:ascii="Arial" w:cs="Arial" w:eastAsia="Arial" w:hAnsi="Arial"/>
                <w:sz w:val="22"/>
                <w:szCs w:val="22"/>
                <w:color w:val="auto"/>
                <w:vertAlign w:val="superscript"/>
              </w:rPr>
              <w:t>(2)</w:t>
            </w:r>
          </w:p>
        </w:tc>
        <w:tc>
          <w:tcPr>
            <w:tcW w:w="6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744.3</w:t>
            </w:r>
          </w:p>
        </w:tc>
        <w:tc>
          <w:tcPr>
            <w:tcW w:w="0" w:type="dxa"/>
            <w:vAlign w:val="bottom"/>
          </w:tcPr>
          <w:p>
            <w:pPr>
              <w:spacing w:after="0"/>
              <w:rPr>
                <w:sz w:val="1"/>
                <w:szCs w:val="1"/>
                <w:color w:val="auto"/>
              </w:rPr>
            </w:pP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debt</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744.3</w:t>
            </w:r>
          </w:p>
        </w:tc>
        <w:tc>
          <w:tcPr>
            <w:tcW w:w="0" w:type="dxa"/>
            <w:vAlign w:val="bottom"/>
          </w:tcPr>
          <w:p>
            <w:pPr>
              <w:spacing w:after="0"/>
              <w:rPr>
                <w:sz w:val="1"/>
                <w:szCs w:val="1"/>
                <w:color w:val="auto"/>
              </w:rPr>
            </w:pPr>
          </w:p>
        </w:tc>
      </w:tr>
      <w:tr>
        <w:trPr>
          <w:trHeight w:val="218"/>
        </w:trPr>
        <w:tc>
          <w:tcPr>
            <w:tcW w:w="9480" w:type="dxa"/>
            <w:vAlign w:val="bottom"/>
          </w:tcPr>
          <w:p>
            <w:pPr>
              <w:ind w:left="20"/>
              <w:spacing w:after="0"/>
              <w:rPr>
                <w:sz w:val="20"/>
                <w:szCs w:val="20"/>
                <w:color w:val="auto"/>
              </w:rPr>
            </w:pPr>
            <w:r>
              <w:rPr>
                <w:rFonts w:ascii="Arial" w:cs="Arial" w:eastAsia="Arial" w:hAnsi="Arial"/>
                <w:sz w:val="17"/>
                <w:szCs w:val="17"/>
                <w:color w:val="auto"/>
              </w:rPr>
              <w:t>Equity:</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w w:val="91"/>
              </w:rPr>
              <w:t>Class A common stock, $0.01 par value per share, 2,500,000,000 shares authorized and 69,173,426 shares issued and outstanding</w:t>
            </w:r>
            <w:r>
              <w:rPr>
                <w:rFonts w:ascii="Arial" w:cs="Arial" w:eastAsia="Arial" w:hAnsi="Arial"/>
                <w:sz w:val="22"/>
                <w:szCs w:val="22"/>
                <w:color w:val="auto"/>
                <w:w w:val="91"/>
                <w:vertAlign w:val="superscript"/>
              </w:rPr>
              <w:t>(3)</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9"/>
        </w:trPr>
        <w:tc>
          <w:tcPr>
            <w:tcW w:w="9480" w:type="dxa"/>
            <w:vAlign w:val="bottom"/>
          </w:tcPr>
          <w:p>
            <w:pPr>
              <w:ind w:left="220"/>
              <w:spacing w:after="0" w:line="219" w:lineRule="exact"/>
              <w:rPr>
                <w:sz w:val="20"/>
                <w:szCs w:val="20"/>
                <w:color w:val="auto"/>
              </w:rPr>
            </w:pPr>
            <w:r>
              <w:rPr>
                <w:rFonts w:ascii="Arial" w:cs="Arial" w:eastAsia="Arial" w:hAnsi="Arial"/>
                <w:sz w:val="17"/>
                <w:szCs w:val="17"/>
                <w:color w:val="auto"/>
                <w:w w:val="91"/>
              </w:rPr>
              <w:t>Class B common stock, $0.01 par value per share, 500,000,000 shares authorized and 228,491,601 shares issued and outstanding</w:t>
            </w:r>
            <w:r>
              <w:rPr>
                <w:rFonts w:ascii="Arial" w:cs="Arial" w:eastAsia="Arial" w:hAnsi="Arial"/>
                <w:sz w:val="22"/>
                <w:szCs w:val="22"/>
                <w:color w:val="auto"/>
                <w:w w:val="91"/>
                <w:vertAlign w:val="superscript"/>
              </w:rPr>
              <w:t>(4)</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9"/>
        </w:trPr>
        <w:tc>
          <w:tcPr>
            <w:tcW w:w="94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w w:val="92"/>
              </w:rPr>
              <w:t>Class C common stock, $0.01 par value per share, 300,000,000 shares authorized and 91,582,353 shares issued and outstanding</w:t>
            </w:r>
            <w:r>
              <w:rPr>
                <w:rFonts w:ascii="Arial" w:cs="Arial" w:eastAsia="Arial" w:hAnsi="Arial"/>
                <w:sz w:val="22"/>
                <w:szCs w:val="22"/>
                <w:color w:val="auto"/>
                <w:w w:val="92"/>
                <w:vertAlign w:val="superscript"/>
              </w:rPr>
              <w:t>(5)</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8"/>
        </w:trPr>
        <w:tc>
          <w:tcPr>
            <w:tcW w:w="948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402.1</w:t>
            </w: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8"/>
        </w:trPr>
        <w:tc>
          <w:tcPr>
            <w:tcW w:w="9480" w:type="dxa"/>
            <w:vAlign w:val="bottom"/>
          </w:tcPr>
          <w:p>
            <w:pPr>
              <w:ind w:left="220"/>
              <w:spacing w:after="0"/>
              <w:rPr>
                <w:sz w:val="20"/>
                <w:szCs w:val="20"/>
                <w:color w:val="auto"/>
              </w:rPr>
            </w:pPr>
            <w:r>
              <w:rPr>
                <w:rFonts w:ascii="Arial" w:cs="Arial" w:eastAsia="Arial" w:hAnsi="Arial"/>
                <w:sz w:val="17"/>
                <w:szCs w:val="17"/>
                <w:color w:val="auto"/>
              </w:rPr>
              <w:t>Retained earnings (accumulated deficit)</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0"/>
        </w:trPr>
        <w:tc>
          <w:tcPr>
            <w:tcW w:w="9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Non-controlling interest</w:t>
            </w: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446.9</w:t>
            </w:r>
          </w:p>
        </w:tc>
        <w:tc>
          <w:tcPr>
            <w:tcW w:w="0" w:type="dxa"/>
            <w:vAlign w:val="bottom"/>
          </w:tcPr>
          <w:p>
            <w:pPr>
              <w:spacing w:after="0"/>
              <w:rPr>
                <w:sz w:val="1"/>
                <w:szCs w:val="1"/>
                <w:color w:val="auto"/>
              </w:rPr>
            </w:pPr>
          </w:p>
        </w:tc>
      </w:tr>
      <w:tr>
        <w:trPr>
          <w:trHeight w:val="211"/>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equity</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820.5</w:t>
            </w: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capitalization</w:t>
            </w: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1,564.8</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________________</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4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320" w:hanging="317"/>
        <w:spacing w:after="0" w:line="230" w:lineRule="auto"/>
        <w:tabs>
          <w:tab w:leader="none" w:pos="313"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of September 30, 2020, we had no borrowings and no outstanding letters of credit under our first lien revolving credit facility. In connection with the IPO, on June 8, 2020, we used a portion of the net proceeds from the IPO to repay $35.0 million of outstanding borrowings under our first lien revolving credit facility. For a further description of our first lien credit agreement, see “Description of Certain Indebtedness.”</w:t>
      </w:r>
    </w:p>
    <w:p>
      <w:pPr>
        <w:jc w:val="both"/>
        <w:ind w:left="320" w:hanging="317"/>
        <w:spacing w:after="0" w:line="230" w:lineRule="auto"/>
        <w:tabs>
          <w:tab w:leader="none" w:pos="313"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$756.4 million aggregate principal amount of our first lien term loans, net of unamortized discounts and issuance costs. Our first lien term loans mature on February 1, 2026. In June 2020, we used a portion of the net proceeds from the IPO to prepay $100.0 million aggregate principal amount of the outstanding first lien term loans, including accrued interest thereon. For a further description of our first lien credit agreement, see “Description of Certain Indebtedness.”</w:t>
      </w:r>
    </w:p>
    <w:p>
      <w:pPr>
        <w:ind w:left="300" w:hanging="297"/>
        <w:spacing w:after="0" w:line="230" w:lineRule="auto"/>
        <w:tabs>
          <w:tab w:leader="none" w:pos="3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Does not reflect 12,500,000 shares of our Class A common stock offered by the selling stockholders in this offering.</w:t>
      </w:r>
    </w:p>
    <w:p>
      <w:pPr>
        <w:jc w:val="both"/>
        <w:ind w:left="320" w:hanging="317"/>
        <w:spacing w:after="0" w:line="230" w:lineRule="auto"/>
        <w:tabs>
          <w:tab w:leader="none" w:pos="313"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Does not reflect 7,752,936 shares of our Class B common stock to be canceled in connection with the offering of shares of our Class A common stock by the selling stockholders in this offering.</w:t>
      </w:r>
    </w:p>
    <w:p>
      <w:pPr>
        <w:jc w:val="both"/>
        <w:ind w:left="320" w:hanging="317"/>
        <w:spacing w:after="0" w:line="232" w:lineRule="auto"/>
        <w:tabs>
          <w:tab w:leader="none" w:pos="313"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Does not reflect 4,747,064 shares of our Class C common stock to be converted and retired in connection with the offering of shares of our Class A common stock by the selling stockholders in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UNAUDITED PRO FORMA COMBINED AND CONSOLIDATED FINANCIAL INFORMATION</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following unaudited pro forma combined and consolidated statement of operations for the year ended December 31, 2019 and the nine months ended September 30, 2020 give pro forma effect to the Zoom Information Acquisition, the Reorganization Transactions, and the IPO Transactions (collectively, the “Transactions”).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pro forma adjustments related to the Zoom Information Acquisition are described in the notes to the unaudited pro forma combined and consolidated statement of operations for the year ended December 31, 2019 and primarily include:</w:t>
      </w:r>
    </w:p>
    <w:p>
      <w:pPr>
        <w:spacing w:after="0" w:line="112" w:lineRule="exact"/>
        <w:rPr>
          <w:sz w:val="20"/>
          <w:szCs w:val="20"/>
          <w:color w:val="auto"/>
        </w:rPr>
      </w:pPr>
    </w:p>
    <w:p>
      <w:pPr>
        <w:ind w:left="620" w:hanging="308"/>
        <w:spacing w:after="0"/>
        <w:tabs>
          <w:tab w:leader="none" w:pos="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issuance of the first lien and second lien term loans to fund the Zoom Information Acquisition and refinancing our pre-existing term loans; and</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amortization of acquired intangibles and acquisition-related unearned revenue adjustments.</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pro forma adjustments related to the Reorganization Transactions are described in the notes to the unaudited pro forma combined and consolidated financial information and primarily include:</w:t>
      </w:r>
    </w:p>
    <w:p>
      <w:pPr>
        <w:spacing w:after="0" w:line="112" w:lineRule="exact"/>
        <w:rPr>
          <w:sz w:val="20"/>
          <w:szCs w:val="20"/>
          <w:color w:val="auto"/>
        </w:rPr>
      </w:pPr>
    </w:p>
    <w:p>
      <w:pPr>
        <w:jc w:val="both"/>
        <w:ind w:left="620" w:hanging="308"/>
        <w:spacing w:after="0" w:line="266" w:lineRule="auto"/>
        <w:tabs>
          <w:tab w:leader="none" w:pos="616"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amendment and restatement of ZoomInfo Technologies Inc.’s certificate of incorporation to, among other things, (i) provide for Class A, Class B, and Class C common stock and (ii) issue shares of Class B common stock to the Pre-IPO OpCo Unitholders and the Pre-IPO HoldCo Unitholders equal to the number of OpCo Units and HoldCo Units they own, respectively;</w:t>
      </w:r>
    </w:p>
    <w:p>
      <w:pPr>
        <w:spacing w:after="0" w:line="122" w:lineRule="exact"/>
        <w:rPr>
          <w:rFonts w:ascii="Arial" w:cs="Arial" w:eastAsia="Arial" w:hAnsi="Arial"/>
          <w:sz w:val="17"/>
          <w:szCs w:val="17"/>
          <w:color w:val="auto"/>
        </w:rPr>
      </w:pPr>
    </w:p>
    <w:p>
      <w:pPr>
        <w:ind w:left="620" w:hanging="308"/>
        <w:spacing w:after="0"/>
        <w:tabs>
          <w:tab w:leader="none" w:pos="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Blocker Mergers and the issuance of shares of Class C common stock to the Pre-IPO Blocker Holders;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approximate 69.5% non-controlling interest in ZoomInfo OpCo represented by OpCo Units not held by ZoomInfo HoldCo after the completion of the Reorganization Transactions and prior to the IPO Transactions; and</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approximate 5.4% non-controlling interest in ZoomInfo HoldCo represented by HoldCo Units not held by ZoomInfo Technologies Inc. after the completion of the Reorganization Transactions and prior to the IPO Transactions.</w:t>
      </w:r>
    </w:p>
    <w:p>
      <w:pPr>
        <w:spacing w:after="0" w:line="112"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pro forma adjustments related to the IPO Transactions are described in the notes to the unaudited pro forma combined and consolidated financial information and primarily include:</w:t>
      </w:r>
    </w:p>
    <w:p>
      <w:pPr>
        <w:spacing w:after="0" w:line="112" w:lineRule="exact"/>
        <w:rPr>
          <w:sz w:val="20"/>
          <w:szCs w:val="20"/>
          <w:color w:val="auto"/>
        </w:rPr>
      </w:pPr>
    </w:p>
    <w:p>
      <w:pPr>
        <w:ind w:left="620" w:hanging="308"/>
        <w:spacing w:after="0" w:line="311" w:lineRule="auto"/>
        <w:tabs>
          <w:tab w:leader="none" w:pos="61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issuance of 51,175,000 shares of our Class A common stock in the IPO and the receipt of net proceeds of approximately $1,019.6 million, based on the initial public offering price of $21.00 per share in the IPO, after deducting the underwriting discount and estimated unpaid offering expenses;</w:t>
      </w:r>
    </w:p>
    <w:p>
      <w:pPr>
        <w:spacing w:after="0" w:line="89" w:lineRule="exact"/>
        <w:rPr>
          <w:rFonts w:ascii="Arial" w:cs="Arial" w:eastAsia="Arial" w:hAnsi="Arial"/>
          <w:sz w:val="16"/>
          <w:szCs w:val="16"/>
          <w:color w:val="auto"/>
        </w:rPr>
      </w:pPr>
    </w:p>
    <w:p>
      <w:pPr>
        <w:ind w:left="620" w:hanging="308"/>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redemption of all 51.75 million outstanding Series A Preferred Units for $274.2 million;</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payment of $380.6 million to repay all amounts outstanding under our second lien term loans, which includes related prepayment premiums of approximately $3.7 million and accrued interest of approximately $6.9 million; and</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payment of $35.0 million to repay all outstanding borrowings under our first lien revolving credit facility.</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unaudited pro forma combined and consolidated statements of operations for the year ended December 31, 2019 and the nine months ended September 30, 2020 give pro forma effect to the Transactions as if they had occurred on January 1, 2019. No pro forma combined and consolidated balance sheet as of September 30, 2020 is necessary to reflect the Transactions as the Transactions are fully reflected in ZoomInfo Technologies Inc.’s historical consolidated balance sheet as of September 30, 2020.</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ZoomInfo Technologies Inc.’s historical consolidated financial information has been derived from its consolidated financial statements and accompanying notes included elsewhere in this prospectus. ZoomInfo OpCo’s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17"/>
          <w:szCs w:val="17"/>
          <w:color w:val="auto"/>
        </w:rPr>
        <w:t>historical consolidated financial information has been derived from its consolidated financial statements and accompanying notes included elsewhere in this prospectus. Pre-Acquisition ZI’s historical consolidated financial information has been derived from its consolidated financial statements and accompanying notes included elsewhere in this prospectus. Because ZoomInfo Technologies Inc. was formed on November 14, 2019 and had no material assets or results of operations until the completion of the IPO, its historical financial information is not included in the unaudited pro forma combined and consolidated financial information for the year ended December 31, 2019.</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unaudited pro forma combined and consolidated financial information was prepared in accordance with Article 11 of Regulation S-X, using the assumptions set forth in the notes to the unaudited pro forma combined and consolidated financial information. The unaudited pro forma combined and consolidated financial information has been adjusted to give effect to events that are (i) directly attributable to the Transactions, (ii) factually supportable, and (iii) expected to have a continuing impact on the statement of operations.</w:t>
      </w:r>
    </w:p>
    <w:p>
      <w:pPr>
        <w:spacing w:after="0" w:line="128"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As a public company, we are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would be based on subjective estimates and assumptions that could not be factually supported. We have not included any pro forma adjustments related to these costs.</w:t>
      </w:r>
    </w:p>
    <w:p>
      <w:pPr>
        <w:spacing w:after="0" w:line="130"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unaudited pro forma combined and consolidated financial information is provided for informational purposes only and is not necessarily indicative of the operating results that would have occurred if the Transactions had been completed as of the dates set forth above, nor is it indicative of our future results. The unaudited pro forma combined and consolidated financial information also does not give effect to the potential impact of any anticipated synergies, operating efficiencies, or cost savings that may result from the Transactions or any integration costs that do not have a continuing impact.</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unaudited pro forma combined and consolidated financial information should be read together with “Organizational Structure,” “Capitalization,” “Selected Historical Consolidated Financial Data,” “Management’s Discussion and Analysis of Financial Condition and Results of Operations,” and our historical financial statements and related notes thereto and the historical financial statements of Pre-Acquisition ZI and related notes thereto, each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97" w:name="page98"/>
    <w:bookmarkEnd w:id="97"/>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40" w:type="dxa"/>
            <w:vAlign w:val="bottom"/>
            <w:gridSpan w:val="13"/>
          </w:tcPr>
          <w:p>
            <w:pPr>
              <w:jc w:val="center"/>
              <w:ind w:left="2453"/>
              <w:spacing w:after="0"/>
              <w:rPr>
                <w:sz w:val="20"/>
                <w:szCs w:val="20"/>
                <w:color w:val="auto"/>
              </w:rPr>
            </w:pPr>
            <w:r>
              <w:rPr>
                <w:rFonts w:ascii="Arial" w:cs="Arial" w:eastAsia="Arial" w:hAnsi="Arial"/>
                <w:sz w:val="17"/>
                <w:szCs w:val="17"/>
                <w:b w:val="1"/>
                <w:bCs w:val="1"/>
                <w:color w:val="auto"/>
              </w:rPr>
              <w:t>UNAUDITED PRO FORMA COMBINED AND CONSOLIDATED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60" w:type="dxa"/>
            <w:vAlign w:val="bottom"/>
          </w:tcPr>
          <w:p>
            <w:pPr>
              <w:spacing w:after="0"/>
              <w:rPr>
                <w:sz w:val="17"/>
                <w:szCs w:val="17"/>
                <w:color w:val="auto"/>
              </w:rPr>
            </w:pPr>
          </w:p>
        </w:tc>
        <w:tc>
          <w:tcPr>
            <w:tcW w:w="326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STATEMENT OF OPERATIONS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60" w:type="dxa"/>
            <w:vAlign w:val="bottom"/>
          </w:tcPr>
          <w:p>
            <w:pPr>
              <w:spacing w:after="0"/>
              <w:rPr>
                <w:sz w:val="17"/>
                <w:szCs w:val="17"/>
                <w:color w:val="auto"/>
              </w:rPr>
            </w:pPr>
          </w:p>
        </w:tc>
        <w:tc>
          <w:tcPr>
            <w:tcW w:w="3260" w:type="dxa"/>
            <w:vAlign w:val="bottom"/>
            <w:gridSpan w:val="9"/>
          </w:tcPr>
          <w:p>
            <w:pPr>
              <w:jc w:val="center"/>
              <w:spacing w:after="0"/>
              <w:rPr>
                <w:sz w:val="20"/>
                <w:szCs w:val="20"/>
                <w:color w:val="auto"/>
              </w:rPr>
            </w:pPr>
            <w:r>
              <w:rPr>
                <w:rFonts w:ascii="Arial" w:cs="Arial" w:eastAsia="Arial" w:hAnsi="Arial"/>
                <w:sz w:val="17"/>
                <w:szCs w:val="17"/>
                <w:b w:val="1"/>
                <w:bCs w:val="1"/>
                <w:color w:val="auto"/>
                <w:w w:val="91"/>
              </w:rPr>
              <w:t>For the Year Ended December 31, 2019</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760" w:type="dxa"/>
            <w:vAlign w:val="bottom"/>
            <w:gridSpan w:val="8"/>
          </w:tcPr>
          <w:p>
            <w:pPr>
              <w:ind w:left="20"/>
              <w:spacing w:after="0"/>
              <w:rPr>
                <w:sz w:val="20"/>
                <w:szCs w:val="20"/>
                <w:color w:val="auto"/>
              </w:rPr>
            </w:pPr>
            <w:r>
              <w:rPr>
                <w:rFonts w:ascii="Arial" w:cs="Arial" w:eastAsia="Arial" w:hAnsi="Arial"/>
                <w:sz w:val="17"/>
                <w:szCs w:val="17"/>
                <w:b w:val="1"/>
                <w:bCs w:val="1"/>
                <w:color w:val="auto"/>
                <w:w w:val="99"/>
              </w:rPr>
              <w:t>in millions, except per share data)</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2"/>
                <w:szCs w:val="12"/>
                <w:b w:val="1"/>
                <w:bCs w:val="1"/>
                <w:color w:val="auto"/>
              </w:rPr>
              <w:t>Historical</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w w:val="91"/>
              </w:rPr>
              <w:t>Pro Forma Adjustments</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960" w:type="dxa"/>
            <w:vAlign w:val="bottom"/>
          </w:tcPr>
          <w:p>
            <w:pPr>
              <w:spacing w:after="0"/>
              <w:rPr>
                <w:sz w:val="10"/>
                <w:szCs w:val="10"/>
                <w:color w:val="auto"/>
              </w:rPr>
            </w:pPr>
          </w:p>
        </w:tc>
        <w:tc>
          <w:tcPr>
            <w:tcW w:w="1040" w:type="dxa"/>
            <w:vAlign w:val="bottom"/>
            <w:gridSpan w:val="3"/>
          </w:tcPr>
          <w:p>
            <w:pPr>
              <w:jc w:val="center"/>
              <w:ind w:right="100"/>
              <w:spacing w:after="0" w:line="116" w:lineRule="exact"/>
              <w:rPr>
                <w:sz w:val="20"/>
                <w:szCs w:val="20"/>
                <w:color w:val="auto"/>
              </w:rPr>
            </w:pPr>
            <w:r>
              <w:rPr>
                <w:rFonts w:ascii="Arial" w:cs="Arial" w:eastAsia="Arial" w:hAnsi="Arial"/>
                <w:sz w:val="12"/>
                <w:szCs w:val="12"/>
                <w:b w:val="1"/>
                <w:bCs w:val="1"/>
                <w:color w:val="auto"/>
                <w:w w:val="91"/>
              </w:rPr>
              <w:t>ZoomInfo</w:t>
            </w:r>
          </w:p>
        </w:tc>
        <w:tc>
          <w:tcPr>
            <w:tcW w:w="96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w w:val="90"/>
              </w:rPr>
              <w:t>Pre-Acquisition</w:t>
            </w:r>
          </w:p>
        </w:tc>
        <w:tc>
          <w:tcPr>
            <w:tcW w:w="80" w:type="dxa"/>
            <w:vAlign w:val="bottom"/>
          </w:tcPr>
          <w:p>
            <w:pPr>
              <w:spacing w:after="0"/>
              <w:rPr>
                <w:sz w:val="10"/>
                <w:szCs w:val="10"/>
                <w:color w:val="auto"/>
              </w:rPr>
            </w:pPr>
          </w:p>
        </w:tc>
        <w:tc>
          <w:tcPr>
            <w:tcW w:w="1180" w:type="dxa"/>
            <w:vAlign w:val="bottom"/>
            <w:gridSpan w:val="3"/>
          </w:tcPr>
          <w:p>
            <w:pPr>
              <w:jc w:val="center"/>
              <w:ind w:right="100"/>
              <w:spacing w:after="0" w:line="116" w:lineRule="exact"/>
              <w:rPr>
                <w:sz w:val="20"/>
                <w:szCs w:val="20"/>
                <w:color w:val="auto"/>
              </w:rPr>
            </w:pPr>
            <w:r>
              <w:rPr>
                <w:rFonts w:ascii="Arial" w:cs="Arial" w:eastAsia="Arial" w:hAnsi="Arial"/>
                <w:sz w:val="12"/>
                <w:szCs w:val="12"/>
                <w:b w:val="1"/>
                <w:bCs w:val="1"/>
                <w:color w:val="auto"/>
                <w:w w:val="94"/>
              </w:rPr>
              <w:t>Zoom Information</w:t>
            </w:r>
          </w:p>
        </w:tc>
        <w:tc>
          <w:tcPr>
            <w:tcW w:w="140" w:type="dxa"/>
            <w:vAlign w:val="bottom"/>
          </w:tcPr>
          <w:p>
            <w:pPr>
              <w:spacing w:after="0"/>
              <w:rPr>
                <w:sz w:val="10"/>
                <w:szCs w:val="10"/>
                <w:color w:val="auto"/>
              </w:rPr>
            </w:pPr>
          </w:p>
        </w:tc>
        <w:tc>
          <w:tcPr>
            <w:tcW w:w="1380" w:type="dxa"/>
            <w:vAlign w:val="bottom"/>
            <w:gridSpan w:val="2"/>
          </w:tcPr>
          <w:p>
            <w:pPr>
              <w:jc w:val="center"/>
              <w:ind w:right="440"/>
              <w:spacing w:after="0" w:line="116" w:lineRule="exact"/>
              <w:rPr>
                <w:sz w:val="20"/>
                <w:szCs w:val="20"/>
                <w:color w:val="auto"/>
              </w:rPr>
            </w:pPr>
            <w:r>
              <w:rPr>
                <w:rFonts w:ascii="Arial" w:cs="Arial" w:eastAsia="Arial" w:hAnsi="Arial"/>
                <w:sz w:val="12"/>
                <w:szCs w:val="12"/>
                <w:b w:val="1"/>
                <w:bCs w:val="1"/>
                <w:color w:val="auto"/>
                <w:w w:val="89"/>
              </w:rPr>
              <w:t>Reorganization</w:t>
            </w:r>
          </w:p>
        </w:tc>
        <w:tc>
          <w:tcPr>
            <w:tcW w:w="100" w:type="dxa"/>
            <w:vAlign w:val="bottom"/>
          </w:tcPr>
          <w:p>
            <w:pPr>
              <w:spacing w:after="0"/>
              <w:rPr>
                <w:sz w:val="10"/>
                <w:szCs w:val="10"/>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2"/>
                <w:szCs w:val="12"/>
                <w:b w:val="1"/>
                <w:bCs w:val="1"/>
                <w:color w:val="auto"/>
                <w:w w:val="89"/>
              </w:rPr>
              <w:t>IPO Transactions</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192"/>
              <w:spacing w:after="0" w:line="116" w:lineRule="exact"/>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67"/>
        </w:trPr>
        <w:tc>
          <w:tcPr>
            <w:tcW w:w="3960" w:type="dxa"/>
            <w:vAlign w:val="bottom"/>
          </w:tcPr>
          <w:p>
            <w:pPr>
              <w:spacing w:after="0"/>
              <w:rPr>
                <w:sz w:val="14"/>
                <w:szCs w:val="14"/>
                <w:color w:val="auto"/>
              </w:rPr>
            </w:pPr>
          </w:p>
        </w:tc>
        <w:tc>
          <w:tcPr>
            <w:tcW w:w="1040" w:type="dxa"/>
            <w:vAlign w:val="bottom"/>
            <w:gridSpan w:val="3"/>
          </w:tcPr>
          <w:p>
            <w:pPr>
              <w:jc w:val="center"/>
              <w:ind w:right="80"/>
              <w:spacing w:after="0" w:line="167" w:lineRule="exact"/>
              <w:rPr>
                <w:sz w:val="20"/>
                <w:szCs w:val="20"/>
                <w:color w:val="auto"/>
              </w:rPr>
            </w:pPr>
            <w:r>
              <w:rPr>
                <w:rFonts w:ascii="Arial" w:cs="Arial" w:eastAsia="Arial" w:hAnsi="Arial"/>
                <w:sz w:val="12"/>
                <w:szCs w:val="12"/>
                <w:b w:val="1"/>
                <w:bCs w:val="1"/>
                <w:color w:val="auto"/>
                <w:w w:val="89"/>
              </w:rPr>
              <w:t>OpCo</w:t>
            </w:r>
            <w:r>
              <w:rPr>
                <w:rFonts w:ascii="Arial" w:cs="Arial" w:eastAsia="Arial" w:hAnsi="Arial"/>
                <w:sz w:val="15"/>
                <w:szCs w:val="15"/>
                <w:b w:val="1"/>
                <w:bCs w:val="1"/>
                <w:color w:val="auto"/>
                <w:w w:val="89"/>
                <w:vertAlign w:val="superscript"/>
              </w:rPr>
              <w:t>(a)</w:t>
            </w:r>
          </w:p>
        </w:tc>
        <w:tc>
          <w:tcPr>
            <w:tcW w:w="280" w:type="dxa"/>
            <w:vAlign w:val="bottom"/>
          </w:tcPr>
          <w:p>
            <w:pPr>
              <w:spacing w:after="0"/>
              <w:rPr>
                <w:sz w:val="14"/>
                <w:szCs w:val="14"/>
                <w:color w:val="auto"/>
              </w:rPr>
            </w:pPr>
          </w:p>
        </w:tc>
        <w:tc>
          <w:tcPr>
            <w:tcW w:w="760" w:type="dxa"/>
            <w:vAlign w:val="bottom"/>
            <w:gridSpan w:val="2"/>
          </w:tcPr>
          <w:p>
            <w:pPr>
              <w:jc w:val="center"/>
              <w:ind w:right="380"/>
              <w:spacing w:after="0" w:line="167" w:lineRule="exact"/>
              <w:rPr>
                <w:sz w:val="20"/>
                <w:szCs w:val="20"/>
                <w:color w:val="auto"/>
              </w:rPr>
            </w:pPr>
            <w:r>
              <w:rPr>
                <w:rFonts w:ascii="Arial" w:cs="Arial" w:eastAsia="Arial" w:hAnsi="Arial"/>
                <w:sz w:val="19"/>
                <w:szCs w:val="19"/>
                <w:b w:val="1"/>
                <w:bCs w:val="1"/>
                <w:color w:val="auto"/>
                <w:vertAlign w:val="subscript"/>
              </w:rPr>
              <w:t>ZI</w:t>
            </w:r>
            <w:r>
              <w:rPr>
                <w:rFonts w:ascii="Arial" w:cs="Arial" w:eastAsia="Arial" w:hAnsi="Arial"/>
                <w:sz w:val="7"/>
                <w:szCs w:val="7"/>
                <w:b w:val="1"/>
                <w:bCs w:val="1"/>
                <w:color w:val="auto"/>
              </w:rPr>
              <w:t>(b)</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7" w:lineRule="exact"/>
              <w:rPr>
                <w:sz w:val="20"/>
                <w:szCs w:val="20"/>
                <w:color w:val="auto"/>
              </w:rPr>
            </w:pPr>
            <w:r>
              <w:rPr>
                <w:rFonts w:ascii="Arial" w:cs="Arial" w:eastAsia="Arial" w:hAnsi="Arial"/>
                <w:sz w:val="12"/>
                <w:szCs w:val="12"/>
                <w:b w:val="1"/>
                <w:bCs w:val="1"/>
                <w:color w:val="auto"/>
                <w:w w:val="87"/>
              </w:rPr>
              <w:t>Acquisition</w:t>
            </w:r>
            <w:r>
              <w:rPr>
                <w:rFonts w:ascii="Arial" w:cs="Arial" w:eastAsia="Arial" w:hAnsi="Arial"/>
                <w:sz w:val="15"/>
                <w:szCs w:val="15"/>
                <w:b w:val="1"/>
                <w:bCs w:val="1"/>
                <w:color w:val="auto"/>
                <w:w w:val="87"/>
                <w:vertAlign w:val="superscript"/>
              </w:rPr>
              <w:t>(c)</w:t>
            </w:r>
          </w:p>
        </w:tc>
        <w:tc>
          <w:tcPr>
            <w:tcW w:w="14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8"/>
              </w:rPr>
              <w:t>Transactions</w:t>
            </w: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92"/>
              <w:spacing w:after="0"/>
              <w:rPr>
                <w:sz w:val="20"/>
                <w:szCs w:val="20"/>
                <w:color w:val="auto"/>
              </w:rPr>
            </w:pPr>
            <w:r>
              <w:rPr>
                <w:rFonts w:ascii="Arial" w:cs="Arial" w:eastAsia="Arial" w:hAnsi="Arial"/>
                <w:sz w:val="12"/>
                <w:szCs w:val="12"/>
                <w:b w:val="1"/>
                <w:bCs w:val="1"/>
                <w:color w:val="auto"/>
              </w:rPr>
              <w:t>Combined</w:t>
            </w:r>
          </w:p>
        </w:tc>
        <w:tc>
          <w:tcPr>
            <w:tcW w:w="0" w:type="dxa"/>
            <w:vAlign w:val="bottom"/>
          </w:tcPr>
          <w:p>
            <w:pPr>
              <w:spacing w:after="0"/>
              <w:rPr>
                <w:sz w:val="1"/>
                <w:szCs w:val="1"/>
                <w:color w:val="auto"/>
              </w:rPr>
            </w:pPr>
          </w:p>
        </w:tc>
      </w:tr>
      <w:tr>
        <w:trPr>
          <w:trHeight w:val="173"/>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00" w:type="dxa"/>
            <w:vAlign w:val="bottom"/>
            <w:tcBorders>
              <w:top w:val="single" w:sz="8" w:color="auto"/>
            </w:tcBorders>
            <w:shd w:val="clear" w:color="auto" w:fill="CCEEFF"/>
          </w:tcPr>
          <w:p>
            <w:pPr>
              <w:jc w:val="right"/>
              <w:ind w:right="346"/>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334.6</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Cost of service</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w:t>
            </w:r>
          </w:p>
        </w:tc>
        <w:tc>
          <w:tcPr>
            <w:tcW w:w="520" w:type="dxa"/>
            <w:vAlign w:val="bottom"/>
            <w:gridSpan w:val="2"/>
          </w:tcPr>
          <w:p>
            <w:pPr>
              <w:jc w:val="right"/>
              <w:ind w:right="351"/>
              <w:spacing w:after="0"/>
              <w:rPr>
                <w:sz w:val="20"/>
                <w:szCs w:val="20"/>
                <w:color w:val="auto"/>
              </w:rPr>
            </w:pPr>
            <w:r>
              <w:rPr>
                <w:rFonts w:ascii="Arial" w:cs="Arial" w:eastAsia="Arial" w:hAnsi="Arial"/>
                <w:sz w:val="9"/>
                <w:szCs w:val="9"/>
                <w:color w:val="auto"/>
                <w:w w:val="99"/>
              </w:rPr>
              <w:t>(i)</w:t>
            </w:r>
          </w:p>
        </w:tc>
        <w:tc>
          <w:tcPr>
            <w:tcW w:w="90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acquired technology</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70"/>
        </w:trPr>
        <w:tc>
          <w:tcPr>
            <w:tcW w:w="39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5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Sales and marketing</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520" w:type="dxa"/>
            <w:vAlign w:val="bottom"/>
            <w:gridSpan w:val="2"/>
            <w:shd w:val="clear" w:color="auto" w:fill="CCEEFF"/>
          </w:tcPr>
          <w:p>
            <w:pPr>
              <w:jc w:val="right"/>
              <w:ind w:right="351"/>
              <w:spacing w:after="0"/>
              <w:rPr>
                <w:sz w:val="20"/>
                <w:szCs w:val="20"/>
                <w:color w:val="auto"/>
              </w:rPr>
            </w:pPr>
            <w:r>
              <w:rPr>
                <w:rFonts w:ascii="Arial" w:cs="Arial" w:eastAsia="Arial" w:hAnsi="Arial"/>
                <w:sz w:val="9"/>
                <w:szCs w:val="9"/>
                <w:color w:val="auto"/>
                <w:w w:val="99"/>
              </w:rPr>
              <w:t>(i)</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520" w:type="dxa"/>
            <w:vAlign w:val="bottom"/>
            <w:gridSpan w:val="2"/>
          </w:tcPr>
          <w:p>
            <w:pPr>
              <w:jc w:val="right"/>
              <w:ind w:right="351"/>
              <w:spacing w:after="0"/>
              <w:rPr>
                <w:sz w:val="20"/>
                <w:szCs w:val="20"/>
                <w:color w:val="auto"/>
              </w:rPr>
            </w:pPr>
            <w:r>
              <w:rPr>
                <w:rFonts w:ascii="Arial" w:cs="Arial" w:eastAsia="Arial" w:hAnsi="Arial"/>
                <w:sz w:val="9"/>
                <w:szCs w:val="9"/>
                <w:color w:val="auto"/>
                <w:w w:val="99"/>
              </w:rPr>
              <w:t>(i)</w:t>
            </w:r>
          </w:p>
        </w:tc>
        <w:tc>
          <w:tcPr>
            <w:tcW w:w="90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520" w:type="dxa"/>
            <w:vAlign w:val="bottom"/>
            <w:gridSpan w:val="2"/>
            <w:shd w:val="clear" w:color="auto" w:fill="CCEEFF"/>
          </w:tcPr>
          <w:p>
            <w:pPr>
              <w:jc w:val="right"/>
              <w:ind w:right="351"/>
              <w:spacing w:after="0"/>
              <w:rPr>
                <w:sz w:val="20"/>
                <w:szCs w:val="20"/>
                <w:color w:val="auto"/>
              </w:rPr>
            </w:pPr>
            <w:r>
              <w:rPr>
                <w:rFonts w:ascii="Arial" w:cs="Arial" w:eastAsia="Arial" w:hAnsi="Arial"/>
                <w:sz w:val="9"/>
                <w:szCs w:val="9"/>
                <w:color w:val="auto"/>
                <w:w w:val="99"/>
              </w:rPr>
              <w:t>(i)</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Amortization of other acquired intangibles</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transaction-related expenses</w:t>
            </w: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24"/>
        </w:trPr>
        <w:tc>
          <w:tcPr>
            <w:tcW w:w="3960" w:type="dxa"/>
            <w:vAlign w:val="bottom"/>
          </w:tcPr>
          <w:p>
            <w:pPr>
              <w:ind w:left="20"/>
              <w:spacing w:after="0" w:line="125" w:lineRule="exact"/>
              <w:rPr>
                <w:sz w:val="20"/>
                <w:szCs w:val="20"/>
                <w:color w:val="auto"/>
              </w:rPr>
            </w:pPr>
            <w:r>
              <w:rPr>
                <w:rFonts w:ascii="Arial" w:cs="Arial" w:eastAsia="Arial" w:hAnsi="Arial"/>
                <w:sz w:val="14"/>
                <w:szCs w:val="14"/>
                <w:color w:val="auto"/>
              </w:rPr>
              <w:t>Income (loss) from operations</w:t>
            </w:r>
          </w:p>
        </w:tc>
        <w:tc>
          <w:tcPr>
            <w:tcW w:w="5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36.1</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31.1</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(35.1)</w:t>
            </w:r>
          </w:p>
        </w:tc>
        <w:tc>
          <w:tcPr>
            <w:tcW w:w="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500" w:type="dxa"/>
            <w:vAlign w:val="bottom"/>
            <w:gridSpan w:val="3"/>
          </w:tcPr>
          <w:p>
            <w:pPr>
              <w:jc w:val="right"/>
              <w:ind w:right="331"/>
              <w:spacing w:after="0"/>
              <w:rPr>
                <w:sz w:val="20"/>
                <w:szCs w:val="20"/>
                <w:color w:val="auto"/>
              </w:rPr>
            </w:pPr>
            <w:r>
              <w:rPr>
                <w:rFonts w:ascii="Arial" w:cs="Arial" w:eastAsia="Arial" w:hAnsi="Arial"/>
                <w:sz w:val="14"/>
                <w:szCs w:val="14"/>
                <w:color w:val="auto"/>
              </w:rPr>
              <w:t xml:space="preserve">(39.3) </w:t>
            </w:r>
            <w:r>
              <w:rPr>
                <w:rFonts w:ascii="Arial" w:cs="Arial" w:eastAsia="Arial" w:hAnsi="Arial"/>
                <w:sz w:val="17"/>
                <w:szCs w:val="17"/>
                <w:color w:val="auto"/>
                <w:vertAlign w:val="superscript"/>
              </w:rPr>
              <w:t>(f)</w:t>
            </w:r>
          </w:p>
        </w:tc>
        <w:tc>
          <w:tcPr>
            <w:tcW w:w="900" w:type="dxa"/>
            <w:vAlign w:val="bottom"/>
          </w:tcPr>
          <w:p>
            <w:pPr>
              <w:jc w:val="right"/>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77"/>
        </w:trPr>
        <w:tc>
          <w:tcPr>
            <w:tcW w:w="396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5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net</w:t>
            </w:r>
          </w:p>
        </w:tc>
        <w:tc>
          <w:tcPr>
            <w:tcW w:w="5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39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5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20"/>
              <w:spacing w:after="0" w:line="184" w:lineRule="exact"/>
              <w:rPr>
                <w:sz w:val="20"/>
                <w:szCs w:val="20"/>
                <w:color w:val="auto"/>
              </w:rPr>
            </w:pPr>
            <w:r>
              <w:rPr>
                <w:rFonts w:ascii="Arial" w:cs="Arial" w:eastAsia="Arial" w:hAnsi="Arial"/>
                <w:sz w:val="14"/>
                <w:szCs w:val="14"/>
                <w:color w:val="auto"/>
              </w:rPr>
              <w:t>Provision for (benefit from) income taxes</w:t>
            </w:r>
            <w:r>
              <w:rPr>
                <w:rFonts w:ascii="Arial" w:cs="Arial" w:eastAsia="Arial" w:hAnsi="Arial"/>
                <w:sz w:val="17"/>
                <w:szCs w:val="17"/>
                <w:color w:val="auto"/>
                <w:vertAlign w:val="superscript"/>
              </w:rPr>
              <w:t>(d)</w:t>
            </w:r>
          </w:p>
        </w:tc>
        <w:tc>
          <w:tcPr>
            <w:tcW w:w="5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3"/>
        </w:trPr>
        <w:tc>
          <w:tcPr>
            <w:tcW w:w="39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52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2"/>
              </w:rPr>
              <w:t>Less: Net income (loss) attributable to the non-controlling interest</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740"/>
              <w:spacing w:after="0" w:line="143" w:lineRule="exact"/>
              <w:rPr>
                <w:sz w:val="20"/>
                <w:szCs w:val="20"/>
                <w:color w:val="auto"/>
              </w:rPr>
            </w:pPr>
            <w:r>
              <w:rPr>
                <w:rFonts w:ascii="Arial" w:cs="Arial" w:eastAsia="Arial" w:hAnsi="Arial"/>
                <w:sz w:val="14"/>
                <w:szCs w:val="14"/>
                <w:color w:val="auto"/>
              </w:rPr>
              <w:t xml:space="preserve">(39.9) </w:t>
            </w:r>
            <w:r>
              <w:rPr>
                <w:rFonts w:ascii="Arial" w:cs="Arial" w:eastAsia="Arial" w:hAnsi="Arial"/>
                <w:sz w:val="8"/>
                <w:szCs w:val="8"/>
                <w:color w:val="auto"/>
              </w:rPr>
              <w:t>(e)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7.3</w:t>
            </w:r>
          </w:p>
        </w:tc>
        <w:tc>
          <w:tcPr>
            <w:tcW w:w="520" w:type="dxa"/>
            <w:vAlign w:val="bottom"/>
            <w:gridSpan w:val="2"/>
            <w:shd w:val="clear" w:color="auto" w:fill="CCEEFF"/>
          </w:tcPr>
          <w:p>
            <w:pPr>
              <w:jc w:val="right"/>
              <w:ind w:right="331"/>
              <w:spacing w:after="0" w:line="94" w:lineRule="exact"/>
              <w:rPr>
                <w:sz w:val="20"/>
                <w:szCs w:val="20"/>
                <w:color w:val="auto"/>
              </w:rPr>
            </w:pPr>
            <w:r>
              <w:rPr>
                <w:rFonts w:ascii="Arial" w:cs="Arial" w:eastAsia="Arial" w:hAnsi="Arial"/>
                <w:sz w:val="9"/>
                <w:szCs w:val="9"/>
                <w:color w:val="auto"/>
                <w:w w:val="90"/>
              </w:rPr>
              <w:t>(e)</w:t>
            </w: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9"/>
        </w:trPr>
        <w:tc>
          <w:tcPr>
            <w:tcW w:w="3960" w:type="dxa"/>
            <w:vAlign w:val="bottom"/>
          </w:tcPr>
          <w:p>
            <w:pPr>
              <w:ind w:left="20"/>
              <w:spacing w:after="0"/>
              <w:rPr>
                <w:sz w:val="20"/>
                <w:szCs w:val="20"/>
                <w:color w:val="auto"/>
              </w:rPr>
            </w:pPr>
            <w:r>
              <w:rPr>
                <w:rFonts w:ascii="Arial" w:cs="Arial" w:eastAsia="Arial" w:hAnsi="Arial"/>
                <w:sz w:val="14"/>
                <w:szCs w:val="14"/>
                <w:color w:val="auto"/>
              </w:rPr>
              <w:t>Net income (loss) attributable to ZoomInfo Technologies Inc.</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2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34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60" w:type="dxa"/>
            <w:vAlign w:val="bottom"/>
            <w:shd w:val="clear" w:color="auto" w:fill="CCEEFF"/>
          </w:tcPr>
          <w:p>
            <w:pPr>
              <w:ind w:left="20"/>
              <w:spacing w:after="0" w:line="95" w:lineRule="exact"/>
              <w:rPr>
                <w:sz w:val="20"/>
                <w:szCs w:val="20"/>
                <w:color w:val="auto"/>
              </w:rPr>
            </w:pPr>
            <w:r>
              <w:rPr>
                <w:rFonts w:ascii="Arial" w:cs="Arial" w:eastAsia="Arial" w:hAnsi="Arial"/>
                <w:sz w:val="8"/>
                <w:szCs w:val="8"/>
                <w:color w:val="auto"/>
              </w:rPr>
              <w:t>Net income (loss) per Class A and Class C shares–basic and diluted</w:t>
            </w:r>
            <w:r>
              <w:rPr>
                <w:rFonts w:ascii="Arial" w:cs="Arial" w:eastAsia="Arial" w:hAnsi="Arial"/>
                <w:sz w:val="10"/>
                <w:szCs w:val="10"/>
                <w:color w:val="auto"/>
                <w:vertAlign w:val="superscript"/>
              </w:rPr>
              <w:t>(g)</w:t>
            </w:r>
          </w:p>
        </w:tc>
        <w:tc>
          <w:tcPr>
            <w:tcW w:w="5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29"/>
        </w:trPr>
        <w:tc>
          <w:tcPr>
            <w:tcW w:w="3960" w:type="dxa"/>
            <w:vAlign w:val="bottom"/>
            <w:shd w:val="clear" w:color="auto" w:fill="CCEEFF"/>
          </w:tcPr>
          <w:p>
            <w:pPr>
              <w:ind w:left="180"/>
              <w:spacing w:after="0"/>
              <w:rPr>
                <w:sz w:val="20"/>
                <w:szCs w:val="20"/>
                <w:color w:val="auto"/>
              </w:rPr>
            </w:pPr>
            <w:r>
              <w:rPr>
                <w:rFonts w:ascii="Arial" w:cs="Arial" w:eastAsia="Arial" w:hAnsi="Arial"/>
                <w:sz w:val="9"/>
                <w:szCs w:val="9"/>
                <w:color w:val="auto"/>
              </w:rPr>
              <w:t>(h)</w:t>
            </w: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960" w:type="dxa"/>
            <w:vAlign w:val="bottom"/>
          </w:tcPr>
          <w:p>
            <w:pPr>
              <w:ind w:left="20"/>
              <w:spacing w:after="0"/>
              <w:rPr>
                <w:sz w:val="20"/>
                <w:szCs w:val="20"/>
                <w:color w:val="auto"/>
              </w:rPr>
            </w:pPr>
            <w:r>
              <w:rPr>
                <w:rFonts w:ascii="Arial" w:cs="Arial" w:eastAsia="Arial" w:hAnsi="Arial"/>
                <w:sz w:val="14"/>
                <w:szCs w:val="14"/>
                <w:color w:val="auto"/>
              </w:rPr>
              <w:t>Shares used in basic and diluted per share calculations</w:t>
            </w:r>
            <w:r>
              <w:rPr>
                <w:rFonts w:ascii="Arial" w:cs="Arial" w:eastAsia="Arial" w:hAnsi="Arial"/>
                <w:sz w:val="17"/>
                <w:szCs w:val="17"/>
                <w:color w:val="auto"/>
                <w:vertAlign w:val="superscript"/>
              </w:rPr>
              <w:t>(g)(h)</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150,160,371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-1292225</wp:posOffset>
            </wp:positionV>
            <wp:extent cx="7138670" cy="114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8670" cy="11430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Nine Months Ended September 30, 2020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 Forma Adjustments</w:t>
            </w: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ZoomInfo</w:t>
            </w:r>
          </w:p>
        </w:tc>
        <w:tc>
          <w:tcPr>
            <w:tcW w:w="200" w:type="dxa"/>
            <w:vAlign w:val="bottom"/>
          </w:tcPr>
          <w:p>
            <w:pPr>
              <w:spacing w:after="0"/>
              <w:rPr>
                <w:sz w:val="11"/>
                <w:szCs w:val="11"/>
                <w:color w:val="auto"/>
              </w:rPr>
            </w:pPr>
          </w:p>
        </w:tc>
        <w:tc>
          <w:tcPr>
            <w:tcW w:w="15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Reorganization</w:t>
            </w:r>
          </w:p>
        </w:tc>
        <w:tc>
          <w:tcPr>
            <w:tcW w:w="12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5"/>
              </w:rPr>
              <w:t>IPO Transactions</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9"/>
        </w:trPr>
        <w:tc>
          <w:tcPr>
            <w:tcW w:w="5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Technologies Inc.</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Transactions</w:t>
            </w:r>
          </w:p>
        </w:tc>
        <w:tc>
          <w:tcPr>
            <w:tcW w:w="3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0" w:type="dxa"/>
            <w:vAlign w:val="bottom"/>
          </w:tcPr>
          <w:p>
            <w:pPr>
              <w:spacing w:after="0"/>
              <w:rPr>
                <w:sz w:val="1"/>
                <w:szCs w:val="1"/>
                <w:color w:val="auto"/>
              </w:rPr>
            </w:pPr>
          </w:p>
        </w:tc>
      </w:tr>
      <w:tr>
        <w:trPr>
          <w:trHeight w:val="258"/>
        </w:trPr>
        <w:tc>
          <w:tcPr>
            <w:tcW w:w="5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220"/>
              <w:spacing w:after="0"/>
              <w:rPr>
                <w:sz w:val="20"/>
                <w:szCs w:val="20"/>
                <w:color w:val="auto"/>
              </w:rPr>
            </w:pPr>
            <w:r>
              <w:rPr>
                <w:rFonts w:ascii="Arial" w:cs="Arial" w:eastAsia="Arial" w:hAnsi="Arial"/>
                <w:sz w:val="17"/>
                <w:szCs w:val="17"/>
                <w:color w:val="auto"/>
              </w:rPr>
              <w:t>Cost of service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498"/>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7.2</w:t>
            </w:r>
          </w:p>
        </w:tc>
        <w:tc>
          <w:tcPr>
            <w:tcW w:w="580" w:type="dxa"/>
            <w:vAlign w:val="bottom"/>
            <w:gridSpan w:val="2"/>
          </w:tcPr>
          <w:p>
            <w:pPr>
              <w:jc w:val="right"/>
              <w:ind w:right="374"/>
              <w:spacing w:after="0"/>
              <w:rPr>
                <w:sz w:val="20"/>
                <w:szCs w:val="20"/>
                <w:color w:val="auto"/>
              </w:rPr>
            </w:pPr>
            <w:r>
              <w:rPr>
                <w:rFonts w:ascii="Arial" w:cs="Arial" w:eastAsia="Arial" w:hAnsi="Arial"/>
                <w:sz w:val="11"/>
                <w:szCs w:val="11"/>
                <w:color w:val="auto"/>
              </w:rPr>
              <w:t>(i)</w:t>
            </w:r>
          </w:p>
        </w:tc>
        <w:tc>
          <w:tcPr>
            <w:tcW w:w="1080" w:type="dxa"/>
            <w:vAlign w:val="bottom"/>
          </w:tcPr>
          <w:p>
            <w:pPr>
              <w:jc w:val="right"/>
              <w:spacing w:after="0"/>
              <w:rPr>
                <w:sz w:val="20"/>
                <w:szCs w:val="20"/>
                <w:color w:val="auto"/>
              </w:rPr>
            </w:pPr>
            <w:r>
              <w:rPr>
                <w:rFonts w:ascii="Arial" w:cs="Arial" w:eastAsia="Arial" w:hAnsi="Arial"/>
                <w:sz w:val="17"/>
                <w:szCs w:val="17"/>
                <w:color w:val="auto"/>
              </w:rPr>
              <w:t>71.4</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acquired technology</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248.4</w:t>
            </w:r>
          </w:p>
        </w:tc>
        <w:tc>
          <w:tcPr>
            <w:tcW w:w="0" w:type="dxa"/>
            <w:vAlign w:val="bottom"/>
          </w:tcPr>
          <w:p>
            <w:pPr>
              <w:spacing w:after="0"/>
              <w:rPr>
                <w:sz w:val="1"/>
                <w:szCs w:val="1"/>
                <w:color w:val="auto"/>
              </w:rPr>
            </w:pPr>
          </w:p>
        </w:tc>
      </w:tr>
      <w:tr>
        <w:trPr>
          <w:trHeight w:val="258"/>
        </w:trPr>
        <w:tc>
          <w:tcPr>
            <w:tcW w:w="5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2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580" w:type="dxa"/>
            <w:vAlign w:val="bottom"/>
            <w:gridSpan w:val="2"/>
            <w:shd w:val="clear" w:color="auto" w:fill="CCEEFF"/>
          </w:tcPr>
          <w:p>
            <w:pPr>
              <w:jc w:val="right"/>
              <w:ind w:right="374"/>
              <w:spacing w:after="0"/>
              <w:rPr>
                <w:sz w:val="20"/>
                <w:szCs w:val="20"/>
                <w:color w:val="auto"/>
              </w:rPr>
            </w:pPr>
            <w:r>
              <w:rPr>
                <w:rFonts w:ascii="Arial" w:cs="Arial" w:eastAsia="Arial" w:hAnsi="Arial"/>
                <w:sz w:val="11"/>
                <w:szCs w:val="11"/>
                <w:color w:val="auto"/>
              </w:rPr>
              <w:t>(i)</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219"/>
        </w:trPr>
        <w:tc>
          <w:tcPr>
            <w:tcW w:w="528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374"/>
              <w:spacing w:after="0" w:line="219" w:lineRule="exact"/>
              <w:rPr>
                <w:sz w:val="20"/>
                <w:szCs w:val="20"/>
                <w:color w:val="auto"/>
              </w:rPr>
            </w:pPr>
            <w:r>
              <w:rPr>
                <w:rFonts w:ascii="Arial" w:cs="Arial" w:eastAsia="Arial" w:hAnsi="Arial"/>
                <w:sz w:val="17"/>
                <w:szCs w:val="17"/>
                <w:color w:val="auto"/>
              </w:rPr>
              <w:t xml:space="preserve">1.0 </w:t>
            </w:r>
            <w:r>
              <w:rPr>
                <w:rFonts w:ascii="Arial" w:cs="Arial" w:eastAsia="Arial" w:hAnsi="Arial"/>
                <w:sz w:val="22"/>
                <w:szCs w:val="22"/>
                <w:color w:val="auto"/>
                <w:vertAlign w:val="superscript"/>
              </w:rPr>
              <w:t>(i)</w:t>
            </w:r>
          </w:p>
        </w:tc>
        <w:tc>
          <w:tcPr>
            <w:tcW w:w="1080" w:type="dxa"/>
            <w:vAlign w:val="bottom"/>
          </w:tcPr>
          <w:p>
            <w:pPr>
              <w:jc w:val="right"/>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580" w:type="dxa"/>
            <w:vAlign w:val="bottom"/>
            <w:gridSpan w:val="2"/>
            <w:shd w:val="clear" w:color="auto" w:fill="CCEEFF"/>
          </w:tcPr>
          <w:p>
            <w:pPr>
              <w:jc w:val="right"/>
              <w:ind w:right="374"/>
              <w:spacing w:after="0"/>
              <w:rPr>
                <w:sz w:val="20"/>
                <w:szCs w:val="20"/>
                <w:color w:val="auto"/>
              </w:rPr>
            </w:pPr>
            <w:r>
              <w:rPr>
                <w:rFonts w:ascii="Arial" w:cs="Arial" w:eastAsia="Arial" w:hAnsi="Arial"/>
                <w:sz w:val="11"/>
                <w:szCs w:val="11"/>
                <w:color w:val="auto"/>
              </w:rPr>
              <w:t>(i)</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8"/>
        </w:trPr>
        <w:tc>
          <w:tcPr>
            <w:tcW w:w="5280" w:type="dxa"/>
            <w:vAlign w:val="bottom"/>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Restructuring and transaction-related expenses</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(26.4)</w:t>
            </w:r>
          </w:p>
        </w:tc>
        <w:tc>
          <w:tcPr>
            <w:tcW w:w="580" w:type="dxa"/>
            <w:vAlign w:val="bottom"/>
            <w:gridSpan w:val="2"/>
            <w:vMerge w:val="restart"/>
          </w:tcPr>
          <w:p>
            <w:pPr>
              <w:jc w:val="right"/>
              <w:ind w:right="374"/>
              <w:spacing w:after="0"/>
              <w:rPr>
                <w:sz w:val="20"/>
                <w:szCs w:val="20"/>
                <w:color w:val="auto"/>
              </w:rPr>
            </w:pPr>
            <w:r>
              <w:rPr>
                <w:rFonts w:ascii="Arial" w:cs="Arial" w:eastAsia="Arial" w:hAnsi="Arial"/>
                <w:sz w:val="11"/>
                <w:szCs w:val="11"/>
                <w:color w:val="auto"/>
                <w:w w:val="95"/>
              </w:rPr>
              <w:t>(f)</w:t>
            </w:r>
          </w:p>
        </w:tc>
        <w:tc>
          <w:tcPr>
            <w:tcW w:w="1080" w:type="dxa"/>
            <w:vAlign w:val="bottom"/>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19"/>
        </w:trPr>
        <w:tc>
          <w:tcPr>
            <w:tcW w:w="528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(21.0)</w:t>
            </w:r>
          </w:p>
        </w:tc>
        <w:tc>
          <w:tcPr>
            <w:tcW w:w="580" w:type="dxa"/>
            <w:vAlign w:val="bottom"/>
            <w:gridSpan w:val="2"/>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20"/>
        </w:trPr>
        <w:tc>
          <w:tcPr>
            <w:tcW w:w="5280" w:type="dxa"/>
            <w:vAlign w:val="bottom"/>
          </w:tcPr>
          <w:p>
            <w:pPr>
              <w:ind w:left="220"/>
              <w:spacing w:after="0"/>
              <w:rPr>
                <w:sz w:val="20"/>
                <w:szCs w:val="20"/>
                <w:color w:val="auto"/>
              </w:rPr>
            </w:pPr>
            <w:r>
              <w:rPr>
                <w:rFonts w:ascii="Arial" w:cs="Arial" w:eastAsia="Arial" w:hAnsi="Arial"/>
                <w:sz w:val="17"/>
                <w:szCs w:val="17"/>
                <w:color w:val="auto"/>
              </w:rPr>
              <w:t>Loss on debt extinguishment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Provision for (Benefit from) income taxes</w:t>
            </w:r>
            <w:r>
              <w:rPr>
                <w:rFonts w:ascii="Arial" w:cs="Arial" w:eastAsia="Arial" w:hAnsi="Arial"/>
                <w:sz w:val="22"/>
                <w:szCs w:val="22"/>
                <w:color w:val="auto"/>
                <w:vertAlign w:val="superscript"/>
              </w:rPr>
              <w:t>(d)</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498"/>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(8.6)</w:t>
            </w:r>
          </w:p>
        </w:tc>
        <w:tc>
          <w:tcPr>
            <w:tcW w:w="58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Net income (loss) attributable to the non-controlling interest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900"/>
              <w:spacing w:after="0" w:line="220" w:lineRule="exact"/>
              <w:rPr>
                <w:sz w:val="20"/>
                <w:szCs w:val="20"/>
                <w:color w:val="auto"/>
              </w:rPr>
            </w:pPr>
            <w:r>
              <w:rPr>
                <w:rFonts w:ascii="Arial" w:cs="Arial" w:eastAsia="Arial" w:hAnsi="Arial"/>
                <w:sz w:val="17"/>
                <w:szCs w:val="17"/>
                <w:color w:val="auto"/>
              </w:rPr>
              <w:t xml:space="preserve">(8.5) </w:t>
            </w:r>
            <w:r>
              <w:rPr>
                <w:rFonts w:ascii="Arial" w:cs="Arial" w:eastAsia="Arial" w:hAnsi="Arial"/>
                <w:sz w:val="22"/>
                <w:szCs w:val="22"/>
                <w:color w:val="auto"/>
                <w:vertAlign w:val="superscript"/>
              </w:rPr>
              <w:t>(e)</w:t>
            </w: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580" w:type="dxa"/>
            <w:vAlign w:val="bottom"/>
            <w:gridSpan w:val="2"/>
            <w:shd w:val="clear" w:color="auto" w:fill="CCEEFF"/>
          </w:tcPr>
          <w:p>
            <w:pPr>
              <w:jc w:val="right"/>
              <w:ind w:right="354"/>
              <w:spacing w:after="0"/>
              <w:rPr>
                <w:sz w:val="20"/>
                <w:szCs w:val="20"/>
                <w:color w:val="auto"/>
              </w:rPr>
            </w:pPr>
            <w:r>
              <w:rPr>
                <w:rFonts w:ascii="Arial" w:cs="Arial" w:eastAsia="Arial" w:hAnsi="Arial"/>
                <w:sz w:val="11"/>
                <w:szCs w:val="11"/>
                <w:color w:val="auto"/>
                <w:w w:val="88"/>
              </w:rPr>
              <w:t>(e)</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Arial" w:cs="Arial" w:eastAsia="Arial" w:hAnsi="Arial"/>
                <w:sz w:val="17"/>
                <w:szCs w:val="17"/>
                <w:color w:val="auto"/>
              </w:rPr>
              <w:t>Net income attributable to ZoomInfo Technologies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3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3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line="219" w:lineRule="exact"/>
              <w:rPr>
                <w:sz w:val="20"/>
                <w:szCs w:val="20"/>
                <w:color w:val="auto"/>
              </w:rPr>
            </w:pPr>
            <w:r>
              <w:rPr>
                <w:rFonts w:ascii="Arial" w:cs="Arial" w:eastAsia="Arial" w:hAnsi="Arial"/>
                <w:sz w:val="17"/>
                <w:szCs w:val="17"/>
                <w:color w:val="auto"/>
                <w:w w:val="95"/>
              </w:rPr>
              <w:t>Net income (loss) per Class A and Class C shares–basic and diluted</w:t>
            </w:r>
            <w:r>
              <w:rPr>
                <w:rFonts w:ascii="Arial" w:cs="Arial" w:eastAsia="Arial" w:hAnsi="Arial"/>
                <w:sz w:val="22"/>
                <w:szCs w:val="22"/>
                <w:color w:val="auto"/>
                <w:w w:val="95"/>
                <w:vertAlign w:val="superscript"/>
              </w:rPr>
              <w:t>(g)(h)</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Shares used in basic per share calculations</w:t>
            </w:r>
            <w:r>
              <w:rPr>
                <w:rFonts w:ascii="Arial" w:cs="Arial" w:eastAsia="Arial" w:hAnsi="Arial"/>
                <w:sz w:val="22"/>
                <w:szCs w:val="22"/>
                <w:color w:val="auto"/>
                <w:vertAlign w:val="superscript"/>
              </w:rPr>
              <w:t>(g)(h)</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150,160,371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-1593850</wp:posOffset>
            </wp:positionV>
            <wp:extent cx="7138670" cy="1390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Notes to Unaudited Pro Forma Combined and Consolidated Financial Information</w:t>
      </w:r>
    </w:p>
    <w:p>
      <w:pPr>
        <w:spacing w:after="0" w:line="171" w:lineRule="exact"/>
        <w:rPr>
          <w:sz w:val="20"/>
          <w:szCs w:val="20"/>
          <w:color w:val="auto"/>
        </w:rPr>
      </w:pPr>
    </w:p>
    <w:p>
      <w:pPr>
        <w:jc w:val="both"/>
        <w:ind w:left="320" w:hanging="317"/>
        <w:spacing w:after="0" w:line="266" w:lineRule="auto"/>
        <w:tabs>
          <w:tab w:leader="none" w:pos="317" w:val="left"/>
        </w:tabs>
        <w:numPr>
          <w:ilvl w:val="0"/>
          <w:numId w:val="68"/>
        </w:numPr>
        <w:rPr>
          <w:rFonts w:ascii="Arial" w:cs="Arial" w:eastAsia="Arial" w:hAnsi="Arial"/>
          <w:sz w:val="17"/>
          <w:szCs w:val="17"/>
          <w:color w:val="auto"/>
        </w:rPr>
      </w:pPr>
      <w:r>
        <w:rPr>
          <w:rFonts w:ascii="Arial" w:cs="Arial" w:eastAsia="Arial" w:hAnsi="Arial"/>
          <w:sz w:val="17"/>
          <w:szCs w:val="17"/>
          <w:color w:val="auto"/>
        </w:rPr>
        <w:t>ZoomInfo Technologies Inc. was formed on November 14, 2019, and had no results of operations until the completion of the IPO. Therefore, its historical results of operations are not shown in a separate column in the unaudited pro forma combined and consolidated statement of operations for the year ended December 31, 2019.</w:t>
      </w:r>
    </w:p>
    <w:p>
      <w:pPr>
        <w:spacing w:after="0" w:line="122" w:lineRule="exact"/>
        <w:rPr>
          <w:rFonts w:ascii="Arial" w:cs="Arial" w:eastAsia="Arial" w:hAnsi="Arial"/>
          <w:sz w:val="17"/>
          <w:szCs w:val="17"/>
          <w:color w:val="auto"/>
        </w:rPr>
      </w:pPr>
    </w:p>
    <w:p>
      <w:pPr>
        <w:jc w:val="both"/>
        <w:ind w:left="320" w:hanging="317"/>
        <w:spacing w:after="0" w:line="259" w:lineRule="auto"/>
        <w:tabs>
          <w:tab w:leader="none" w:pos="314"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Pre-Acquisition ZI’s financial statements presented in the unaudited pro forma combined and consolidated statement of operations for the year ended December 31, 2019 reflect the historical results of operations for the period from January 1, 2019 through January 31, 2019. The operating results of Pre-Acquisition ZI from the February 1, 2019 date of the Zoom Information Acquisition have been included in our historical results of operations for the year ended December 31, 2019. Certain reclassifications have been made to align the financial statements of Pre-Acquisition ZI to those of ZoomInfo OpCo as follows:</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0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4"/>
                <w:szCs w:val="14"/>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Pre-Acquisition ZI</w:t>
            </w:r>
          </w:p>
        </w:tc>
        <w:tc>
          <w:tcPr>
            <w:tcW w:w="240" w:type="dxa"/>
            <w:vAlign w:val="bottom"/>
          </w:tcPr>
          <w:p>
            <w:pPr>
              <w:spacing w:after="0"/>
              <w:rPr>
                <w:sz w:val="14"/>
                <w:szCs w:val="14"/>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Reclassifications</w:t>
            </w:r>
          </w:p>
        </w:tc>
        <w:tc>
          <w:tcPr>
            <w:tcW w:w="180" w:type="dxa"/>
            <w:vAlign w:val="bottom"/>
          </w:tcPr>
          <w:p>
            <w:pPr>
              <w:spacing w:after="0"/>
              <w:rPr>
                <w:sz w:val="14"/>
                <w:szCs w:val="14"/>
                <w:color w:val="auto"/>
              </w:rPr>
            </w:pPr>
          </w:p>
        </w:tc>
        <w:tc>
          <w:tcPr>
            <w:tcW w:w="1580" w:type="dxa"/>
            <w:vAlign w:val="bottom"/>
          </w:tcPr>
          <w:p>
            <w:pPr>
              <w:jc w:val="right"/>
              <w:ind w:right="158"/>
              <w:spacing w:after="0"/>
              <w:rPr>
                <w:sz w:val="20"/>
                <w:szCs w:val="20"/>
                <w:color w:val="auto"/>
              </w:rPr>
            </w:pPr>
            <w:r>
              <w:rPr>
                <w:rFonts w:ascii="Arial" w:cs="Arial" w:eastAsia="Arial" w:hAnsi="Arial"/>
                <w:sz w:val="14"/>
                <w:szCs w:val="14"/>
                <w:b w:val="1"/>
                <w:bCs w:val="1"/>
                <w:color w:val="auto"/>
                <w:w w:val="94"/>
              </w:rPr>
              <w:t>Pre-Acquisition ZI as</w:t>
            </w:r>
          </w:p>
        </w:tc>
        <w:tc>
          <w:tcPr>
            <w:tcW w:w="0" w:type="dxa"/>
            <w:vAlign w:val="bottom"/>
          </w:tcPr>
          <w:p>
            <w:pPr>
              <w:spacing w:after="0"/>
              <w:rPr>
                <w:sz w:val="1"/>
                <w:szCs w:val="1"/>
                <w:color w:val="auto"/>
              </w:rPr>
            </w:pPr>
          </w:p>
        </w:tc>
      </w:tr>
      <w:tr>
        <w:trPr>
          <w:trHeight w:val="179"/>
        </w:trPr>
        <w:tc>
          <w:tcPr>
            <w:tcW w:w="5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518"/>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13"/>
        </w:trPr>
        <w:tc>
          <w:tcPr>
            <w:tcW w:w="5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Cost of service / revenue</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8"/>
        </w:trPr>
        <w:tc>
          <w:tcPr>
            <w:tcW w:w="5060" w:type="dxa"/>
            <w:vAlign w:val="bottom"/>
          </w:tcPr>
          <w:p>
            <w:pPr>
              <w:ind w:left="120"/>
              <w:spacing w:after="0"/>
              <w:rPr>
                <w:sz w:val="20"/>
                <w:szCs w:val="20"/>
                <w:color w:val="auto"/>
              </w:rPr>
            </w:pPr>
            <w:r>
              <w:rPr>
                <w:rFonts w:ascii="Arial" w:cs="Arial" w:eastAsia="Arial" w:hAnsi="Arial"/>
                <w:sz w:val="17"/>
                <w:szCs w:val="17"/>
                <w:color w:val="auto"/>
              </w:rPr>
              <w:t>Amortization of acquired technology</w:t>
            </w: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Sales and marketing</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8"/>
        </w:trPr>
        <w:tc>
          <w:tcPr>
            <w:tcW w:w="5060" w:type="dxa"/>
            <w:vAlign w:val="bottom"/>
          </w:tcPr>
          <w:p>
            <w:pPr>
              <w:ind w:left="120"/>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8"/>
        </w:trPr>
        <w:tc>
          <w:tcPr>
            <w:tcW w:w="506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Amortization of other acquired intangibles</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00" w:hanging="297"/>
        <w:spacing w:after="0"/>
        <w:tabs>
          <w:tab w:leader="none" w:pos="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accordance with the rules of Article 11 of Regulation S-X, the following pro forma adjustments were made relating to the Zoom Information Acquisition:</w:t>
      </w:r>
    </w:p>
    <w:p>
      <w:pPr>
        <w:spacing w:after="0" w:line="176" w:lineRule="exact"/>
        <w:rPr>
          <w:rFonts w:ascii="Arial" w:cs="Arial" w:eastAsia="Arial" w:hAnsi="Arial"/>
          <w:sz w:val="16"/>
          <w:szCs w:val="16"/>
          <w:color w:val="auto"/>
        </w:rPr>
      </w:pPr>
    </w:p>
    <w:p>
      <w:pPr>
        <w:ind w:left="620" w:hanging="308"/>
        <w:spacing w:after="0" w:line="279" w:lineRule="auto"/>
        <w:tabs>
          <w:tab w:leader="none" w:pos="614"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adjustment to revenue represents the removal of the fair value adjustments to historical Pre-Acquisition ZI’s unearned revenue. The adjustment is removed because it will not have a continuing impact on the financial results of the combined company.</w:t>
      </w:r>
    </w:p>
    <w:p>
      <w:pPr>
        <w:spacing w:after="0" w:line="112" w:lineRule="exact"/>
        <w:rPr>
          <w:rFonts w:ascii="Arial" w:cs="Arial" w:eastAsia="Arial" w:hAnsi="Arial"/>
          <w:sz w:val="17"/>
          <w:szCs w:val="17"/>
          <w:color w:val="auto"/>
        </w:rPr>
      </w:pPr>
    </w:p>
    <w:p>
      <w:pPr>
        <w:ind w:left="620" w:hanging="308"/>
        <w:spacing w:after="0" w:line="279" w:lineRule="auto"/>
        <w:tabs>
          <w:tab w:leader="none" w:pos="614"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adjustment to amortization of acquired technology and amortization of intangible assets represents the incremental amortization expense resulting from the allocation of purchase consideration to definitive-lived intangible assets subject to amortization.</w:t>
      </w:r>
    </w:p>
    <w:p>
      <w:pPr>
        <w:spacing w:after="0" w:line="112" w:lineRule="exact"/>
        <w:rPr>
          <w:rFonts w:ascii="Arial" w:cs="Arial" w:eastAsia="Arial" w:hAnsi="Arial"/>
          <w:sz w:val="17"/>
          <w:szCs w:val="17"/>
          <w:color w:val="auto"/>
        </w:rPr>
      </w:pPr>
    </w:p>
    <w:p>
      <w:pPr>
        <w:ind w:left="620" w:hanging="308"/>
        <w:spacing w:after="0" w:line="279" w:lineRule="auto"/>
        <w:tabs>
          <w:tab w:leader="none" w:pos="614" w:val="left"/>
        </w:tabs>
        <w:numPr>
          <w:ilvl w:val="1"/>
          <w:numId w:val="69"/>
        </w:numPr>
        <w:rPr>
          <w:rFonts w:ascii="Arial" w:cs="Arial" w:eastAsia="Arial" w:hAnsi="Arial"/>
          <w:sz w:val="17"/>
          <w:szCs w:val="17"/>
          <w:color w:val="auto"/>
        </w:rPr>
      </w:pPr>
      <w:r>
        <w:rPr>
          <w:rFonts w:ascii="Arial" w:cs="Arial" w:eastAsia="Arial" w:hAnsi="Arial"/>
          <w:sz w:val="17"/>
          <w:szCs w:val="17"/>
          <w:color w:val="auto"/>
        </w:rPr>
        <w:t>Operating expenses were adjusted to recognize an increase in depreciation expense resulting from the fair value adjustments to acquired property and equipment.</w:t>
      </w:r>
    </w:p>
    <w:p>
      <w:pPr>
        <w:spacing w:after="0" w:line="112" w:lineRule="exact"/>
        <w:rPr>
          <w:rFonts w:ascii="Arial" w:cs="Arial" w:eastAsia="Arial" w:hAnsi="Arial"/>
          <w:sz w:val="17"/>
          <w:szCs w:val="17"/>
          <w:color w:val="auto"/>
        </w:rPr>
      </w:pPr>
    </w:p>
    <w:p>
      <w:pPr>
        <w:jc w:val="both"/>
        <w:ind w:left="620" w:hanging="308"/>
        <w:spacing w:after="0" w:line="256" w:lineRule="auto"/>
        <w:tabs>
          <w:tab w:leader="none" w:pos="614"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adjustment to interest expense reflects (x) the elimination of interest expense incurred by Pre-Acquisition ZI related to the long-term debt included in Pre-Acquisition ZI’s historical financial statements, which was paid in full at the time of the Zoom Information Acquisition, and (y) the addition of interest expense as a result of borrowing $865.0 million under our first lien term loan facility and $370.0 million under our second lien term loan facility associated with the acquisition of Pre-Acquisition ZI and a refinancing of the term loans included in ZoomInfo OpCo’s historical financial statements, in each case as if the borrowings had occurred on January 1, 2019. Borrowings under our first lien term loan facility bear interest at LIBOR plus the applicable rate of 4.5% and borrowings under our second lien term loan facility bear interest at LIBOR plus the applicable rate of 8.5%. If the interest rates differed from the rates used in the pro forma interest expense by 0.125%, the pro forma interest expense adjustment would have increased or decreased by approximately $130,000.</w:t>
      </w:r>
    </w:p>
    <w:p>
      <w:pPr>
        <w:spacing w:after="0" w:line="134" w:lineRule="exact"/>
        <w:rPr>
          <w:rFonts w:ascii="Arial" w:cs="Arial" w:eastAsia="Arial" w:hAnsi="Arial"/>
          <w:sz w:val="17"/>
          <w:szCs w:val="17"/>
          <w:color w:val="auto"/>
        </w:rPr>
      </w:pPr>
    </w:p>
    <w:p>
      <w:pPr>
        <w:jc w:val="both"/>
        <w:ind w:left="620" w:hanging="308"/>
        <w:spacing w:after="0" w:line="266" w:lineRule="auto"/>
        <w:tabs>
          <w:tab w:leader="none" w:pos="614"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Direct, incremental transaction costs related to the Zoom Information Acquisition, which are reflected in our consolidated results of operations for the year ended December 31, 2019, are removed from restructuring and transaction related expenses as they will not have a continuing impact on the financial results of the combined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00" w:name="page101"/>
    <w:bookmarkEnd w:id="100"/>
    <w:p>
      <w:pPr>
        <w:jc w:val="both"/>
        <w:ind w:left="320" w:hanging="317"/>
        <w:spacing w:after="0" w:line="257" w:lineRule="auto"/>
        <w:tabs>
          <w:tab w:leader="none" w:pos="314" w:val="left"/>
        </w:tabs>
        <w:numPr>
          <w:ilvl w:val="0"/>
          <w:numId w:val="70"/>
        </w:numPr>
        <w:rPr>
          <w:rFonts w:ascii="Arial" w:cs="Arial" w:eastAsia="Arial" w:hAnsi="Arial"/>
          <w:sz w:val="17"/>
          <w:szCs w:val="17"/>
          <w:color w:val="auto"/>
        </w:rPr>
      </w:pPr>
      <w:r>
        <w:rPr>
          <w:rFonts w:ascii="Arial" w:cs="Arial" w:eastAsia="Arial" w:hAnsi="Arial"/>
          <w:sz w:val="17"/>
          <w:szCs w:val="17"/>
          <w:color w:val="auto"/>
        </w:rPr>
        <w:t>ZoomInfo OpCo is a limited liability company and is treated as a partnership for U.S. federal and most applicable state and local income tax purposes. As a result, it is not liable for U.S. federal or state and local income taxes in most jurisdictions in which we operate, and the income, expenses, gains and losses are reported on the returns of its members. It is subject to local income tax in certain jurisdictions in which it is not treated like a partnership, where it pays income taxes. Upon completion of the Reorganization Transactions, ZoomInfo Technologies Inc. became subject to U.S. federal income taxes, in addition to state and local taxes with respect to its allocable share of any taxable income from ZoomInfo OpCo. As a result, the unaudited pro forma consolidated statements of operations reflect adjustments to our income tax expense of $1.2 million for the year ended December 31, 2019 and 3.2 million for the nine months ended September 30, 2020.</w:t>
      </w:r>
    </w:p>
    <w:p>
      <w:pPr>
        <w:spacing w:after="0" w:line="131" w:lineRule="exact"/>
        <w:rPr>
          <w:rFonts w:ascii="Arial" w:cs="Arial" w:eastAsia="Arial" w:hAnsi="Arial"/>
          <w:sz w:val="17"/>
          <w:szCs w:val="17"/>
          <w:color w:val="auto"/>
        </w:rPr>
      </w:pPr>
    </w:p>
    <w:p>
      <w:pPr>
        <w:jc w:val="both"/>
        <w:ind w:left="320" w:hanging="317"/>
        <w:spacing w:after="0" w:line="258" w:lineRule="auto"/>
        <w:tabs>
          <w:tab w:leader="none" w:pos="317" w:val="left"/>
        </w:tabs>
        <w:numPr>
          <w:ilvl w:val="0"/>
          <w:numId w:val="70"/>
        </w:numPr>
        <w:rPr>
          <w:rFonts w:ascii="Arial" w:cs="Arial" w:eastAsia="Arial" w:hAnsi="Arial"/>
          <w:sz w:val="17"/>
          <w:szCs w:val="17"/>
          <w:color w:val="auto"/>
        </w:rPr>
      </w:pPr>
      <w:r>
        <w:rPr>
          <w:rFonts w:ascii="Arial" w:cs="Arial" w:eastAsia="Arial" w:hAnsi="Arial"/>
          <w:sz w:val="17"/>
          <w:szCs w:val="17"/>
          <w:color w:val="auto"/>
        </w:rPr>
        <w:t>Upon completion of the Reorganization Transactions, ZoomInfo Technologies Inc. had control over ZoomInfo HoldCo, which became the sole managing member of ZoomInfo OpCo. As a result, ZoomInfo Technologies Inc. owns approximately 94.6% of the economic interest in ZoomInfo HoldCo, but has 100% of the voting power and controls the management of ZoomInfo HoldCo, and ZoomInfo HoldCo owns approximately 30.5% of the economic interest in ZoomInfo OpCo, but has 100% of the voting power and controls the management of ZoomInfo OpCo. Immediately following the Reorganization Transactions, the ownership percentage held by the non-controlling interest and the net loss attributable to the non-controlling interest represented approximately 71.1% of net loss before the provision for income taxes.</w:t>
      </w:r>
    </w:p>
    <w:p>
      <w:pPr>
        <w:spacing w:after="0" w:line="129" w:lineRule="exact"/>
        <w:rPr>
          <w:rFonts w:ascii="Arial" w:cs="Arial" w:eastAsia="Arial" w:hAnsi="Arial"/>
          <w:sz w:val="17"/>
          <w:szCs w:val="17"/>
          <w:color w:val="auto"/>
        </w:rPr>
      </w:pPr>
    </w:p>
    <w:p>
      <w:pPr>
        <w:jc w:val="both"/>
        <w:ind w:left="320"/>
        <w:spacing w:after="0" w:line="259" w:lineRule="auto"/>
        <w:rPr>
          <w:rFonts w:ascii="Arial" w:cs="Arial" w:eastAsia="Arial" w:hAnsi="Arial"/>
          <w:sz w:val="17"/>
          <w:szCs w:val="17"/>
          <w:color w:val="auto"/>
        </w:rPr>
      </w:pPr>
      <w:r>
        <w:rPr>
          <w:rFonts w:ascii="Arial" w:cs="Arial" w:eastAsia="Arial" w:hAnsi="Arial"/>
          <w:sz w:val="17"/>
          <w:szCs w:val="17"/>
          <w:color w:val="auto"/>
        </w:rPr>
        <w:t>Upon completion of the Reorganization and IPO Transactions, ZoomInfo Technologies Inc. owned approximately 97.3% of the economic interest in ZoomInfo HoldCo, and retained 100% of the voting power and controlled the management of ZoomInfo HoldCo, and ZoomInfo HoldCo owned approximately 39.7% of the economic interest in ZoomInfo OpCo, and retained 100% of the voting power and control the management of ZoomInfo OpCo. Immediately following the IPO Transactions, the ownership percentage held by the non-controlling interest and the net loss attributable to the non-controlling interest represented approximately 61.4% of net loss before the provision for income taxes.</w:t>
      </w:r>
    </w:p>
    <w:p>
      <w:pPr>
        <w:spacing w:after="0" w:line="129"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Pro forma net income (loss) attributable to non-controlling interests as a result of the Reorganization Transactions is calculated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8"/>
        </w:trPr>
        <w:tc>
          <w:tcPr>
            <w:tcW w:w="3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Historical net income (loss) from ZoomInfo OpCo</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(78.0)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color w:val="auto"/>
              </w:rPr>
              <w:t>Historical net income from Pre-Acquisition ZI</w:t>
            </w:r>
          </w:p>
        </w:tc>
        <w:tc>
          <w:tcPr>
            <w:tcW w:w="120" w:type="dxa"/>
            <w:vAlign w:val="bottom"/>
          </w:tcPr>
          <w:p>
            <w:pPr>
              <w:spacing w:after="0"/>
              <w:rPr>
                <w:sz w:val="18"/>
                <w:szCs w:val="18"/>
                <w:color w:val="auto"/>
              </w:rPr>
            </w:pPr>
          </w:p>
        </w:tc>
        <w:tc>
          <w:tcPr>
            <w:tcW w:w="1720" w:type="dxa"/>
            <w:vAlign w:val="bottom"/>
          </w:tcPr>
          <w:p>
            <w:pPr>
              <w:jc w:val="right"/>
              <w:ind w:right="138"/>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from Zoom Information Acquisition</w:t>
            </w: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21.1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7"/>
                <w:szCs w:val="17"/>
                <w:color w:val="auto"/>
              </w:rPr>
              <w:t>Pro forma net income (loss) prior to the Reorganization Transactions</w:t>
            </w:r>
          </w:p>
        </w:tc>
        <w:tc>
          <w:tcPr>
            <w:tcW w:w="120" w:type="dxa"/>
            <w:vAlign w:val="bottom"/>
          </w:tcPr>
          <w:p>
            <w:pPr>
              <w:spacing w:after="0"/>
              <w:rPr>
                <w:sz w:val="18"/>
                <w:szCs w:val="18"/>
                <w:color w:val="auto"/>
              </w:rPr>
            </w:pPr>
          </w:p>
        </w:tc>
        <w:tc>
          <w:tcPr>
            <w:tcW w:w="1720" w:type="dxa"/>
            <w:vAlign w:val="bottom"/>
          </w:tcPr>
          <w:p>
            <w:pPr>
              <w:jc w:val="right"/>
              <w:ind w:right="98"/>
              <w:spacing w:after="0"/>
              <w:rPr>
                <w:sz w:val="20"/>
                <w:szCs w:val="20"/>
                <w:color w:val="auto"/>
              </w:rPr>
            </w:pPr>
            <w:r>
              <w:rPr>
                <w:rFonts w:ascii="Arial" w:cs="Arial" w:eastAsia="Arial" w:hAnsi="Arial"/>
                <w:sz w:val="17"/>
                <w:szCs w:val="17"/>
                <w:color w:val="auto"/>
              </w:rPr>
              <w:t>(56.1)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ind w:right="80"/>
              <w:spacing w:after="0"/>
              <w:rPr>
                <w:sz w:val="20"/>
                <w:szCs w:val="20"/>
                <w:color w:val="auto"/>
              </w:rPr>
            </w:pPr>
            <w:r>
              <w:rPr>
                <w:rFonts w:ascii="Arial" w:cs="Arial" w:eastAsia="Arial" w:hAnsi="Arial"/>
                <w:sz w:val="17"/>
                <w:szCs w:val="17"/>
                <w:color w:val="auto"/>
              </w:rPr>
              <w:t>(72.7)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 ownership immediately following the Reorganization Transactions</w:t>
            </w:r>
          </w:p>
        </w:tc>
        <w:tc>
          <w:tcPr>
            <w:tcW w:w="1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7080" w:type="dxa"/>
            <w:vAlign w:val="bottom"/>
          </w:tcPr>
          <w:p>
            <w:pPr>
              <w:ind w:left="200"/>
              <w:spacing w:after="0" w:line="148" w:lineRule="exact"/>
              <w:rPr>
                <w:sz w:val="20"/>
                <w:szCs w:val="20"/>
                <w:color w:val="auto"/>
              </w:rPr>
            </w:pPr>
            <w:r>
              <w:rPr>
                <w:rFonts w:ascii="Arial" w:cs="Arial" w:eastAsia="Arial" w:hAnsi="Arial"/>
                <w:sz w:val="17"/>
                <w:szCs w:val="17"/>
                <w:color w:val="auto"/>
              </w:rPr>
              <w:t>Net income (loss) attributable to non-controlling interests immediately following the</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vMerge w:val="restart"/>
          </w:tcPr>
          <w:p>
            <w:pPr>
              <w:jc w:val="right"/>
              <w:ind w:right="98"/>
              <w:spacing w:after="0"/>
              <w:rPr>
                <w:sz w:val="20"/>
                <w:szCs w:val="20"/>
                <w:color w:val="auto"/>
              </w:rPr>
            </w:pPr>
            <w:r>
              <w:rPr>
                <w:rFonts w:ascii="Arial" w:cs="Arial" w:eastAsia="Arial" w:hAnsi="Arial"/>
                <w:sz w:val="17"/>
                <w:szCs w:val="17"/>
                <w:color w:val="auto"/>
              </w:rPr>
              <w:t>(39.9)</w:t>
            </w:r>
          </w:p>
        </w:tc>
        <w:tc>
          <w:tcPr>
            <w:tcW w:w="80" w:type="dxa"/>
            <w:vAlign w:val="bottom"/>
          </w:tcPr>
          <w:p>
            <w:pPr>
              <w:spacing w:after="0"/>
              <w:rPr>
                <w:sz w:val="12"/>
                <w:szCs w:val="12"/>
                <w:color w:val="auto"/>
              </w:rPr>
            </w:pPr>
          </w:p>
        </w:tc>
        <w:tc>
          <w:tcPr>
            <w:tcW w:w="220" w:type="dxa"/>
            <w:vAlign w:val="bottom"/>
            <w:vMerge w:val="restart"/>
          </w:tcPr>
          <w:p>
            <w:pPr>
              <w:jc w:val="right"/>
              <w:ind w:right="34"/>
              <w:spacing w:after="0"/>
              <w:rPr>
                <w:sz w:val="20"/>
                <w:szCs w:val="20"/>
                <w:color w:val="auto"/>
              </w:rPr>
            </w:pPr>
            <w:r>
              <w:rPr>
                <w:rFonts w:ascii="Arial" w:cs="Arial" w:eastAsia="Arial" w:hAnsi="Arial"/>
                <w:sz w:val="17"/>
                <w:szCs w:val="17"/>
                <w:color w:val="auto"/>
                <w:w w:val="84"/>
              </w:rPr>
              <w:t>$</w:t>
            </w:r>
          </w:p>
        </w:tc>
        <w:tc>
          <w:tcPr>
            <w:tcW w:w="1640" w:type="dxa"/>
            <w:vAlign w:val="bottom"/>
            <w:vMerge w:val="restart"/>
          </w:tcPr>
          <w:p>
            <w:pPr>
              <w:jc w:val="right"/>
              <w:ind w:right="80"/>
              <w:spacing w:after="0"/>
              <w:rPr>
                <w:sz w:val="20"/>
                <w:szCs w:val="20"/>
                <w:color w:val="auto"/>
              </w:rPr>
            </w:pPr>
            <w:r>
              <w:rPr>
                <w:rFonts w:ascii="Arial" w:cs="Arial" w:eastAsia="Arial" w:hAnsi="Arial"/>
                <w:sz w:val="17"/>
                <w:szCs w:val="17"/>
                <w:color w:val="auto"/>
              </w:rPr>
              <w:t>(51.7)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6"/>
                <w:szCs w:val="16"/>
                <w:color w:val="auto"/>
              </w:rPr>
            </w:pPr>
          </w:p>
        </w:tc>
        <w:tc>
          <w:tcPr>
            <w:tcW w:w="7080" w:type="dxa"/>
            <w:vAlign w:val="bottom"/>
          </w:tcPr>
          <w:p>
            <w:pPr>
              <w:ind w:left="360"/>
              <w:spacing w:after="0" w:line="193" w:lineRule="exact"/>
              <w:rPr>
                <w:sz w:val="20"/>
                <w:szCs w:val="20"/>
                <w:color w:val="auto"/>
              </w:rPr>
            </w:pPr>
            <w:r>
              <w:rPr>
                <w:rFonts w:ascii="Arial" w:cs="Arial" w:eastAsia="Arial" w:hAnsi="Arial"/>
                <w:sz w:val="17"/>
                <w:szCs w:val="17"/>
                <w:color w:val="auto"/>
              </w:rPr>
              <w:t>Reorganization Transactions</w:t>
            </w:r>
          </w:p>
        </w:tc>
        <w:tc>
          <w:tcPr>
            <w:tcW w:w="12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jc w:val="right"/>
              <w:ind w:right="1616"/>
              <w:spacing w:after="0"/>
              <w:rPr>
                <w:sz w:val="20"/>
                <w:szCs w:val="20"/>
                <w:color w:val="auto"/>
              </w:rPr>
            </w:pPr>
            <w:r>
              <w:rPr>
                <w:rFonts w:ascii="Arial" w:cs="Arial" w:eastAsia="Arial" w:hAnsi="Arial"/>
                <w:sz w:val="17"/>
                <w:szCs w:val="17"/>
                <w:color w:val="auto"/>
              </w:rPr>
              <w:t>95</w:t>
            </w: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7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32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1" w:name="page102"/>
    <w:bookmarkEnd w:id="101"/>
    <w:p>
      <w:pPr>
        <w:ind w:left="320"/>
        <w:spacing w:after="0"/>
        <w:rPr>
          <w:sz w:val="20"/>
          <w:szCs w:val="20"/>
          <w:color w:val="auto"/>
        </w:rPr>
      </w:pPr>
      <w:r>
        <w:rPr>
          <w:rFonts w:ascii="Arial" w:cs="Arial" w:eastAsia="Arial" w:hAnsi="Arial"/>
          <w:sz w:val="17"/>
          <w:szCs w:val="17"/>
          <w:color w:val="auto"/>
        </w:rPr>
        <w:t>Pro forma net income (loss) attributable to non-controlling interests as a result of the IPO Transactions is calculated as follows: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6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8"/>
        </w:trPr>
        <w:tc>
          <w:tcPr>
            <w:tcW w:w="7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139"/>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4"/>
        </w:trPr>
        <w:tc>
          <w:tcPr>
            <w:tcW w:w="7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(loss) prior to the Reorganization Transactions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18"/>
        </w:trPr>
        <w:tc>
          <w:tcPr>
            <w:tcW w:w="71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Reduction in non-controlling interest ownership due to the IPO Transactions</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2"/>
        </w:trPr>
        <w:tc>
          <w:tcPr>
            <w:tcW w:w="71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Reduction in net income (loss) attributable to non-controlling interest due to the IPO Transactions</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adjustments to net income (loss) from the IPO Transactions</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8"/>
        </w:trPr>
        <w:tc>
          <w:tcPr>
            <w:tcW w:w="7160" w:type="dxa"/>
            <w:vAlign w:val="bottom"/>
          </w:tcPr>
          <w:p>
            <w:pPr>
              <w:spacing w:after="0"/>
              <w:rPr>
                <w:sz w:val="20"/>
                <w:szCs w:val="20"/>
                <w:color w:val="auto"/>
              </w:rPr>
            </w:pPr>
            <w:r>
              <w:rPr>
                <w:rFonts w:ascii="Arial" w:cs="Arial" w:eastAsia="Arial" w:hAnsi="Arial"/>
                <w:sz w:val="17"/>
                <w:szCs w:val="17"/>
                <w:color w:val="auto"/>
              </w:rPr>
              <w:t>Non-controlling interest ownership immediately following the IPO Transactions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61.4 %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61.4 %</w:t>
            </w:r>
          </w:p>
        </w:tc>
        <w:tc>
          <w:tcPr>
            <w:tcW w:w="0" w:type="dxa"/>
            <w:vAlign w:val="bottom"/>
          </w:tcPr>
          <w:p>
            <w:pPr>
              <w:spacing w:after="0"/>
              <w:rPr>
                <w:sz w:val="1"/>
                <w:szCs w:val="1"/>
                <w:color w:val="auto"/>
              </w:rPr>
            </w:pPr>
          </w:p>
        </w:tc>
      </w:tr>
      <w:tr>
        <w:trPr>
          <w:trHeight w:val="219"/>
        </w:trPr>
        <w:tc>
          <w:tcPr>
            <w:tcW w:w="71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2"/>
              </w:rPr>
              <w:t>Non-controlling interest in the pro forma adjustments to net income (loss) from the IPO Transactions</w:t>
            </w: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1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rPr>
              <w:t>Total net income (loss) attributable to non-controlling interest immediately following the IPO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vMerge w:val="restart"/>
            <w:shd w:val="clear" w:color="auto" w:fill="CCEEFF"/>
          </w:tcPr>
          <w:p>
            <w:pPr>
              <w:jc w:val="right"/>
              <w:ind w:right="118"/>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vMerge w:val="restart"/>
            <w:shd w:val="clear" w:color="auto" w:fill="CCEEFF"/>
          </w:tcPr>
          <w:p>
            <w:pPr>
              <w:jc w:val="right"/>
              <w:ind w:right="119"/>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CCEEFF"/>
            </w:tcBorders>
            <w:shd w:val="clear" w:color="auto" w:fill="CCEEFF"/>
          </w:tcPr>
          <w:p>
            <w:pPr>
              <w:ind w:left="360"/>
              <w:spacing w:after="0" w:line="193" w:lineRule="exact"/>
              <w:rPr>
                <w:sz w:val="20"/>
                <w:szCs w:val="20"/>
                <w:color w:val="auto"/>
              </w:rPr>
            </w:pPr>
            <w:r>
              <w:rPr>
                <w:rFonts w:ascii="Arial" w:cs="Arial" w:eastAsia="Arial" w:hAnsi="Arial"/>
                <w:sz w:val="17"/>
                <w:szCs w:val="17"/>
                <w:color w:val="auto"/>
              </w:rPr>
              <w:t>Transactions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left="320" w:hanging="317"/>
        <w:spacing w:after="0" w:line="266" w:lineRule="auto"/>
        <w:tabs>
          <w:tab w:leader="none" w:pos="311"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Reflects a reduction in interest expense of $39.3 million and $21.0 million for the year ended December 31, 2019 and nine months ended September 30, 2020, respectively, including the related accretion of original issue discount and amortization of deferred financing costs, as a result of the repayment of the second lien term loans, as if such repayment occurred on January 1, 2019.</w:t>
      </w:r>
    </w:p>
    <w:p>
      <w:pPr>
        <w:spacing w:after="0" w:line="122" w:lineRule="exact"/>
        <w:rPr>
          <w:rFonts w:ascii="Arial" w:cs="Arial" w:eastAsia="Arial" w:hAnsi="Arial"/>
          <w:sz w:val="17"/>
          <w:szCs w:val="17"/>
          <w:color w:val="auto"/>
        </w:rPr>
      </w:pPr>
    </w:p>
    <w:p>
      <w:pPr>
        <w:jc w:val="both"/>
        <w:ind w:left="320" w:hanging="317"/>
        <w:spacing w:after="0" w:line="261" w:lineRule="auto"/>
        <w:tabs>
          <w:tab w:leader="none" w:pos="31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basic and diluted pro forma net income (loss) per share of Class A and Class C common stock represents net income (loss) attributable to ZoomInfo Technologies Inc. divided by the combination of 98.1 million shares of Class C common stock owned by the Pre-IPO Blocker Holders after giving effect to the Reorganization Transactions and approximately 51.2 million shares of Class A common stock sold in the IPO. Other equity instruments that are convertible into our Class A common stock are excluded as they are anti-dilutive.</w:t>
      </w:r>
    </w:p>
    <w:p>
      <w:pPr>
        <w:spacing w:after="0" w:line="128" w:lineRule="exact"/>
        <w:rPr>
          <w:rFonts w:ascii="Arial" w:cs="Arial" w:eastAsia="Arial" w:hAnsi="Arial"/>
          <w:sz w:val="17"/>
          <w:szCs w:val="17"/>
          <w:color w:val="auto"/>
        </w:rPr>
      </w:pPr>
    </w:p>
    <w:p>
      <w:pPr>
        <w:ind w:left="320" w:hanging="317"/>
        <w:spacing w:after="0" w:line="279" w:lineRule="auto"/>
        <w:tabs>
          <w:tab w:leader="none" w:pos="31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shares of Class B common stock do not share in our earnings and are therefore not included in the weighted-average shares outstanding or net loss per share.</w:t>
      </w:r>
    </w:p>
    <w:p>
      <w:pPr>
        <w:spacing w:after="0" w:line="112" w:lineRule="exact"/>
        <w:rPr>
          <w:rFonts w:ascii="Arial" w:cs="Arial" w:eastAsia="Arial" w:hAnsi="Arial"/>
          <w:sz w:val="17"/>
          <w:szCs w:val="17"/>
          <w:color w:val="auto"/>
        </w:rPr>
      </w:pPr>
    </w:p>
    <w:p>
      <w:pPr>
        <w:jc w:val="both"/>
        <w:ind w:left="320" w:hanging="317"/>
        <w:spacing w:after="0" w:line="274" w:lineRule="auto"/>
        <w:tabs>
          <w:tab w:leader="none" w:pos="3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Reflects the increased equity-based compensation expense after giving effect to the completion of the IPO. The adjustments to the unaudited pro forma consolidated statements of operations reflect the additional expense that we expect to record that will have a continuing impact on the Company’s operations and excludes the expense that will be incurred as an immediate result of the IPO. See “Management’s Discussion and Analysis of Financial Condition and Results of Operations—Critical Accounting Policies and Estimates—Equity-Based Compensation” for additional information. As discussed in the notes to the unaudited pro forma consolidated statements of operations, certain Class P Units have accelerated vesting upon completion of the IPO, and additional expense for the HSKB Incentive Units and HSKB Phantom awards is recorded in periods following the IPO in accordance with the time vesting provisions of the applicable underlying awards once the units can be exchanged for common stock in the Company after an initial public offering. Previously, the awards only vested upon a sale of 90% of the equity of ZoomInfo OpCo.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SELECTED HISTORICAL CONSOLIDATED FINANCIAL DATA</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following tables present the selected historical consolidated financial data for ZoomInfo OpCo and its subsidiaries and ZoomInfo Technologies Inc. and its subsidiaries for the periods and the dates indicated. ZoomInfo Technologies Inc. is a holding company, and its sole material asset is a controlling equity interest in ZoomInfo HoldCo, which is a holding company whose sole material asset is a controlling equity interest in ZoomInfo OpCo. ZoomInfo Technologies Inc. operates and controls all of the business and affairs of ZoomInfo OpCo through ZoomInfo HoldCo and, through ZoomInfo OpCo and its subsidiaries, conducts our business. ZoomInfo OpCo is the predecessor of ZoomInfo Technologies Inc. for financial reporting purposes following the completion of the IPO. As a result, the consolidated financial statements of ZoomInfo Technologies Inc. recognized the assets and liabilities received in the reorganization at their historical carrying amounts, as reflected in the historical financial statements of ZoomInfo OpCo. ZoomInfo Technologies Inc. consolidates ZoomInfo OpCo through ZoomInfo HoldCo in its consolidated financial statements and records a non-controlling interest related to the OpCo Units and HoldCo Units held by our pre-IPO owners on its consolidated balance sheet and statement of operations.</w:t>
      </w:r>
    </w:p>
    <w:p>
      <w:pPr>
        <w:spacing w:after="0" w:line="118"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selected consolidated statements of operations data and selected consolidated statements of cash flows data presented below for the years ended December 31, 2018 and December 31, 2019 and the selected consolidated balance sheet data presented below as of December 31, 2018 and December 31, 2019 have been derived from the consolidated financial statements of ZoomInfo OpCo included elsewhere in this prospectus. The selected historical consolidated financial information of ZoomInfo Technologies Inc. as of September 30, 2020 and for the nine months ended September 30, 2019 and 2020 was derived from the unaudited consolidated financial statements of ZoomInfo Technologies Inc. included elsewhere in this prospectus. The unaudited consolidated financial statements of ZoomInfo Technologies Inc.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18"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Historical results are not necessarily indicative of the results expected for any future period. You should read the selected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“Summary—Summary Historical and Pro Forma Financial and Other Data,” “Organizational Structure,” “Unaudited Pro Forma Combined and Consolidated Financial Information,” “Management’s Discussion and Analysis of Financial Condition and Results of Operations,” “Description of Certain Indebtedness,” and the other financial information appearing elsewhere in this prospectus.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288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79"/>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32"/>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144.3</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293.3</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336.5</w:t>
            </w:r>
          </w:p>
        </w:tc>
      </w:tr>
      <w:tr>
        <w:trPr>
          <w:trHeight w:val="220"/>
        </w:trPr>
        <w:tc>
          <w:tcPr>
            <w:tcW w:w="470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r>
      <w:tr>
        <w:trPr>
          <w:trHeight w:val="218"/>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255.6</w:t>
            </w:r>
          </w:p>
        </w:tc>
      </w:tr>
      <w:tr>
        <w:trPr>
          <w:trHeight w:val="187"/>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700" w:type="dxa"/>
            <w:vAlign w:val="bottom"/>
          </w:tcPr>
          <w:p>
            <w:pPr>
              <w:ind w:left="220"/>
              <w:spacing w:after="0" w:line="219"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90.2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139.7</w:t>
            </w:r>
          </w:p>
        </w:tc>
      </w:tr>
      <w:tr>
        <w:trPr>
          <w:trHeight w:val="219"/>
        </w:trPr>
        <w:tc>
          <w:tcPr>
            <w:tcW w:w="470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r>
      <w:tr>
        <w:trPr>
          <w:trHeight w:val="219"/>
        </w:trPr>
        <w:tc>
          <w:tcPr>
            <w:tcW w:w="4700" w:type="dxa"/>
            <w:vAlign w:val="bottom"/>
          </w:tcPr>
          <w:p>
            <w:pPr>
              <w:ind w:left="220"/>
              <w:spacing w:after="0" w:line="21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45.3</w:t>
            </w:r>
          </w:p>
        </w:tc>
      </w:tr>
      <w:tr>
        <w:trPr>
          <w:trHeight w:val="219"/>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848"/>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477"/>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51"/>
        </w:trPr>
        <w:tc>
          <w:tcPr>
            <w:tcW w:w="4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288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79"/>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51"/>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Restructuring and transaction-related expenses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r>
      <w:tr>
        <w:trPr>
          <w:trHeight w:val="213"/>
        </w:trPr>
        <w:tc>
          <w:tcPr>
            <w:tcW w:w="4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248.1</w:t>
            </w:r>
          </w:p>
        </w:tc>
      </w:tr>
      <w:tr>
        <w:trPr>
          <w:trHeight w:val="21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r>
      <w:tr>
        <w:trPr>
          <w:trHeight w:val="187"/>
        </w:trPr>
        <w:tc>
          <w:tcPr>
            <w:tcW w:w="4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59.3</w:t>
            </w: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debt extinguishment</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19"/>
        </w:trPr>
        <w:tc>
          <w:tcPr>
            <w:tcW w:w="4700" w:type="dxa"/>
            <w:vAlign w:val="bottom"/>
          </w:tcPr>
          <w:p>
            <w:pPr>
              <w:ind w:left="220"/>
              <w:spacing w:after="0" w:line="219" w:lineRule="exact"/>
              <w:rPr>
                <w:sz w:val="20"/>
                <w:szCs w:val="20"/>
                <w:color w:val="auto"/>
              </w:rPr>
            </w:pPr>
            <w:r>
              <w:rPr>
                <w:rFonts w:ascii="Arial" w:cs="Arial" w:eastAsia="Arial" w:hAnsi="Arial"/>
                <w:sz w:val="17"/>
                <w:szCs w:val="17"/>
                <w:color w:val="auto"/>
              </w:rPr>
              <w:t xml:space="preserve">Other (income) expenses, net </w:t>
            </w:r>
            <w:r>
              <w:rPr>
                <w:rFonts w:ascii="Arial" w:cs="Arial" w:eastAsia="Arial" w:hAnsi="Arial"/>
                <w:sz w:val="22"/>
                <w:szCs w:val="22"/>
                <w:color w:val="auto"/>
                <w:vertAlign w:val="superscript"/>
              </w:rPr>
              <w:t>(2)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r>
      <w:tr>
        <w:trPr>
          <w:trHeight w:val="187"/>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Benefit (expense) from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Pro forma:</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per share information (unaudited)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Provision for income taxes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w w:val="98"/>
              </w:rPr>
              <w:t>Net income (loss) attributable to ZoomInfo Technologies Inc.</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(31.3)</w:t>
            </w: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 and diluted net income (loss) per share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w:t>
            </w: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Shares used in basic and diluted per share calculations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150,160,371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150,160,371</w:t>
            </w:r>
          </w:p>
        </w:tc>
      </w:tr>
      <w:tr>
        <w:trPr>
          <w:trHeight w:val="207"/>
        </w:trPr>
        <w:tc>
          <w:tcPr>
            <w:tcW w:w="4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Balance Sheet Data (at period end):</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1,561.9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2,048.5</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(including current portion)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744.3</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Unearned revenue (including current portion)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176.0</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1,228.0</w:t>
            </w: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Temporary equity</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Permanent equity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820.5</w:t>
            </w:r>
          </w:p>
        </w:tc>
      </w:tr>
      <w:tr>
        <w:trPr>
          <w:trHeight w:val="206"/>
        </w:trPr>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Cash Flows Data: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43.8</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102.7</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7"/>
        </w:trPr>
        <w:tc>
          <w:tcPr>
            <w:tcW w:w="4700" w:type="dxa"/>
            <w:vAlign w:val="bottom"/>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172.6</w:t>
            </w:r>
          </w:p>
        </w:tc>
      </w:tr>
      <w:tr>
        <w:trPr>
          <w:trHeight w:val="850"/>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476"/>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51"/>
        </w:trPr>
        <w:tc>
          <w:tcPr>
            <w:tcW w:w="4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__________________</w:t>
      </w:r>
    </w:p>
    <w:p>
      <w:pPr>
        <w:spacing w:after="0" w:line="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1"/>
          <w:szCs w:val="11"/>
          <w:color w:val="auto"/>
        </w:rPr>
        <w:t>Includes equity-based compensation expense, as follows:</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r>
      <w:tr>
        <w:trPr>
          <w:trHeight w:val="24"/>
        </w:trPr>
        <w:tc>
          <w:tcPr>
            <w:tcW w:w="4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r>
      <w:tr>
        <w:trPr>
          <w:trHeight w:val="195"/>
        </w:trPr>
        <w:tc>
          <w:tcPr>
            <w:tcW w:w="4060" w:type="dxa"/>
            <w:vAlign w:val="bottom"/>
          </w:tcPr>
          <w:p>
            <w:pPr>
              <w:spacing w:after="0"/>
              <w:rPr>
                <w:sz w:val="20"/>
                <w:szCs w:val="20"/>
                <w:color w:val="auto"/>
              </w:rPr>
            </w:pPr>
            <w:r>
              <w:rPr>
                <w:rFonts w:ascii="Arial" w:cs="Arial" w:eastAsia="Arial" w:hAnsi="Arial"/>
                <w:sz w:val="14"/>
                <w:szCs w:val="14"/>
                <w:color w:val="auto"/>
              </w:rPr>
              <w:t>Cost of service</w:t>
            </w:r>
          </w:p>
        </w:tc>
        <w:tc>
          <w:tcPr>
            <w:tcW w:w="360" w:type="dxa"/>
            <w:vAlign w:val="bottom"/>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4060" w:type="dxa"/>
            <w:vAlign w:val="bottom"/>
          </w:tcPr>
          <w:p>
            <w:pPr>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17"/>
                <w:szCs w:val="17"/>
                <w:color w:val="auto"/>
              </w:rPr>
            </w:pPr>
          </w:p>
        </w:tc>
      </w:tr>
      <w:tr>
        <w:trPr>
          <w:trHeight w:val="206"/>
        </w:trPr>
        <w:tc>
          <w:tcPr>
            <w:tcW w:w="406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7"/>
                <w:szCs w:val="17"/>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8"/>
                <w:szCs w:val="18"/>
                <w:color w:val="auto"/>
              </w:rPr>
            </w:pPr>
          </w:p>
        </w:tc>
      </w:tr>
      <w:tr>
        <w:trPr>
          <w:trHeight w:val="180"/>
        </w:trPr>
        <w:tc>
          <w:tcPr>
            <w:tcW w:w="4060" w:type="dxa"/>
            <w:vAlign w:val="bottom"/>
          </w:tcPr>
          <w:p>
            <w:pPr>
              <w:ind w:left="12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-416560</wp:posOffset>
            </wp:positionV>
            <wp:extent cx="6615430" cy="1308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15430" cy="13081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-154940</wp:posOffset>
            </wp:positionV>
            <wp:extent cx="6615430" cy="1390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5430" cy="13906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-686435</wp:posOffset>
            </wp:positionV>
            <wp:extent cx="6615430" cy="1390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15430" cy="139065"/>
                    </a:xfrm>
                    <a:prstGeom prst="rect">
                      <a:avLst/>
                    </a:prstGeom>
                    <a:noFill/>
                  </pic:spPr>
                </pic:pic>
              </a:graphicData>
            </a:graphic>
          </wp:anchor>
        </w:drawing>
      </w:r>
    </w:p>
    <w:p>
      <w:pPr>
        <w:spacing w:after="0" w:line="193" w:lineRule="exact"/>
        <w:rPr>
          <w:sz w:val="20"/>
          <w:szCs w:val="20"/>
          <w:color w:val="auto"/>
        </w:rPr>
      </w:pPr>
    </w:p>
    <w:p>
      <w:pPr>
        <w:ind w:left="300" w:hanging="297"/>
        <w:spacing w:after="0"/>
        <w:tabs>
          <w:tab w:leader="none" w:pos="3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Primarily represents revaluations on tax receivable agreement liability and foreign exchange remeasurement gains and losses.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18415</wp:posOffset>
            </wp:positionV>
            <wp:extent cx="19869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86915" cy="8255"/>
                    </a:xfrm>
                    <a:prstGeom prst="rect">
                      <a:avLst/>
                    </a:prstGeom>
                    <a:noFill/>
                  </pic:spPr>
                </pic:pic>
              </a:graphicData>
            </a:graphic>
          </wp:anchor>
        </w:drawing>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1000" w:type="dxa"/>
            <w:vAlign w:val="bottom"/>
          </w:tcPr>
          <w:p>
            <w:pPr>
              <w:jc w:val="right"/>
              <w:ind w:right="651"/>
              <w:spacing w:after="0"/>
              <w:rPr>
                <w:sz w:val="20"/>
                <w:szCs w:val="20"/>
                <w:color w:val="auto"/>
              </w:rPr>
            </w:pPr>
            <w:r>
              <w:rPr>
                <w:rFonts w:ascii="Arial" w:cs="Arial" w:eastAsia="Arial" w:hAnsi="Arial"/>
                <w:sz w:val="14"/>
                <w:szCs w:val="14"/>
                <w:b w:val="1"/>
                <w:bCs w:val="1"/>
                <w:color w:val="auto"/>
                <w:w w:val="83"/>
              </w:rPr>
              <w:t>2019</w:t>
            </w:r>
          </w:p>
        </w:tc>
        <w:tc>
          <w:tcPr>
            <w:tcW w:w="340" w:type="dxa"/>
            <w:vAlign w:val="bottom"/>
          </w:tcPr>
          <w:p>
            <w:pPr>
              <w:spacing w:after="0"/>
              <w:rPr>
                <w:sz w:val="15"/>
                <w:szCs w:val="15"/>
                <w:color w:val="auto"/>
              </w:rPr>
            </w:pPr>
          </w:p>
        </w:tc>
        <w:tc>
          <w:tcPr>
            <w:tcW w:w="11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000" w:type="dxa"/>
            <w:vAlign w:val="bottom"/>
          </w:tcPr>
          <w:p>
            <w:pPr>
              <w:jc w:val="right"/>
              <w:ind w:right="91"/>
              <w:spacing w:after="0"/>
              <w:rPr>
                <w:sz w:val="20"/>
                <w:szCs w:val="20"/>
                <w:color w:val="auto"/>
              </w:rPr>
            </w:pPr>
            <w:r>
              <w:rPr>
                <w:rFonts w:ascii="Arial" w:cs="Arial" w:eastAsia="Arial" w:hAnsi="Arial"/>
                <w:sz w:val="14"/>
                <w:szCs w:val="14"/>
                <w:color w:val="auto"/>
              </w:rPr>
              <w:t>2.9</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6"/>
        </w:trPr>
        <w:tc>
          <w:tcPr>
            <w:tcW w:w="1000" w:type="dxa"/>
            <w:vAlign w:val="bottom"/>
          </w:tcPr>
          <w:p>
            <w:pPr>
              <w:jc w:val="right"/>
              <w:ind w:right="91"/>
              <w:spacing w:after="0"/>
              <w:rPr>
                <w:sz w:val="20"/>
                <w:szCs w:val="20"/>
                <w:color w:val="auto"/>
              </w:rPr>
            </w:pPr>
            <w:r>
              <w:rPr>
                <w:rFonts w:ascii="Arial" w:cs="Arial" w:eastAsia="Arial" w:hAnsi="Arial"/>
                <w:sz w:val="14"/>
                <w:szCs w:val="14"/>
                <w:color w:val="auto"/>
              </w:rPr>
              <w:t>7.2</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06"/>
        </w:trPr>
        <w:tc>
          <w:tcPr>
            <w:tcW w:w="1000" w:type="dxa"/>
            <w:vAlign w:val="bottom"/>
          </w:tcPr>
          <w:p>
            <w:pPr>
              <w:jc w:val="right"/>
              <w:ind w:right="91"/>
              <w:spacing w:after="0"/>
              <w:rPr>
                <w:sz w:val="20"/>
                <w:szCs w:val="20"/>
                <w:color w:val="auto"/>
              </w:rPr>
            </w:pPr>
            <w:r>
              <w:rPr>
                <w:rFonts w:ascii="Arial" w:cs="Arial" w:eastAsia="Arial" w:hAnsi="Arial"/>
                <w:sz w:val="14"/>
                <w:szCs w:val="14"/>
                <w:color w:val="auto"/>
              </w:rPr>
              <w:t>3.4</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6"/>
        </w:trPr>
        <w:tc>
          <w:tcPr>
            <w:tcW w:w="1000" w:type="dxa"/>
            <w:vAlign w:val="bottom"/>
          </w:tcPr>
          <w:p>
            <w:pPr>
              <w:jc w:val="right"/>
              <w:ind w:right="91"/>
              <w:spacing w:after="0"/>
              <w:rPr>
                <w:sz w:val="20"/>
                <w:szCs w:val="20"/>
                <w:color w:val="auto"/>
              </w:rPr>
            </w:pPr>
            <w:r>
              <w:rPr>
                <w:rFonts w:ascii="Arial" w:cs="Arial" w:eastAsia="Arial" w:hAnsi="Arial"/>
                <w:sz w:val="14"/>
                <w:szCs w:val="14"/>
                <w:color w:val="auto"/>
              </w:rPr>
              <w:t>3.6</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4"/>
        </w:trPr>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17.1</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000" w:type="dxa"/>
            <w:vAlign w:val="bottom"/>
            <w:vMerge w:val="continue"/>
          </w:tcPr>
          <w:p>
            <w:pPr>
              <w:spacing w:after="0"/>
              <w:rPr>
                <w:sz w:val="14"/>
                <w:szCs w:val="14"/>
                <w:color w:val="auto"/>
              </w:rPr>
            </w:pP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2"/>
        </w:trPr>
        <w:tc>
          <w:tcPr>
            <w:tcW w:w="1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-7620</wp:posOffset>
            </wp:positionV>
            <wp:extent cx="9652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65200" cy="8255"/>
                    </a:xfrm>
                    <a:prstGeom prst="rect">
                      <a:avLst/>
                    </a:prstGeom>
                    <a:noFill/>
                  </pic:spPr>
                </pic:pic>
              </a:graphicData>
            </a:graphic>
          </wp:anchor>
        </w:drawing>
      </w:r>
    </w:p>
    <w:p>
      <w:pPr>
        <w:sectPr>
          <w:pgSz w:w="11900" w:h="16838" w:orient="portrait"/>
          <w:cols w:equalWidth="0" w:num="2">
            <w:col w:w="7680" w:space="460"/>
            <w:col w:w="2580"/>
          </w:cols>
          <w:pgMar w:left="320" w:top="1357" w:right="8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7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prospectus, as well as the information presented under “Selected Historical Consolidated Financial Data” and “Unaudited Pro Forma Combined and Consolidated Financial Information.”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“Forward-Looking Statements” included elsewhere in this prospectus.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90170</wp:posOffset>
            </wp:positionV>
            <wp:extent cx="5102225" cy="28619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02225" cy="286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06" w:name="page107"/>
    <w:bookmarkEnd w:id="106"/>
    <w:p>
      <w:pPr>
        <w:jc w:val="both"/>
        <w:ind w:firstLine="309"/>
        <w:spacing w:after="0" w:line="283" w:lineRule="auto"/>
        <w:rPr>
          <w:sz w:val="20"/>
          <w:szCs w:val="20"/>
          <w:color w:val="auto"/>
        </w:rPr>
      </w:pPr>
      <w:r>
        <w:rPr>
          <w:rFonts w:ascii="Arial" w:cs="Arial" w:eastAsia="Arial" w:hAnsi="Arial"/>
          <w:sz w:val="16"/>
          <w:szCs w:val="16"/>
          <w:color w:val="auto"/>
        </w:rPr>
        <w:t>We offer access to our platform on a subscription basis and we generate substantially all of our revenue from sales of subscriptions, which accounted for 99% of revenue for the year ended December 31, 2019. Our subscription fees include the use of our platform and access to customer support. Subscriptions generally range from one to three years in length with over 25% of our ACV being under multi-year agreements. We typically bill our customers at the beginning of each annual, semi-annual, or quarterly period and recognize revenue ratably over the term of the subscription period.</w:t>
      </w:r>
    </w:p>
    <w:p>
      <w:pPr>
        <w:spacing w:after="0" w:line="11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06"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Our software, insights, and data enable over 17,000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Many of our customers are software and business services companies. In 2019, approximately 39% and 29% of our customers, as measured by ACV, operated in the software and business services industries, respectively. In 2019, less than 4% of our customers, as measured by ACV, operated in the retail, restaurant, hotel, hospitality, consumer discretionary, airline, or oil and gas industries. Our net annual retention rate was 102% and 109% in 2018 and 2019, respectively. We realized improved net annual retention across all customer types, with a net annual retention rate for enterprise customers, defined as having 1,000 or more employees, of 127% in 2019, an increase from 125% in 2018. While retention activity improved during the nine months ended September 30, 2020, relative to the nine months ended September 30, 2019, we expect our net annual retention rate to face headwinds in 2020 due to the impact of COVID-19 and associated challenges with increasing sales to existing customers as sales cycles lengthen for larger deals.</w:t>
      </w:r>
    </w:p>
    <w:p>
      <w:pPr>
        <w:spacing w:after="0" w:line="12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For the year ended December 31, 2019, no single customer contributed more than 1% of revenue. We generate less than 10% of revenue from customers outside the United States. As of December 31, 2018, over 380 customers of ZoomInfo and Pre-Acquisition ZI spent more than $100,000 in ACV on a combined basis. As of December 31, 2019, over 580 of our customers spent more than $100,000 in ACV. As of September 30, 2019 and September 30, 2020, over 520 and 720 of our customers, respectively, spent more than $100,000 in ACV.</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 address our market opportunity, we have built and continue to tune our efficient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123"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have experienced rapid organic growth, supplemented by additional growth from acquisitions. We generated revenue of $293.3 million for the year ended December 31, 2019 and Pre-Acquisition ZI generated $9.7 million in revenue for the one-month period ended January 31, 2019 before the Zoom Information Acquisition, as compared to revenue for the year ended December 31, 2018 of $144.3 million and $72.5 million generated by us and Pre-Acquisition ZI, respectively. We generated revenue of $336.5 million for the nine months ended September 30, 2020 as compared to revenue of $202.2 million generated by us for the nine months ended September 30, 2019 and revenue of $9.7 million generated by Pre-Acquisition ZI for the one-month period ended January 31, 2019.</w:t>
      </w:r>
    </w:p>
    <w:p>
      <w:pPr>
        <w:spacing w:after="0" w:line="100"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and Adjusted Net Income. See “—Non-GAAP Financial Measures.” We generated Allocated Combined Receipts of $336.0 million for the year ended December 31, 2019, as compared to $241.2 million in 2018, and $338.4 million for the nine months ended September 30, 2020, as compared to $239.9 million for the nine months ended September 30, 2019. Our Adjusted Operating Income was $167.1 million for the year ended December 31, 2019, as compared to $83.7 million in 2018, and was $162.6 million for the nine months ended September 30, 2020, as compared to $120.0 million in the nine months ended September 30, 2019. Our Adjusted Operating Income Margin was 51% for the year ended December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7" w:name="page108"/>
    <w:bookmarkEnd w:id="107"/>
    <w:p>
      <w:pPr>
        <w:jc w:val="both"/>
        <w:spacing w:after="0" w:line="261" w:lineRule="auto"/>
        <w:rPr>
          <w:sz w:val="20"/>
          <w:szCs w:val="20"/>
          <w:color w:val="auto"/>
        </w:rPr>
      </w:pPr>
      <w:r>
        <w:rPr>
          <w:rFonts w:ascii="Arial" w:cs="Arial" w:eastAsia="Arial" w:hAnsi="Arial"/>
          <w:sz w:val="17"/>
          <w:szCs w:val="17"/>
          <w:color w:val="auto"/>
        </w:rPr>
        <w:t>31, 2019, as compared to 57% in 2018, and was 48% for the nine months ended September 30, 2020, as compared to 52% for the nine months ended September 30, 2019. Allocated Combined Receipts includes activity from Pre-Acquisition ZI and other acquisitions during the periods prior to our ownership of them in 2018, 2019, and the nine months ended September 30, 2019. Adjusted Operating Income and Adjusted Operating Margin do not include results of operations from acquired entities before their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ZoomInfo Technologies Inc. was incorporated in November 2019 and, pursuant to a reorganization, became a holding corporation, the principal asset of which is a controlling interest in ZoomInfo HoldCo, which holds a controlling interest in ZoomInfo OpCo. ZoomInfo Technologies Inc. operates and controls all of the business and affairs of ZoomInfo OpCo through ZoomInfo HoldCo and, through ZoomInfo OpCo and its subsidiaries, conducts our business. ZoomInfo Technologies Inc. will consolidate ZoomInfo OpCo through ZoomInfo HoldCo in its consolidated financial statements and will report a non-controlling interest related to the OpCo Units or HoldCo Units held by our pre-IPO owners in our consolidated financial statements.</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connection with the Reorganization Transactions, we executed several reorganization transactions described under “Organizational Structure,” as a result of which the limited liability company agreement of ZoomInfo OpCo was amended and restated to, among other things, reclassify its outstanding preferred and common units into a new class of units that we refer to as “OpCo Units.” A portion of the Class P Units that are held by the Continuing Class P Unitholders remain as Class P Units. Pursuant to the amended and restated limited liability company agreements of ZoomInfo HoldCo and ZoomInfo OpCo, as applicable, the management of ZoomInfo HoldCo is vested in its manager and ZoomInfo HoldCo is the sole managing member of ZoomInfo OpCo.</w:t>
      </w:r>
    </w:p>
    <w:p>
      <w:pPr>
        <w:spacing w:after="0" w:line="11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Pursuant to the amended and restated limited liability company agreement of ZoomInfo OpCo, the Pre-IPO OpCo Unitholders (or certain permitted transferees)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See “Organizational Structure” and “Certain Relationships and Related Person Transactions.”</w:t>
      </w:r>
    </w:p>
    <w:p>
      <w:pPr>
        <w:spacing w:after="0" w:line="13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12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Pre-IPO OpCo Unitholders and the Pre-IPO HoldCo Unitholders that held voting units before the IPO Transactions and that continue to hold OpCo Units or HoldCo Units, as applicable,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8" w:name="page109"/>
    <w:bookmarkEnd w:id="108"/>
    <w:p>
      <w:pPr>
        <w:jc w:val="both"/>
        <w:spacing w:after="0" w:line="259" w:lineRule="auto"/>
        <w:rPr>
          <w:sz w:val="20"/>
          <w:szCs w:val="20"/>
          <w:color w:val="auto"/>
        </w:rPr>
      </w:pPr>
      <w:r>
        <w:rPr>
          <w:rFonts w:ascii="Arial" w:cs="Arial" w:eastAsia="Arial" w:hAnsi="Arial"/>
          <w:sz w:val="17"/>
          <w:szCs w:val="17"/>
          <w:color w:val="auto"/>
        </w:rPr>
        <w:t>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Holders of outstanding shares of our Class A common stock, Class B common stock, and Class C common stock vote as a single class on all matters on which stockholders are entitled to vote generally, except as otherwise required by law. See “Description of Capital Stock—Common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that the growth and future success of our business depends on many factors, including the following: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Continuing to Acquire New Customers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are focused on continuing to grow the number of customers that use our platform.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 As of December 31, 2018, we had over 11,000 customers on a combined basis, including non-overlapping customers of Pre-Acquisition ZI. As of December 31, 2019, we had over 14,000 customers. As of September 30, 2019 and September 30, 2020, we had over 13,000 and 17,000 customers, respectively. We define a customer as a company that maintains one or more active paid subscriptions to our platform.</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Delivering Additional High-Value Solutions to Our Existing Customers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Expanding Relationships with Existing Customers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ability to expand relationships with existing customers and delivering additional high-value solutions is demonstrated by our net annual retention rate. Our net annual retention rate for the years ended December 31, 2018 and 2019 was 102% and 109%, respectively. We realized improved net annual retention across all customer types, with a net annual retention rate for enterprise customers, defined as having 1,000 or more employees, of 127% in 2019, an increase from 125% in 2018. The net annual retention rate for mid-market customers, defined as having 100 to 999 employees, was 112% in 2019, as compared to 105% in 2018, and the net annual retention rate for small business customers, defined as having fewer than 100 employees, was 87% in 2019, as compared to 78% in 2018. We define annual net revenue retention as the total ACV generated by our customers and customers of Pre-Acquisition ZI at the end of the year divided by the ACV generated by the same group of customers at the end of the prior year. We believe that our ability to retain and grow the subscription revenue generated from our existing customers is an indicator of the long-term value of our customer relationships.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Adjusted EBITDA, and Adjusted Net Income, which are used by management in making operating decisions, allocating financial resources, internal planning and forecasting, and for business strategy purposes. We believe that non-GAAP financial information is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9" w:name="page110"/>
    <w:bookmarkEnd w:id="109"/>
    <w:p>
      <w:pPr>
        <w:jc w:val="both"/>
        <w:spacing w:after="0" w:line="266" w:lineRule="auto"/>
        <w:rPr>
          <w:sz w:val="20"/>
          <w:szCs w:val="20"/>
          <w:color w:val="auto"/>
        </w:rPr>
      </w:pPr>
      <w:r>
        <w:rPr>
          <w:rFonts w:ascii="Arial" w:cs="Arial" w:eastAsia="Arial" w:hAnsi="Arial"/>
          <w:sz w:val="17"/>
          <w:szCs w:val="17"/>
          <w:color w:val="auto"/>
        </w:rPr>
        <w:t>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view Allocated Combined Receipts, Adjusted Operating Income, Adjusted Operating Income Margin, Adjusted EBITDA, and Adjusted Net Income as operating performance measures. We believe that the most directly comparable GAAP financial measure to Allocated Combined Receipts is GAAP revenue. We believe that the most directly comparable GAAP financial measure to Adjusted Operating Income is GAAP operating income. We believe that the most directly comparable GAAP finance measure to Adjusted Operating Income Margin is GAAP operating income divided by GAAP revenue. We believe that the most directly comparable GAAP financial measure to Adjusted EBITDA and Adjusted Net Income is GAAP Net Income.</w:t>
      </w:r>
    </w:p>
    <w:p>
      <w:pPr>
        <w:spacing w:after="0" w:line="11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Allocated Combined Receipts</w:t>
      </w:r>
    </w:p>
    <w:p>
      <w:pPr>
        <w:spacing w:after="0" w:line="165"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w:t>
      </w:r>
    </w:p>
    <w:p>
      <w:pPr>
        <w:jc w:val="both"/>
        <w:ind w:firstLine="3"/>
        <w:spacing w:after="0" w:line="254" w:lineRule="auto"/>
        <w:tabs>
          <w:tab w:leader="none" w:pos="30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has been useful to investors because it has illustrated the trends in our organic revenue growth and allowed investors to analyze the drivers of revenue on the same basis as management. Since our Allocated Combined Receipts has converged over time with our GAAP revenue, we do not expect to continue reporting Allocated Combined Receipts following the third quarter of 2020.</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Allocated Combined Receipts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8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88"/>
              </w:rPr>
              <w:t>Nine Months Ended September 30,</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3"/>
              </w:rPr>
              <w:t>293.3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336.5</w:t>
            </w:r>
          </w:p>
        </w:tc>
        <w:tc>
          <w:tcPr>
            <w:tcW w:w="0" w:type="dxa"/>
            <w:vAlign w:val="bottom"/>
          </w:tcPr>
          <w:p>
            <w:pPr>
              <w:spacing w:after="0"/>
              <w:rPr>
                <w:sz w:val="1"/>
                <w:szCs w:val="1"/>
                <w:color w:val="auto"/>
              </w:rPr>
            </w:pPr>
          </w:p>
        </w:tc>
      </w:tr>
      <w:tr>
        <w:trPr>
          <w:trHeight w:val="167"/>
        </w:trPr>
        <w:tc>
          <w:tcPr>
            <w:tcW w:w="4580" w:type="dxa"/>
            <w:vAlign w:val="bottom"/>
          </w:tcPr>
          <w:p>
            <w:pPr>
              <w:ind w:left="220"/>
              <w:spacing w:after="0" w:line="167" w:lineRule="exact"/>
              <w:rPr>
                <w:sz w:val="20"/>
                <w:szCs w:val="20"/>
                <w:color w:val="auto"/>
              </w:rPr>
            </w:pPr>
            <w:r>
              <w:rPr>
                <w:rFonts w:ascii="Arial" w:cs="Arial" w:eastAsia="Arial" w:hAnsi="Arial"/>
                <w:sz w:val="17"/>
                <w:szCs w:val="17"/>
                <w:color w:val="auto"/>
              </w:rPr>
              <w:t>Impact of fair value adjustments to acquired unearned</w:t>
            </w:r>
          </w:p>
        </w:tc>
        <w:tc>
          <w:tcPr>
            <w:tcW w:w="9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9"/>
        </w:trPr>
        <w:tc>
          <w:tcPr>
            <w:tcW w:w="4580" w:type="dxa"/>
            <w:vAlign w:val="bottom"/>
          </w:tcPr>
          <w:p>
            <w:pPr>
              <w:ind w:left="380"/>
              <w:spacing w:after="0" w:line="219" w:lineRule="exact"/>
              <w:rPr>
                <w:sz w:val="20"/>
                <w:szCs w:val="20"/>
                <w:color w:val="auto"/>
              </w:rPr>
            </w:pPr>
            <w:r>
              <w:rPr>
                <w:rFonts w:ascii="Arial" w:cs="Arial" w:eastAsia="Arial" w:hAnsi="Arial"/>
                <w:sz w:val="17"/>
                <w:szCs w:val="17"/>
                <w:color w:val="auto"/>
              </w:rPr>
              <w:t>revenue</w:t>
            </w:r>
            <w:r>
              <w:rPr>
                <w:rFonts w:ascii="Arial" w:cs="Arial" w:eastAsia="Arial" w:hAnsi="Arial"/>
                <w:sz w:val="22"/>
                <w:szCs w:val="22"/>
                <w:color w:val="auto"/>
                <w:vertAlign w:val="superscript"/>
              </w:rPr>
              <w:t>(a)</w:t>
            </w:r>
          </w:p>
        </w:tc>
        <w:tc>
          <w:tcPr>
            <w:tcW w:w="9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Pre-Acquisition ZI revenue</w:t>
            </w:r>
            <w:r>
              <w:rPr>
                <w:rFonts w:ascii="Arial" w:cs="Arial" w:eastAsia="Arial" w:hAnsi="Arial"/>
                <w:sz w:val="22"/>
                <w:szCs w:val="22"/>
                <w:color w:val="auto"/>
                <w:vertAlign w:val="superscript"/>
              </w:rPr>
              <w:t>(b)</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4580" w:type="dxa"/>
            <w:vAlign w:val="bottom"/>
          </w:tcPr>
          <w:p>
            <w:pPr>
              <w:ind w:left="220"/>
              <w:spacing w:after="0" w:line="167" w:lineRule="exact"/>
              <w:rPr>
                <w:sz w:val="20"/>
                <w:szCs w:val="20"/>
                <w:color w:val="auto"/>
              </w:rPr>
            </w:pPr>
            <w:r>
              <w:rPr>
                <w:rFonts w:ascii="Arial" w:cs="Arial" w:eastAsia="Arial" w:hAnsi="Arial"/>
                <w:sz w:val="17"/>
                <w:szCs w:val="17"/>
                <w:color w:val="auto"/>
                <w:w w:val="92"/>
              </w:rPr>
              <w:t>Impact of fair value adjustments to acquired unearned revenue</w:t>
            </w:r>
          </w:p>
        </w:tc>
        <w:tc>
          <w:tcPr>
            <w:tcW w:w="9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14.6</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380"/>
              <w:spacing w:after="0" w:line="219" w:lineRule="exact"/>
              <w:rPr>
                <w:sz w:val="20"/>
                <w:szCs w:val="20"/>
                <w:color w:val="auto"/>
              </w:rPr>
            </w:pPr>
            <w:r>
              <w:rPr>
                <w:rFonts w:ascii="Arial" w:cs="Arial" w:eastAsia="Arial" w:hAnsi="Arial"/>
                <w:sz w:val="17"/>
                <w:szCs w:val="17"/>
                <w:color w:val="auto"/>
              </w:rPr>
              <w:t>recorded by Pre-Acquisition ZI</w:t>
            </w:r>
            <w:r>
              <w:rPr>
                <w:rFonts w:ascii="Arial" w:cs="Arial" w:eastAsia="Arial" w:hAnsi="Arial"/>
                <w:sz w:val="22"/>
                <w:szCs w:val="22"/>
                <w:color w:val="auto"/>
                <w:vertAlign w:val="superscript"/>
              </w:rPr>
              <w:t>(c)</w:t>
            </w:r>
          </w:p>
        </w:tc>
        <w:tc>
          <w:tcPr>
            <w:tcW w:w="9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Pre-acquisition revenue of other acquired companies</w:t>
            </w:r>
            <w:r>
              <w:rPr>
                <w:rFonts w:ascii="Arial" w:cs="Arial" w:eastAsia="Arial" w:hAnsi="Arial"/>
                <w:sz w:val="22"/>
                <w:szCs w:val="22"/>
                <w:color w:val="auto"/>
                <w:vertAlign w:val="superscript"/>
              </w:rPr>
              <w:t>(d)</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0.6</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20"/>
              <w:spacing w:after="0"/>
              <w:rPr>
                <w:sz w:val="20"/>
                <w:szCs w:val="20"/>
                <w:color w:val="auto"/>
              </w:rPr>
            </w:pPr>
            <w:r>
              <w:rPr>
                <w:rFonts w:ascii="Arial" w:cs="Arial" w:eastAsia="Arial" w:hAnsi="Arial"/>
                <w:sz w:val="17"/>
                <w:szCs w:val="17"/>
                <w:color w:val="auto"/>
              </w:rPr>
              <w:t>Allocated Combined Receipts</w:t>
            </w:r>
          </w:p>
        </w:tc>
        <w:tc>
          <w:tcPr>
            <w:tcW w:w="900" w:type="dxa"/>
            <w:vAlign w:val="bottom"/>
            <w:tcBorders>
              <w:bottom w:val="single" w:sz="8" w:color="auto"/>
            </w:tcBorders>
          </w:tcPr>
          <w:p>
            <w:pPr>
              <w:jc w:val="right"/>
              <w:ind w:right="72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241.2</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3"/>
              </w:rPr>
              <w:t>336.0</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80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239.9</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9"/>
              </w:rPr>
              <w:t>338.4</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Growth</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39 %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41 %</w:t>
            </w:r>
          </w:p>
        </w:tc>
        <w:tc>
          <w:tcPr>
            <w:tcW w:w="0" w:type="dxa"/>
            <w:vAlign w:val="bottom"/>
          </w:tcPr>
          <w:p>
            <w:pPr>
              <w:spacing w:after="0"/>
              <w:rPr>
                <w:sz w:val="1"/>
                <w:szCs w:val="1"/>
                <w:color w:val="auto"/>
              </w:rPr>
            </w:pPr>
          </w:p>
        </w:tc>
      </w:tr>
      <w:tr>
        <w:trPr>
          <w:trHeight w:val="694"/>
        </w:trPr>
        <w:tc>
          <w:tcPr>
            <w:tcW w:w="4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jc w:val="right"/>
              <w:ind w:right="254"/>
              <w:spacing w:after="0"/>
              <w:rPr>
                <w:sz w:val="20"/>
                <w:szCs w:val="20"/>
                <w:color w:val="auto"/>
              </w:rPr>
            </w:pPr>
            <w:r>
              <w:rPr>
                <w:rFonts w:ascii="Arial" w:cs="Arial" w:eastAsia="Arial" w:hAnsi="Arial"/>
                <w:sz w:val="17"/>
                <w:szCs w:val="17"/>
                <w:color w:val="auto"/>
                <w:w w:val="91"/>
              </w:rPr>
              <w:t>104</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4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__________________</w:t>
      </w:r>
    </w:p>
    <w:p>
      <w:pPr>
        <w:spacing w:after="0" w:line="6" w:lineRule="exact"/>
        <w:rPr>
          <w:sz w:val="20"/>
          <w:szCs w:val="20"/>
          <w:color w:val="auto"/>
        </w:rPr>
      </w:pPr>
    </w:p>
    <w:p>
      <w:pPr>
        <w:jc w:val="both"/>
        <w:ind w:left="320" w:hanging="317"/>
        <w:spacing w:after="0" w:line="230" w:lineRule="auto"/>
        <w:tabs>
          <w:tab w:leader="none" w:pos="318"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00" w:hanging="297"/>
        <w:spacing w:after="0" w:line="230" w:lineRule="auto"/>
        <w:tabs>
          <w:tab w:leader="none" w:pos="3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320" w:hanging="317"/>
        <w:spacing w:after="0" w:line="230" w:lineRule="auto"/>
        <w:tabs>
          <w:tab w:leader="none" w:pos="318"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320" w:hanging="317"/>
        <w:spacing w:after="0" w:line="236" w:lineRule="auto"/>
        <w:tabs>
          <w:tab w:leader="none" w:pos="313" w:val="left"/>
        </w:tabs>
        <w:numPr>
          <w:ilvl w:val="0"/>
          <w:numId w:val="74"/>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14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Allocated Combined Receipts for the year ended December 31, 2019 was $336.0 million, which represented growth of $94.8 million, or 39%, relative to the year ended December 31, 2018. Allocated Combined Receipts for the nine months ended September 30, 2020 was $338.4 million, which represented an increase of $98.5 million, or 41%, relative to the nine months ended September 30,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Operating Income, Adjusted Operating Income Margin, and Adjusted Net Income</w:t>
      </w:r>
    </w:p>
    <w:p>
      <w:pPr>
        <w:spacing w:after="0" w:line="16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2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We define Adjusted Net Income as Adjusted Operating Income less (i) interest expense, net (ii) other (income) expense, net, excluding tax receivable agreement liability remeasurement expense (benefit) and (iii) income tax expense (benefit) including incremental tax effects of adjustments to arrive at Adjusted Operating Income and current tax benefits related to the tax receivable agreements.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11" w:name="page112"/>
    <w:bookmarkEnd w:id="111"/>
    <w:p>
      <w:pPr>
        <w:ind w:firstLine="309"/>
        <w:spacing w:after="0" w:line="279" w:lineRule="auto"/>
        <w:rPr>
          <w:sz w:val="20"/>
          <w:szCs w:val="20"/>
          <w:color w:val="auto"/>
        </w:rPr>
      </w:pPr>
      <w:r>
        <w:rPr>
          <w:rFonts w:ascii="Arial" w:cs="Arial" w:eastAsia="Arial" w:hAnsi="Arial"/>
          <w:sz w:val="17"/>
          <w:szCs w:val="17"/>
          <w:color w:val="auto"/>
        </w:rPr>
        <w:t>The following table presents a reconciliation of net income (loss) to Adjusted Net Income and income (loss) from operations to Adjusted Operating Income for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288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18"/>
        </w:trPr>
        <w:tc>
          <w:tcPr>
            <w:tcW w:w="4700" w:type="dxa"/>
            <w:vAlign w:val="bottom"/>
          </w:tcPr>
          <w:p>
            <w:pPr>
              <w:ind w:left="180"/>
              <w:spacing w:after="0"/>
              <w:rPr>
                <w:sz w:val="20"/>
                <w:szCs w:val="20"/>
                <w:color w:val="auto"/>
              </w:rPr>
            </w:pPr>
            <w:r>
              <w:rPr>
                <w:rFonts w:ascii="Arial" w:cs="Arial" w:eastAsia="Arial" w:hAnsi="Arial"/>
                <w:sz w:val="17"/>
                <w:szCs w:val="17"/>
                <w:color w:val="auto"/>
              </w:rPr>
              <w:t>Benefit (expense) from income taxes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8"/>
        </w:trPr>
        <w:tc>
          <w:tcPr>
            <w:tcW w:w="4700" w:type="dxa"/>
            <w:vAlign w:val="bottom"/>
          </w:tcPr>
          <w:p>
            <w:pPr>
              <w:ind w:left="18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2"/>
                <w:szCs w:val="22"/>
                <w:color w:val="auto"/>
                <w:vertAlign w:val="superscript"/>
              </w:rPr>
              <w: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1"/>
        </w:trPr>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7"/>
                <w:szCs w:val="17"/>
                <w:b w:val="1"/>
                <w:bCs w:val="1"/>
                <w:color w:val="auto"/>
              </w:rPr>
              <w:t>Income (loss) from operations</w:t>
            </w: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20"/>
              <w:spacing w:after="0" w:line="212" w:lineRule="exact"/>
              <w:rPr>
                <w:sz w:val="20"/>
                <w:szCs w:val="20"/>
                <w:color w:val="auto"/>
              </w:rPr>
            </w:pPr>
            <w:r>
              <w:rPr>
                <w:rFonts w:ascii="Arial" w:cs="Arial" w:eastAsia="Arial" w:hAnsi="Arial"/>
                <w:sz w:val="17"/>
                <w:szCs w:val="17"/>
                <w:color w:val="auto"/>
                <w:w w:val="91"/>
              </w:rPr>
              <w:t>Impact of fair value adjustments to acquired unearned revenue</w:t>
            </w:r>
            <w:r>
              <w:rPr>
                <w:rFonts w:ascii="Arial" w:cs="Arial" w:eastAsia="Arial" w:hAnsi="Arial"/>
                <w:sz w:val="22"/>
                <w:szCs w:val="22"/>
                <w:color w:val="auto"/>
                <w:w w:val="91"/>
                <w:vertAlign w:val="superscript"/>
              </w:rPr>
              <w:t>(b)</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8"/>
        </w:trPr>
        <w:tc>
          <w:tcPr>
            <w:tcW w:w="4700" w:type="dxa"/>
            <w:vAlign w:val="bottom"/>
          </w:tcPr>
          <w:p>
            <w:pPr>
              <w:ind w:left="18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8"/>
        </w:trPr>
        <w:tc>
          <w:tcPr>
            <w:tcW w:w="4700" w:type="dxa"/>
            <w:vAlign w:val="bottom"/>
          </w:tcPr>
          <w:p>
            <w:pPr>
              <w:ind w:left="180"/>
              <w:spacing w:after="0"/>
              <w:rPr>
                <w:sz w:val="20"/>
                <w:szCs w:val="20"/>
                <w:color w:val="auto"/>
              </w:rPr>
            </w:pPr>
            <w:r>
              <w:rPr>
                <w:rFonts w:ascii="Arial" w:cs="Arial" w:eastAsia="Arial" w:hAnsi="Arial"/>
                <w:sz w:val="17"/>
                <w:szCs w:val="17"/>
                <w:color w:val="auto"/>
              </w:rPr>
              <w:t>Equity-based compensation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104.2</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Restructuring and transaction-related expenses</w:t>
            </w:r>
            <w:r>
              <w:rPr>
                <w:rFonts w:ascii="Arial" w:cs="Arial" w:eastAsia="Arial" w:hAnsi="Arial"/>
                <w:sz w:val="22"/>
                <w:szCs w:val="22"/>
                <w:color w:val="auto"/>
                <w:vertAlign w:val="superscript"/>
              </w:rPr>
              <w:t>(c)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Integration costs and acquisition-related expenses(d)</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Adjusted Operating Income</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162.6</w:t>
            </w: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Other (income) expense, net, excluding tax receivable</w:t>
            </w: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agreement liability remeasurement (benefit) expense</w:t>
            </w:r>
          </w:p>
        </w:tc>
        <w:tc>
          <w:tcPr>
            <w:tcW w:w="3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Benefit (expense) from income taxes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impacts of adjustments to net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Adjusted Net Income</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line="230" w:lineRule="auto"/>
        <w:tabs>
          <w:tab w:leader="none" w:pos="3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7"/>
        <w:spacing w:after="0" w:line="230" w:lineRule="auto"/>
        <w:tabs>
          <w:tab w:leader="none" w:pos="313"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7"/>
        <w:spacing w:after="0" w:line="293" w:lineRule="auto"/>
        <w:tabs>
          <w:tab w:leader="none" w:pos="318" w:val="left"/>
        </w:tabs>
        <w:numPr>
          <w:ilvl w:val="0"/>
          <w:numId w:val="75"/>
        </w:numPr>
        <w:rPr>
          <w:rFonts w:ascii="Arial" w:cs="Arial" w:eastAsia="Arial" w:hAnsi="Arial"/>
          <w:sz w:val="11"/>
          <w:szCs w:val="11"/>
          <w:color w:val="auto"/>
        </w:rPr>
      </w:pPr>
      <w:r>
        <w:rPr>
          <w:rFonts w:ascii="Arial" w:cs="Arial" w:eastAsia="Arial" w:hAnsi="Arial"/>
          <w:sz w:val="11"/>
          <w:szCs w:val="11"/>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jc w:val="both"/>
        <w:ind w:left="320" w:hanging="317"/>
        <w:spacing w:after="0" w:line="304" w:lineRule="auto"/>
        <w:tabs>
          <w:tab w:leader="none" w:pos="313" w:val="left"/>
        </w:tabs>
        <w:numPr>
          <w:ilvl w:val="0"/>
          <w:numId w:val="75"/>
        </w:numPr>
        <w:rPr>
          <w:rFonts w:ascii="Arial" w:cs="Arial" w:eastAsia="Arial" w:hAnsi="Arial"/>
          <w:sz w:val="11"/>
          <w:szCs w:val="11"/>
          <w:color w:val="auto"/>
        </w:rPr>
      </w:pPr>
      <w:r>
        <w:rPr>
          <w:rFonts w:ascii="Arial" w:cs="Arial" w:eastAsia="Arial" w:hAnsi="Arial"/>
          <w:sz w:val="11"/>
          <w:szCs w:val="11"/>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 discussion regarding cash vesting payments associated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2" w:name="page113"/>
    <w:bookmarkEnd w:id="112"/>
    <w:p>
      <w:pPr>
        <w:ind w:left="320"/>
        <w:spacing w:after="0" w:line="250" w:lineRule="auto"/>
        <w:rPr>
          <w:sz w:val="20"/>
          <w:szCs w:val="20"/>
          <w:color w:val="auto"/>
        </w:rPr>
      </w:pPr>
      <w:r>
        <w:rPr>
          <w:rFonts w:ascii="Arial" w:cs="Arial" w:eastAsia="Arial" w:hAnsi="Arial"/>
          <w:sz w:val="14"/>
          <w:szCs w:val="14"/>
          <w:color w:val="auto"/>
        </w:rPr>
        <w:t>with the acquisition of Pre-Acquisition ZI). This expense is included in cost of service, sales and marketing expense, research and development expense, and general and administrative expense as follows:</w:t>
      </w:r>
    </w:p>
    <w:p>
      <w:pPr>
        <w:spacing w:after="0" w:line="111"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120" w:type="dxa"/>
            <w:vAlign w:val="bottom"/>
          </w:tcPr>
          <w:p>
            <w:pPr>
              <w:spacing w:after="0"/>
              <w:rPr>
                <w:sz w:val="15"/>
                <w:szCs w:val="15"/>
                <w:color w:val="auto"/>
              </w:rPr>
            </w:pPr>
          </w:p>
        </w:tc>
        <w:tc>
          <w:tcPr>
            <w:tcW w:w="26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
        </w:trPr>
        <w:tc>
          <w:tcPr>
            <w:tcW w:w="4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4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79"/>
        </w:trPr>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w:t>
            </w:r>
          </w:p>
        </w:tc>
        <w:tc>
          <w:tcPr>
            <w:tcW w:w="1100" w:type="dxa"/>
            <w:vAlign w:val="bottom"/>
            <w:shd w:val="clear" w:color="auto" w:fill="CCEEFF"/>
          </w:tcPr>
          <w:p>
            <w:pPr>
              <w:jc w:val="right"/>
              <w:ind w:right="93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77"/>
        </w:trPr>
        <w:tc>
          <w:tcPr>
            <w:tcW w:w="4120" w:type="dxa"/>
            <w:vAlign w:val="bottom"/>
          </w:tcPr>
          <w:p>
            <w:pPr>
              <w:spacing w:after="0"/>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3"/>
        </w:trPr>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77"/>
        </w:trPr>
        <w:tc>
          <w:tcPr>
            <w:tcW w:w="4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1"/>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integration costs and acquisition-related compensation</w:t>
            </w:r>
          </w:p>
        </w:tc>
        <w:tc>
          <w:tcPr>
            <w:tcW w:w="1100" w:type="dxa"/>
            <w:vAlign w:val="bottom"/>
            <w:tcBorders>
              <w:bottom w:val="single" w:sz="8" w:color="auto"/>
            </w:tcBorders>
            <w:shd w:val="clear" w:color="auto" w:fill="CCEEFF"/>
          </w:tcPr>
          <w:p>
            <w:pPr>
              <w:jc w:val="right"/>
              <w:ind w:right="93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define Adjusted Operating Income Margin as Adjusted Operating Income divided by the sum of revenue and the impact of fair value adjustments to acquired unearned revenue.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gridSpan w:val="5"/>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5"/>
                <w:szCs w:val="15"/>
                <w:color w:val="auto"/>
              </w:rPr>
            </w:pPr>
          </w:p>
        </w:tc>
        <w:tc>
          <w:tcPr>
            <w:tcW w:w="298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7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Operating Income</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83.7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120.0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162.6</w:t>
            </w:r>
          </w:p>
        </w:tc>
        <w:tc>
          <w:tcPr>
            <w:tcW w:w="0" w:type="dxa"/>
            <w:vAlign w:val="bottom"/>
          </w:tcPr>
          <w:p>
            <w:pPr>
              <w:spacing w:after="0"/>
              <w:rPr>
                <w:sz w:val="1"/>
                <w:szCs w:val="1"/>
                <w:color w:val="auto"/>
              </w:rPr>
            </w:pPr>
          </w:p>
        </w:tc>
      </w:tr>
      <w:tr>
        <w:trPr>
          <w:trHeight w:val="258"/>
        </w:trPr>
        <w:tc>
          <w:tcPr>
            <w:tcW w:w="4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293.3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202.2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336.5</w:t>
            </w:r>
          </w:p>
        </w:tc>
        <w:tc>
          <w:tcPr>
            <w:tcW w:w="0" w:type="dxa"/>
            <w:vAlign w:val="bottom"/>
          </w:tcPr>
          <w:p>
            <w:pPr>
              <w:spacing w:after="0"/>
              <w:rPr>
                <w:sz w:val="1"/>
                <w:szCs w:val="1"/>
                <w:color w:val="auto"/>
              </w:rPr>
            </w:pPr>
          </w:p>
        </w:tc>
      </w:tr>
      <w:tr>
        <w:trPr>
          <w:trHeight w:val="168"/>
        </w:trPr>
        <w:tc>
          <w:tcPr>
            <w:tcW w:w="4440" w:type="dxa"/>
            <w:vAlign w:val="bottom"/>
          </w:tcPr>
          <w:p>
            <w:pPr>
              <w:ind w:left="220"/>
              <w:spacing w:after="0" w:line="168" w:lineRule="exact"/>
              <w:rPr>
                <w:sz w:val="20"/>
                <w:szCs w:val="20"/>
                <w:color w:val="auto"/>
              </w:rPr>
            </w:pPr>
            <w:r>
              <w:rPr>
                <w:rFonts w:ascii="Arial" w:cs="Arial" w:eastAsia="Arial" w:hAnsi="Arial"/>
                <w:sz w:val="17"/>
                <w:szCs w:val="17"/>
                <w:color w:val="auto"/>
              </w:rPr>
              <w:t>Impact of fair value adjustments to acquired unearned</w:t>
            </w:r>
          </w:p>
        </w:tc>
        <w:tc>
          <w:tcPr>
            <w:tcW w:w="400" w:type="dxa"/>
            <w:vAlign w:val="bottom"/>
          </w:tcPr>
          <w:p>
            <w:pPr>
              <w:spacing w:after="0"/>
              <w:rPr>
                <w:sz w:val="14"/>
                <w:szCs w:val="14"/>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vMerge w:val="restart"/>
          </w:tcPr>
          <w:p>
            <w:pPr>
              <w:jc w:val="right"/>
              <w:ind w:right="137"/>
              <w:spacing w:after="0"/>
              <w:rPr>
                <w:sz w:val="20"/>
                <w:szCs w:val="20"/>
                <w:color w:val="auto"/>
              </w:rPr>
            </w:pPr>
            <w:r>
              <w:rPr>
                <w:rFonts w:ascii="Arial" w:cs="Arial" w:eastAsia="Arial" w:hAnsi="Arial"/>
                <w:sz w:val="17"/>
                <w:szCs w:val="17"/>
                <w:color w:val="auto"/>
              </w:rPr>
              <w:t>32.2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ind w:right="139"/>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vMerge w:val="restart"/>
          </w:tcPr>
          <w:p>
            <w:pPr>
              <w:jc w:val="right"/>
              <w:ind w:right="117"/>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8"/>
        </w:trPr>
        <w:tc>
          <w:tcPr>
            <w:tcW w:w="4440" w:type="dxa"/>
            <w:vAlign w:val="bottom"/>
          </w:tcPr>
          <w:p>
            <w:pPr>
              <w:ind w:left="360"/>
              <w:spacing w:after="0"/>
              <w:rPr>
                <w:sz w:val="20"/>
                <w:szCs w:val="20"/>
                <w:color w:val="auto"/>
              </w:rPr>
            </w:pPr>
            <w:r>
              <w:rPr>
                <w:rFonts w:ascii="Arial" w:cs="Arial" w:eastAsia="Arial" w:hAnsi="Arial"/>
                <w:sz w:val="17"/>
                <w:szCs w:val="17"/>
                <w:color w:val="auto"/>
              </w:rPr>
              <w:t>revenue</w:t>
            </w: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for adjusted operating margin calculation</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229.5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338.4</w:t>
            </w:r>
          </w:p>
        </w:tc>
        <w:tc>
          <w:tcPr>
            <w:tcW w:w="0" w:type="dxa"/>
            <w:vAlign w:val="bottom"/>
          </w:tcPr>
          <w:p>
            <w:pPr>
              <w:spacing w:after="0"/>
              <w:rPr>
                <w:sz w:val="1"/>
                <w:szCs w:val="1"/>
                <w:color w:val="auto"/>
              </w:rPr>
            </w:pPr>
          </w:p>
        </w:tc>
      </w:tr>
      <w:tr>
        <w:trPr>
          <w:trHeight w:val="217"/>
        </w:trPr>
        <w:tc>
          <w:tcPr>
            <w:tcW w:w="4440" w:type="dxa"/>
            <w:vAlign w:val="bottom"/>
          </w:tcPr>
          <w:p>
            <w:pPr>
              <w:ind w:left="220"/>
              <w:spacing w:after="0"/>
              <w:rPr>
                <w:sz w:val="20"/>
                <w:szCs w:val="20"/>
                <w:color w:val="auto"/>
              </w:rPr>
            </w:pPr>
            <w:r>
              <w:rPr>
                <w:rFonts w:ascii="Arial" w:cs="Arial" w:eastAsia="Arial" w:hAnsi="Arial"/>
                <w:sz w:val="17"/>
                <w:szCs w:val="17"/>
                <w:i w:val="1"/>
                <w:iCs w:val="1"/>
                <w:color w:val="auto"/>
              </w:rPr>
              <w:t>Adjusted Operating Income Margin</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57 %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i w:val="1"/>
                <w:iCs w:val="1"/>
                <w:color w:val="auto"/>
              </w:rPr>
              <w:t>51 %</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i w:val="1"/>
                <w:iCs w:val="1"/>
                <w:color w:val="auto"/>
              </w:rPr>
              <w:t>52 %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i w:val="1"/>
                <w:iCs w:val="1"/>
                <w:color w:val="auto"/>
              </w:rPr>
              <w:t>48 %</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Adjusted Operating Income for the year ended December 31, 2019 was $167.1 million and represented an Adjusted Operating Income Margin of 51%. Adjusted Operating Income for the year ended December 31, 2018 was $83.7 million and represented an Adjusted Operating Income Margin of 57%. Growth in Adjusted Operating Income in the year ended December 31, 2019 relative to the year ended December 31, 2018 was an increase of $83.5 million, or 100%, and was driven primarily from the growth in revenue that resulted from the acquisition of Pre-Acquisition ZI and additional customers in 2018 and 2019. Adjusted Operating Income Margin decreased to 51% in the year ended December 31, 2019 from 57% in the year ended December 31, 2018 due to the lower margin profile of the Pre-Acquisition ZI business, and investment to drive revenue growth.</w:t>
      </w:r>
    </w:p>
    <w:p>
      <w:pPr>
        <w:spacing w:after="0" w:line="130"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Adjusted Operating Income for the nine months ended September 30, 2020 was $162.6 million and represented an Adjusted Operating Income Margin of 48%. Adjusted Operating Income for the nine months ended September 30, 2019 was $120.0 million and represented an Adjusted Operating Income Margin of</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52%. The increase in Adjusted Operating Income of $42.6 million, or 35%, was driven primarily from the growth in revenue that resulted from the acquisition of Pre-Acquisition ZI and additional customers in 2020 and 2019. Adjusted Operating Income Margin decreased due to incremental sales and marketing expenses related to signing new customers and retaining and upselling existing customers, and general and administration costs to support incremental public company related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13" w:name="page114"/>
    <w:bookmarkEnd w:id="113"/>
    <w:p>
      <w:pPr>
        <w:jc w:val="both"/>
        <w:spacing w:after="0" w:line="266" w:lineRule="auto"/>
        <w:rPr>
          <w:sz w:val="20"/>
          <w:szCs w:val="20"/>
          <w:color w:val="auto"/>
        </w:rPr>
      </w:pPr>
      <w:r>
        <w:rPr>
          <w:rFonts w:ascii="Arial" w:cs="Arial" w:eastAsia="Arial" w:hAnsi="Arial"/>
          <w:sz w:val="17"/>
          <w:szCs w:val="17"/>
          <w:color w:val="auto"/>
        </w:rPr>
        <w:t>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net loss to Adjusted EBITDA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5"/>
                <w:szCs w:val="15"/>
                <w:color w:val="auto"/>
              </w:rPr>
            </w:pPr>
          </w:p>
        </w:tc>
        <w:tc>
          <w:tcPr>
            <w:tcW w:w="286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18"/>
        </w:trPr>
        <w:tc>
          <w:tcPr>
            <w:tcW w:w="4660" w:type="dxa"/>
            <w:vAlign w:val="bottom"/>
          </w:tcPr>
          <w:p>
            <w:pPr>
              <w:ind w:left="220"/>
              <w:spacing w:after="0"/>
              <w:rPr>
                <w:sz w:val="20"/>
                <w:szCs w:val="20"/>
                <w:color w:val="auto"/>
              </w:rPr>
            </w:pPr>
            <w:r>
              <w:rPr>
                <w:rFonts w:ascii="Arial" w:cs="Arial" w:eastAsia="Arial" w:hAnsi="Arial"/>
                <w:sz w:val="17"/>
                <w:szCs w:val="17"/>
                <w:color w:val="auto"/>
              </w:rPr>
              <w:t>Benefit (expense) from income taxes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8"/>
        </w:trPr>
        <w:tc>
          <w:tcPr>
            <w:tcW w:w="4660" w:type="dxa"/>
            <w:vAlign w:val="bottom"/>
          </w:tcPr>
          <w:p>
            <w:pPr>
              <w:ind w:left="22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8"/>
        </w:trPr>
        <w:tc>
          <w:tcPr>
            <w:tcW w:w="4660" w:type="dxa"/>
            <w:vAlign w:val="bottom"/>
          </w:tcPr>
          <w:p>
            <w:pPr>
              <w:ind w:left="22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1"/>
        </w:trPr>
        <w:tc>
          <w:tcPr>
            <w:tcW w:w="4660" w:type="dxa"/>
            <w:vAlign w:val="bottom"/>
          </w:tcPr>
          <w:p>
            <w:pPr>
              <w:ind w:left="80"/>
              <w:spacing w:after="0"/>
              <w:rPr>
                <w:sz w:val="20"/>
                <w:szCs w:val="20"/>
                <w:color w:val="auto"/>
              </w:rPr>
            </w:pPr>
            <w:r>
              <w:rPr>
                <w:rFonts w:ascii="Arial" w:cs="Arial" w:eastAsia="Arial" w:hAnsi="Arial"/>
                <w:sz w:val="17"/>
                <w:szCs w:val="17"/>
                <w:color w:val="auto"/>
              </w:rPr>
              <w:t>EBITDA</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20"/>
        </w:trPr>
        <w:tc>
          <w:tcPr>
            <w:tcW w:w="4660" w:type="dxa"/>
            <w:vAlign w:val="bottom"/>
            <w:shd w:val="clear" w:color="auto" w:fill="CCEEFF"/>
          </w:tcPr>
          <w:p>
            <w:pPr>
              <w:ind w:left="260"/>
              <w:spacing w:after="0" w:line="220"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2"/>
                <w:szCs w:val="22"/>
                <w:color w:val="auto"/>
                <w:vertAlign w:val="superscript"/>
              </w:rPr>
              <w:t>(a)</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line="219" w:lineRule="exact"/>
              <w:rPr>
                <w:sz w:val="20"/>
                <w:szCs w:val="20"/>
                <w:color w:val="auto"/>
              </w:rPr>
            </w:pPr>
            <w:r>
              <w:rPr>
                <w:rFonts w:ascii="Arial" w:cs="Arial" w:eastAsia="Arial" w:hAnsi="Arial"/>
                <w:sz w:val="17"/>
                <w:szCs w:val="17"/>
                <w:color w:val="auto"/>
                <w:w w:val="90"/>
              </w:rPr>
              <w:t>Impact of fair value adjustments to acquired unearned revenue</w:t>
            </w:r>
            <w:r>
              <w:rPr>
                <w:rFonts w:ascii="Arial" w:cs="Arial" w:eastAsia="Arial" w:hAnsi="Arial"/>
                <w:sz w:val="22"/>
                <w:szCs w:val="22"/>
                <w:color w:val="auto"/>
                <w:w w:val="90"/>
                <w:vertAlign w:val="superscript"/>
              </w:rPr>
              <w:t>(b)</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Equity-based compensation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line="219" w:lineRule="exact"/>
              <w:rPr>
                <w:sz w:val="20"/>
                <w:szCs w:val="20"/>
                <w:color w:val="auto"/>
              </w:rPr>
            </w:pPr>
            <w:r>
              <w:rPr>
                <w:rFonts w:ascii="Arial" w:cs="Arial" w:eastAsia="Arial" w:hAnsi="Arial"/>
                <w:sz w:val="17"/>
                <w:szCs w:val="17"/>
                <w:color w:val="auto"/>
              </w:rPr>
              <w:t>Restructuring and transaction-related expenses</w:t>
            </w:r>
            <w:r>
              <w:rPr>
                <w:rFonts w:ascii="Arial" w:cs="Arial" w:eastAsia="Arial" w:hAnsi="Arial"/>
                <w:sz w:val="22"/>
                <w:szCs w:val="22"/>
                <w:color w:val="auto"/>
                <w:vertAlign w:val="superscript"/>
              </w:rPr>
              <w:t>(c)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8"/>
        </w:trPr>
        <w:tc>
          <w:tcPr>
            <w:tcW w:w="46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Integration costs and acquisition-related expenses(d)</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173.2</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line="230" w:lineRule="auto"/>
        <w:tabs>
          <w:tab w:leader="none" w:pos="3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7"/>
        <w:spacing w:after="0" w:line="230" w:lineRule="auto"/>
        <w:tabs>
          <w:tab w:leader="none" w:pos="313"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7"/>
        <w:spacing w:after="0" w:line="248" w:lineRule="auto"/>
        <w:tabs>
          <w:tab w:leader="none" w:pos="318"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For the nine months ended September 30, 2019, this expense related primarily to the acquisition of Pre-Acquisition ZI, including professional fees, severance, and acceleration of payments for terminated employees.</w:t>
      </w:r>
    </w:p>
    <w:p>
      <w:pPr>
        <w:jc w:val="both"/>
        <w:ind w:left="320" w:hanging="317"/>
        <w:spacing w:after="0" w:line="250" w:lineRule="auto"/>
        <w:tabs>
          <w:tab w:leader="none" w:pos="313"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2020, this expense related primarily to cash vesting payments from the acquisition of Pre-Acquisition ZI (see Note 4 to our consolidated financial statements included elsewhere in this prospectus). For the nine months ended September 30, 2019, this expense related primarily to activities resulting from the acquisition of Pre-Acquisition ZI, including cash vesting payments (see Note 4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160" w:type="dxa"/>
            <w:vAlign w:val="bottom"/>
          </w:tcPr>
          <w:p>
            <w:pPr>
              <w:spacing w:after="0"/>
              <w:rPr>
                <w:sz w:val="15"/>
                <w:szCs w:val="15"/>
                <w:color w:val="auto"/>
              </w:rPr>
            </w:pPr>
          </w:p>
        </w:tc>
        <w:tc>
          <w:tcPr>
            <w:tcW w:w="26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
        </w:trPr>
        <w:tc>
          <w:tcPr>
            <w:tcW w:w="4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4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79"/>
        </w:trPr>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w:t>
            </w:r>
          </w:p>
        </w:tc>
        <w:tc>
          <w:tcPr>
            <w:tcW w:w="1100" w:type="dxa"/>
            <w:vAlign w:val="bottom"/>
            <w:shd w:val="clear" w:color="auto" w:fill="CCEEFF"/>
          </w:tcPr>
          <w:p>
            <w:pPr>
              <w:jc w:val="right"/>
              <w:ind w:right="93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77"/>
        </w:trPr>
        <w:tc>
          <w:tcPr>
            <w:tcW w:w="4160" w:type="dxa"/>
            <w:vAlign w:val="bottom"/>
          </w:tcPr>
          <w:p>
            <w:pPr>
              <w:spacing w:after="0"/>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3"/>
        </w:trPr>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77"/>
        </w:trPr>
        <w:tc>
          <w:tcPr>
            <w:tcW w:w="4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1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1"/>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integration costs and acquisition-related compensation</w:t>
            </w:r>
          </w:p>
        </w:tc>
        <w:tc>
          <w:tcPr>
            <w:tcW w:w="1100" w:type="dxa"/>
            <w:vAlign w:val="bottom"/>
            <w:tcBorders>
              <w:bottom w:val="single" w:sz="8" w:color="auto"/>
            </w:tcBorders>
            <w:shd w:val="clear" w:color="auto" w:fill="CCEEFF"/>
          </w:tcPr>
          <w:p>
            <w:pPr>
              <w:jc w:val="right"/>
              <w:ind w:right="93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4" w:name="page115"/>
    <w:bookmarkEnd w:id="114"/>
    <w:p>
      <w:pPr>
        <w:jc w:val="both"/>
        <w:ind w:firstLine="309"/>
        <w:spacing w:after="0" w:line="266" w:lineRule="auto"/>
        <w:rPr>
          <w:sz w:val="20"/>
          <w:szCs w:val="20"/>
          <w:color w:val="auto"/>
        </w:rPr>
      </w:pPr>
      <w:r>
        <w:rPr>
          <w:rFonts w:ascii="Arial" w:cs="Arial" w:eastAsia="Arial" w:hAnsi="Arial"/>
          <w:sz w:val="17"/>
          <w:szCs w:val="17"/>
          <w:color w:val="auto"/>
        </w:rPr>
        <w:t>Adjusted EBITDA for the year ended December 31, 2019 was $173.2 million, an increase of $86.9 million, or 101%, relative to the year ended December 31, 2018. This growth was driven primarily from the growth in revenue that resulted from the acquisition of Pre-Acquisition ZI and additional customers in 2018 and 2019.</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Adjusted EBITDA for the nine months ended September 30, 2020 was $169.0 million, an increase of $44.8 million, or 36%, relative to the nine months ended September 30, 2019. This increase was driven primarily from the growth in revenue that resulted from the acquisition of Pre-Acquisition ZI and additional customers in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the Comparability of Our Results of Operations</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the Reorganization Transactions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prospectus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addition, in connection with the Reorganization Transactions and the IPO we entered into the tax receivable agreements as described under “Certain Relationships and Related Person Transactions—Tax Receivable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65"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ZoomInfo OpCo intends to use the remaining proceeds for general corporate purposes. We expect these debt repayments to drive future reductions in our interest expense compared to historical results.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On August 24, 2020, certain selling stockholders, including entities affiliated with the Sponsors, completed a secondary offering of 17,179,135 shares of Class A common stock at a price to the public of $37.00 per share.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t>selling stockholders received all of the net proceeds of approximately $615 million after deducting the underwriting discount.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Acquisitions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We seek to grow through both internal development and the acquisition of businesses that broaden and strengthen our platform. Our recent acquisitions include Pre-Acquisition ZI in February 2019, and Komiko in October 2019.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the Zoom Information Acquisition</w:t>
      </w:r>
    </w:p>
    <w:p>
      <w:pPr>
        <w:spacing w:after="0" w:line="165"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90"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106"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drove a significant impact to our interest expense from the date of the acquisition. We would have expected interest expense for the nine months ended September 30, 2020 to be greater than that of the nine months ended September 30, 2019 due to the debt being outstanding for the entire period in 2020. However, this increase was mitigated and offset by (a) a reduction in interest rates period over period and (b) the debt repayments and prepayments referenced above as part of our IPO. The addition of debt due to the Zoom Information Acquisition did affect the comparability of our results for the year ended December 31, 2019 as compared to the year ended December 31, 2018. See “—Results of Operations.”</w:t>
      </w:r>
    </w:p>
    <w:p>
      <w:pPr>
        <w:spacing w:after="0" w:line="122"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recognized approximately $85.3 million of revenue from legacy Pre-Acquisition ZI platform contracts with acquired customers, including the renewals and upsells thereof, during the year ended December 31, 2019, of which $32.3 million was included in the unearned revenue balance recorded at the acquisition date. The fair value of acquired unearned revenue was $34.5 million, which differs from the unearned revenue recorded by Pre-Acquisition ZI immediately prior to the acquisition of $68.3 million. For the year ended December 31, 2019, the amounts received or billed by Pre-Acquisition ZI in advance of revenue recognition as of the acquisition date allocated over the service period post-acquisition was $63.9 million, which was $31.6 million greater than the amount recognized into revenue for those receipts and billings based on their fair value.</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incurred approximately $2.7 million of transaction costs related to the Zoom Information Acquisition. We paid $29.7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color w:val="auto"/>
        </w:rPr>
        <w:t>processes and benefits for employees, and developing a single platform that is being used for all sales to new customers.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 Expenses relating to severance paid were recorded as restructuring and transaction expenses on the statement of operations with the majority of those expenses being recognized in the three months ended March, 31, 2019, and not recurring later in 2019 nor in 2020. Expenses relating to any accelerated payments under the Cash Vesting Payment Program (see Note 4 to our audited financial statements included elsewhere in this prospectus) are recorded as operating expense according to the functional area aligning to the employee’s salary and is included as integration and transaction-related compensation expenses when calculating non-GAAP metrics.</w:t>
      </w:r>
    </w:p>
    <w:p>
      <w:pPr>
        <w:spacing w:after="0" w:line="12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All new customers are sold the ZoomInfo platform that we released in September 2019. We continue to support pre-existing customers on the legacy DiscoverOrg and Pre-Acquisition ZI platforms, although many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w:t>
      </w:r>
    </w:p>
    <w:p>
      <w:pPr>
        <w:spacing w:after="0" w:line="13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We incurred expenses related to the integration of Pre-Acquisition ZI during 2019. Additionally,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adopted Topic 606, effective January 1, 2018, using the full retrospective method of adoption as if the adoption occurred on January 1, 2017. See Note 2 – Basis of Presentation and Summary of Significant Accounting Policies to our consolidated financial statements included elsewhere in this prospectus for additional information.</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 xml:space="preserve">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We believe that the revenue presented for Pre-Acquisition ZI in 2018 would not have materially changed had Pre-Acquisition ZI used the full retrospective method of adoption for Topic 606 and restated its 2018 revenue figures. See Note 2 – Basis of Presentation and Summary of Significant Accounting Policies to the consolidated financial statements of Pre-Acquisition ZI included elsewhere in this prospectus for additional information.</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After the acquisition of Pre-Acquisition ZI, contract acquisition costs related to our larger sales and marketing team, which primarily consist of commissions to salespeople, were capitalized and deferred as prescribed under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7" w:name="page118"/>
    <w:bookmarkEnd w:id="117"/>
    <w:p>
      <w:pPr>
        <w:jc w:val="both"/>
        <w:spacing w:after="0" w:line="279" w:lineRule="auto"/>
        <w:rPr>
          <w:sz w:val="20"/>
          <w:szCs w:val="20"/>
          <w:color w:val="auto"/>
        </w:rPr>
      </w:pPr>
      <w:r>
        <w:rPr>
          <w:rFonts w:ascii="Arial" w:cs="Arial" w:eastAsia="Arial" w:hAnsi="Arial"/>
          <w:sz w:val="17"/>
          <w:szCs w:val="17"/>
          <w:color w:val="auto"/>
        </w:rPr>
        <w:t>Topic 606. This resulted in reduced sales and marketing expense in 2019 relative to our sales and marketing efforts and relative to our expected future sales and marketing expense when the amortization of the deferral is recognized in future periods.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the revaluation of the awards in accordance with GAAP. Through the date of modification, no equity-based compensation had been recognized for these awards as the qualifying event (i.e., the IPO) was not probable. Upon completion of the IPO, the Company recognized $57.6 million of additional compensation expense attributable to service periods already elapsed on HSKB awards and the acceleration of vesting select Class P Units. The remaining unamortized fair value as of the modification date will be recognized as equity-based compensation over the remaining service period of the awards. In addition to the impact of the modified HSKB awards, new awards and modifications that took place as part of the Reorganization Transactions and the IPO will contribute to higher equity-based compensation expense in 2020 and 2021.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Restatement of Our Financial Statements as of and for the Periods Ended June 30, 2020</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 connection with the preparation of our unaudited condensed consolidated financial statements as of and for the three- and nine-month periods ended September 30, 2020, we reviewed our determination of a tax benefit of approximately $21.6 million related to the difference between the GAAP basis and tax basis of partnerships owned by corporations within our corporate structure recorded during the quarterly period ended June 30, 2020 in our unaudited condensed consolidated financial statements as of and for the periods ended June 30, 2020. In our current judgement, we should not have recorded the tax benefit. As a result, we have restated our previously issued consolidated financial statements as of and for the three- and six-month periods ended June 30, 2020 in Amendment No. 1 to our Quarterly Report on Form 10-Q for the quarterly period ended June 30, 2020.</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ranging from one to three years and are non-cancellable. We typically bill for services in advance annually, semi-annually, or quarterly, and we typically require payment at the beginning of each annual, semi-annual, or quarterly period.</w:t>
      </w:r>
    </w:p>
    <w:p>
      <w:pPr>
        <w:spacing w:after="0" w:line="130"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Subscription revenue is generally recognized ratably over the contract term starting with when our service is made available to the customer. Recurring usage-based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8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i w:val="1"/>
          <w:iCs w:val="1"/>
          <w:color w:val="auto"/>
        </w:rPr>
        <w:t>Cost of Service</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 xml:space="preserve">Cost of Service, excluding amortization of acquired technology. </w:t>
      </w:r>
      <w:r>
        <w:rPr>
          <w:rFonts w:ascii="Arial" w:cs="Arial" w:eastAsia="Arial" w:hAnsi="Arial"/>
          <w:sz w:val="17"/>
          <w:szCs w:val="17"/>
          <w:color w:val="auto"/>
        </w:rPr>
        <w:t>Cost of service, excluding amortization of acquired technology includes direct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anticipate that we will continue to invest in costs of service and that costs of service as a percentage of revenue will stay consistent or modestly decrease as we realize operating leverage in the business.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Amortization of acquired technology. </w:t>
      </w:r>
      <w:r>
        <w:rPr>
          <w:rFonts w:ascii="Arial" w:cs="Arial" w:eastAsia="Arial" w:hAnsi="Arial"/>
          <w:sz w:val="15"/>
          <w:szCs w:val="15"/>
          <w:color w:val="auto"/>
        </w:rPr>
        <w:t>Amortization of acquired technology includes amortization expense for technology acquired in business combinations.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amortization of acquired technology will only increase if we make additional acquisitions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and amortization, and marketing.</w:t>
      </w:r>
    </w:p>
    <w:p>
      <w:pPr>
        <w:spacing w:after="0" w:line="128"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Sales and marketing expenses primarily consist of employee compensation such as salaries, bonuses, sales commissions,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8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support our efforts to enhance our existing platform and develop new software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expenses primarily consist of employee 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9" w:name="page120"/>
    <w:bookmarkEnd w:id="119"/>
    <w:p>
      <w:pPr>
        <w:jc w:val="both"/>
        <w:ind w:firstLine="309"/>
        <w:spacing w:after="0" w:line="26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primarily consist of employee-related costs such as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expect general and administrative expenses as a percentage of revenue to increase in 2020 and then stay consistent or modestly decrease thereafter, as we realize operating leverage in the business.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Amortization of other acquired intangibles</w:t>
      </w:r>
      <w:r>
        <w:rPr>
          <w:rFonts w:ascii="Arial" w:cs="Arial" w:eastAsia="Arial" w:hAnsi="Arial"/>
          <w:sz w:val="17"/>
          <w:szCs w:val="17"/>
          <w:color w:val="auto"/>
        </w:rPr>
        <w:t>. Amortization of acquired intangibles primarily consists of amortization of customer relationships, trade names, and</w:t>
      </w:r>
      <w:r>
        <w:rPr>
          <w:rFonts w:ascii="Arial" w:cs="Arial" w:eastAsia="Arial" w:hAnsi="Arial"/>
          <w:sz w:val="17"/>
          <w:szCs w:val="17"/>
          <w:i w:val="1"/>
          <w:iCs w:val="1"/>
          <w:color w:val="auto"/>
        </w:rPr>
        <w:t xml:space="preserve"> </w:t>
      </w:r>
      <w:r>
        <w:rPr>
          <w:rFonts w:ascii="Arial" w:cs="Arial" w:eastAsia="Arial" w:hAnsi="Arial"/>
          <w:sz w:val="17"/>
          <w:szCs w:val="17"/>
          <w:color w:val="auto"/>
        </w:rPr>
        <w:t>brand portfolios.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amortization of other acquired intangibles will only increase if we make additional acquisitions in the future.</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i w:val="1"/>
          <w:iCs w:val="1"/>
          <w:color w:val="auto"/>
        </w:rPr>
        <w:t xml:space="preserve">Restructuring and transaction expenses. </w:t>
      </w:r>
      <w:r>
        <w:rPr>
          <w:rFonts w:ascii="Arial" w:cs="Arial" w:eastAsia="Arial" w:hAnsi="Arial"/>
          <w:sz w:val="16"/>
          <w:szCs w:val="16"/>
          <w:color w:val="auto"/>
        </w:rPr>
        <w:t>Restructuring and transaction expenses primarily consist of various restructuring and acquisition activities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10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anticipate that restructuring and transaction expenses will be correlated with future acquisition activity or strategic restructuring activities, which could be greater than or less than our historic levels.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Interest expense represents the interest payable on our debt obligations and the amortization of debt discounts and debt issuance costs, less interest income.</w:t>
      </w:r>
    </w:p>
    <w:p>
      <w:pPr>
        <w:spacing w:after="0" w:line="18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have realized, and will continue to realize, a reduction in our interest expense during the nine months ended September 30, 2020 over prior periods as a result of the repayment of a portion of our outstanding indebtedness with the proceeds from IPO during June 2020. While our hedging programs are effective at hedging a significant portion of our variable interest rate risk, interest expense could increase in the future based on changes in variable interest rates or the issuance of additional debt.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Debt Extinguishment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Loss on debt extinguishment consists of prepayment penalties and impairment of deferred financing costs associated with the extinguishment of debt.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Other (income) expense, net consists primarily of foreign currency realized and unrealized gains and losses related to the impact of transactions denominated in a foreign currency.</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anticipate that the magnitude of other income and expenses may increase as we expand operations internationally and add complexity to our operations.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i w:val="1"/>
          <w:iCs w:val="1"/>
          <w:color w:val="auto"/>
        </w:rPr>
        <w:t>Benefit from Income Taxes</w:t>
      </w:r>
    </w:p>
    <w:p>
      <w:pPr>
        <w:spacing w:after="0" w:line="16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ZoomInfo OpCo is currently treated as a pass-through entity for U.S. federal income tax purposes and most applicable state and local income tax purposes. Benefit from income taxes, deferred tax assets, deferred tax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both the United States and foreign jurisdictions and hold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 Basis of Presentation and Summary of Significant Accounting Policies within our consolidated financial statements included elsewhere in this prospectus for additional information.</w:t>
      </w:r>
    </w:p>
    <w:p>
      <w:pPr>
        <w:spacing w:after="0" w:line="125"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After consummation of the Reorganization Transactions, ZoomInfo Technologies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provides that certain distributions to cover the taxes of the ZoomInfo Tax Group and ZoomInfo Technologies Inc.’s obligations under the tax receivable agreements will be made. See “Certain Relationships and Related Person Transactions—Tax Receivable Agreements.” However, our ability to make such distributions may be limited due to, among other things, restrictive covenants in our 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color w:val="auto"/>
        </w:rPr>
        <w:t>Results of Operations</w:t>
      </w:r>
    </w:p>
    <w:p>
      <w:pPr>
        <w:spacing w:after="0" w:line="17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following table presents our results of operations for the years ended December 31, 2018 and 2019 and the nine months ended September 30, 2019 and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5"/>
                <w:szCs w:val="15"/>
                <w:color w:val="auto"/>
              </w:rPr>
            </w:pPr>
          </w:p>
        </w:tc>
        <w:tc>
          <w:tcPr>
            <w:tcW w:w="282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140"/>
              <w:spacing w:after="0" w:line="219"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11"/>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255.6</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219"/>
        </w:trPr>
        <w:tc>
          <w:tcPr>
            <w:tcW w:w="4840" w:type="dxa"/>
            <w:vAlign w:val="bottom"/>
          </w:tcPr>
          <w:p>
            <w:pPr>
              <w:ind w:left="140"/>
              <w:spacing w:after="0" w:line="21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line="21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18"/>
        </w:trPr>
        <w:tc>
          <w:tcPr>
            <w:tcW w:w="4840" w:type="dxa"/>
            <w:vAlign w:val="bottom"/>
          </w:tcPr>
          <w:p>
            <w:pPr>
              <w:ind w:left="14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Restructuring and transaction-related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11"/>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248.1</w:t>
            </w: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8"/>
        </w:trPr>
        <w:tc>
          <w:tcPr>
            <w:tcW w:w="4840" w:type="dxa"/>
            <w:vAlign w:val="bottom"/>
          </w:tcPr>
          <w:p>
            <w:pPr>
              <w:ind w:left="14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 net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1"/>
        </w:trPr>
        <w:tc>
          <w:tcPr>
            <w:tcW w:w="484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tabs>
          <w:tab w:leader="none" w:pos="3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5"/>
                <w:szCs w:val="15"/>
                <w:color w:val="auto"/>
              </w:rPr>
            </w:pPr>
          </w:p>
        </w:tc>
        <w:tc>
          <w:tcPr>
            <w:tcW w:w="29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7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r>
      <w:tr>
        <w:trPr>
          <w:trHeight w:val="174"/>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r>
      <w:tr>
        <w:trPr>
          <w:trHeight w:val="177"/>
        </w:trPr>
        <w:tc>
          <w:tcPr>
            <w:tcW w:w="43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7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r>
      <w:tr>
        <w:trPr>
          <w:trHeight w:val="201"/>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3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2020 and Nine months ended September 30, 2019</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was $336.5 million for the nine months ended September 30, 2020, an increase of $134.3 million, or 66%, as compared to $202.2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nine months ended September 30, 2019. This increase was primarily due to the addition of new customers over the past 12 months and net expansion with existing customers, and, to a lesser extent, due to the recognition of revenue for renewed contracts at the contracted value, as opposed to the fair value ascribed to acquired contracts under purchase accounting during the prior year period or recognized by Pre-Acquisition ZI before the acquisition on February 1, 2019.</w:t>
      </w:r>
    </w:p>
    <w:p>
      <w:pPr>
        <w:spacing w:after="0" w:line="9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 xml:space="preserve">Cost of Service. </w:t>
      </w:r>
      <w:r>
        <w:rPr>
          <w:rFonts w:ascii="Arial" w:cs="Arial" w:eastAsia="Arial" w:hAnsi="Arial"/>
          <w:sz w:val="17"/>
          <w:szCs w:val="17"/>
          <w:color w:val="auto"/>
        </w:rPr>
        <w:t>Cost of service was $80.9 million for the nine months ended September 30, 2020, an increase of $30.8 million, or 61%, as compared to $50.1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2019. The increase was primarily due to additional stock-based compensation expense related to grants previously made by HSKB,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22" w:name="page123"/>
    <w:bookmarkEnd w:id="122"/>
    <w:p>
      <w:pPr>
        <w:jc w:val="both"/>
        <w:spacing w:after="0" w:line="279" w:lineRule="auto"/>
        <w:rPr>
          <w:sz w:val="20"/>
          <w:szCs w:val="20"/>
          <w:color w:val="auto"/>
        </w:rPr>
      </w:pPr>
      <w:r>
        <w:rPr>
          <w:rFonts w:ascii="Arial" w:cs="Arial" w:eastAsia="Arial" w:hAnsi="Arial"/>
          <w:sz w:val="17"/>
          <w:szCs w:val="17"/>
          <w:color w:val="auto"/>
        </w:rPr>
        <w:t>modified in December 2019, and triggered by the IPO. Additional expenses related to additional headcount and hosting expense to support new and growing customers were largely offset by reductions in amortization of acquired technology.</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$248.1 million for the nine months ended September 30, 2020, an increase of $112.9 million, or 84%,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$135.2 million for the nine months ended September 30, 2019. The increase was primarily due to additional stock-based compensation expense related to grants previously made by HSKB, modified in December 2019, and triggered by the IPO. Excluding stock-based compensation expenses, operating expenses were $167.7 million for the nine months ended September 30, 2020, an increase of $46.7 million, or 39%, as compared to $121.0 million for the nine months ended September 30, 2019. The increase was primarily due to:</w:t>
      </w:r>
    </w:p>
    <w:p>
      <w:pPr>
        <w:spacing w:after="0" w:line="130" w:lineRule="exact"/>
        <w:rPr>
          <w:sz w:val="20"/>
          <w:szCs w:val="20"/>
          <w:color w:val="auto"/>
        </w:rPr>
      </w:pPr>
    </w:p>
    <w:p>
      <w:pPr>
        <w:jc w:val="both"/>
        <w:ind w:left="620" w:hanging="308"/>
        <w:spacing w:after="0" w:line="290" w:lineRule="auto"/>
        <w:tabs>
          <w:tab w:leader="none" w:pos="616"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increase in sales and marketing expense (excluding stock-based compensation) of $30.3 million, or 54%, to $86.1 million for the nine months ended September 30,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105" w:lineRule="exact"/>
        <w:rPr>
          <w:rFonts w:ascii="Arial" w:cs="Arial" w:eastAsia="Arial" w:hAnsi="Arial"/>
          <w:sz w:val="16"/>
          <w:szCs w:val="16"/>
          <w:color w:val="auto"/>
        </w:rPr>
      </w:pPr>
    </w:p>
    <w:p>
      <w:pPr>
        <w:jc w:val="both"/>
        <w:ind w:left="620" w:hanging="308"/>
        <w:spacing w:after="0" w:line="266" w:lineRule="auto"/>
        <w:tabs>
          <w:tab w:leader="none" w:pos="616"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research and development expense (excluding stock-based compensation) of $6.8 million, or 37%, to $25.0 million for the nine months ended September 30, 2020, due primarily to additional engineering and product management resources added to support continued innovation of our services;</w:t>
      </w:r>
    </w:p>
    <w:p>
      <w:pPr>
        <w:spacing w:after="0" w:line="122"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78"/>
        </w:numPr>
        <w:rPr>
          <w:rFonts w:ascii="Arial" w:cs="Arial" w:eastAsia="Arial" w:hAnsi="Arial"/>
          <w:sz w:val="17"/>
          <w:szCs w:val="17"/>
          <w:i w:val="1"/>
          <w:iCs w:val="1"/>
          <w:color w:val="auto"/>
        </w:rPr>
      </w:pPr>
      <w:r>
        <w:rPr>
          <w:rFonts w:ascii="Arial" w:cs="Arial" w:eastAsia="Arial" w:hAnsi="Arial"/>
          <w:sz w:val="17"/>
          <w:szCs w:val="17"/>
          <w:color w:val="auto"/>
        </w:rPr>
        <w:t>an increase in general and administrative expense (excluding stock-based compensation) of $8.1 million, or 36%, to $30.4 million for the nine months ended September 30, 2020, due primarily to additional headcount and related salaries and benefits expenses to support the larger organization, which were offset by a decrease in integration-related expenses in the nine months ended September 30, 2019, which did not recur in the nine months ended September 30, 2020;</w:t>
      </w:r>
    </w:p>
    <w:p>
      <w:pPr>
        <w:spacing w:after="0" w:line="128" w:lineRule="exact"/>
        <w:rPr>
          <w:rFonts w:ascii="Arial" w:cs="Arial" w:eastAsia="Arial" w:hAnsi="Arial"/>
          <w:sz w:val="17"/>
          <w:szCs w:val="17"/>
          <w:i w:val="1"/>
          <w:iCs w:val="1"/>
          <w:color w:val="auto"/>
        </w:rPr>
      </w:pPr>
    </w:p>
    <w:p>
      <w:pPr>
        <w:ind w:left="620" w:hanging="308"/>
        <w:spacing w:after="0" w:line="311" w:lineRule="auto"/>
        <w:tabs>
          <w:tab w:leader="none" w:pos="616"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increase in amortization of acquired intangibles expense of $1.0 million, or 8%, to $13.9 million for the nine months ended September 30, 2020, due to amortization expense related to intangible assets acquired in the Zoom Information Acquisition during the full period for the current year; and</w:t>
      </w:r>
    </w:p>
    <w:p>
      <w:pPr>
        <w:spacing w:after="0" w:line="89" w:lineRule="exact"/>
        <w:rPr>
          <w:rFonts w:ascii="Arial" w:cs="Arial" w:eastAsia="Arial" w:hAnsi="Arial"/>
          <w:sz w:val="16"/>
          <w:szCs w:val="16"/>
          <w:color w:val="auto"/>
        </w:rPr>
      </w:pPr>
    </w:p>
    <w:p>
      <w:pPr>
        <w:jc w:val="both"/>
        <w:ind w:left="620" w:hanging="308"/>
        <w:spacing w:after="0" w:line="266" w:lineRule="auto"/>
        <w:tabs>
          <w:tab w:leader="none" w:pos="616" w:val="left"/>
        </w:tabs>
        <w:numPr>
          <w:ilvl w:val="0"/>
          <w:numId w:val="78"/>
        </w:numPr>
        <w:rPr>
          <w:rFonts w:ascii="Arial" w:cs="Arial" w:eastAsia="Arial" w:hAnsi="Arial"/>
          <w:sz w:val="17"/>
          <w:szCs w:val="17"/>
          <w:i w:val="1"/>
          <w:iCs w:val="1"/>
          <w:color w:val="auto"/>
        </w:rPr>
      </w:pPr>
      <w:r>
        <w:rPr>
          <w:rFonts w:ascii="Arial" w:cs="Arial" w:eastAsia="Arial" w:hAnsi="Arial"/>
          <w:sz w:val="17"/>
          <w:szCs w:val="17"/>
          <w:color w:val="auto"/>
        </w:rPr>
        <w:t>restructuring and transaction-related expense of $12.3 million for the nine months ended September 30, 2020, primarily related to the IPO. This represented an increase of $0.5 million, or 4%, as compared to expense of $11.8 million for the nine months ended September 30, 2019, related to acquisition of Pre-Acquisition ZI.</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$59.3 million for the nine months ended September 30, 2020, a decrease of $17.6 million, or 23%,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compared to $76.9 million for the nine months ended September 30, 2019. The decrease was primarily due to interest savings as a result of the repayment of our second lien debt in full and $100.0 million of first lien debt, offset by nonrecurring interest expense recognized upon partial dedesignation of cash flow hedges resulting from reclassification from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w:t>
      </w:r>
    </w:p>
    <w:p>
      <w:pPr>
        <w:spacing w:after="0" w:line="128"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i w:val="1"/>
          <w:iCs w:val="1"/>
          <w:color w:val="auto"/>
        </w:rPr>
        <w:t>Loss on Debt Extinguishment</w:t>
      </w:r>
      <w:r>
        <w:rPr>
          <w:rFonts w:ascii="Arial" w:cs="Arial" w:eastAsia="Arial" w:hAnsi="Arial"/>
          <w:sz w:val="15"/>
          <w:szCs w:val="15"/>
          <w:color w:val="auto"/>
        </w:rPr>
        <w:t>. Loss on debt extinguishment was $14.9 million for the nine months ended September 30, 2020, related to penalties and</w:t>
      </w:r>
      <w:r>
        <w:rPr>
          <w:rFonts w:ascii="Arial" w:cs="Arial" w:eastAsia="Arial" w:hAnsi="Arial"/>
          <w:sz w:val="15"/>
          <w:szCs w:val="15"/>
          <w:i w:val="1"/>
          <w:iCs w:val="1"/>
          <w:color w:val="auto"/>
        </w:rPr>
        <w:t xml:space="preserve"> </w:t>
      </w:r>
      <w:r>
        <w:rPr>
          <w:rFonts w:ascii="Arial" w:cs="Arial" w:eastAsia="Arial" w:hAnsi="Arial"/>
          <w:sz w:val="15"/>
          <w:szCs w:val="15"/>
          <w:color w:val="auto"/>
        </w:rPr>
        <w:t>derecognition of deferred and unamortized debt issuance costs resulting from the repayment of the second lien debt and $100.0 million first lien debt principal repayment after the IPO. This represented a decrease of $3.3 million, or 18%, as compared to expense of $18.2 million for the nine months ended September 30, 2019, related to costs incurred with respect to prior debt instruments that were repaid in conjunction with the acquisition of Pre-Acquisition ZI in February 2019.</w:t>
      </w:r>
    </w:p>
    <w:p>
      <w:pPr>
        <w:spacing w:after="0" w:line="96"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i w:val="1"/>
          <w:iCs w:val="1"/>
          <w:color w:val="auto"/>
        </w:rPr>
        <w:t xml:space="preserve">Benefit from Income Tax. </w:t>
      </w:r>
      <w:r>
        <w:rPr>
          <w:rFonts w:ascii="Arial" w:cs="Arial" w:eastAsia="Arial" w:hAnsi="Arial"/>
          <w:sz w:val="16"/>
          <w:szCs w:val="16"/>
          <w:color w:val="auto"/>
        </w:rPr>
        <w:t>Benefit (expense) from income taxes was $-9.8 million for the nine months ended September 30, 2020, a decrease of $15.5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271%, as compared to $5.7 million for the nine months ended September 30, 2019. The decrease was primarily due to a significant increase in losses driven by stock compensation expense and debt extinguishment losses as a result of the IPO and subsequent debt restructuring, in addition to ZoomInfo Technologies Inc. increased corporate ownership of ZoomInfo OpCo, which is benefiting earnings previously attributable to partnerships. .</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i w:val="1"/>
          <w:iCs w:val="1"/>
          <w:color w:val="auto"/>
        </w:rPr>
        <w:t>Year Ended December 31, 2019 and Year Ended December 31, 2018</w:t>
      </w:r>
    </w:p>
    <w:p>
      <w:pPr>
        <w:spacing w:after="0" w:line="16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was $293.3 million for the year ended December 31, 2019, an increase of $149.1 million, or 103%, as compared to $144.3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2018. This increase was primarily due to new customers acquired in the acquisitions of Pre-Acquisition ZI, NeverBounce, and Komiko, as well as the organic addition of new customers and net expansion with existing customers. Excluding the impact of the legacy platform contracts with customers acquired in the purchases of Pre-Acquisition ZI, NeverBounce, and Komiko, and the renewals and upsells thereof, revenue increased by $60.5 million. The increase in revenue, excluding the impact of customers acquired, was primarily driven by sales to new customers and, to a lesser extent, by the addition of additional subscriptions to existing customers, offset by cancellations and subscription reductions upon renewal. As of December 31, 2019, we had over 14,000 customers, an increase of about 3,000 customers, or 25%, as compared to over 11,000 customers on a combined basis, including non-overlapping customers of Pre-Acquisition ZI, as of December 31, 2018. As of December 31, 2019, over 580 of our customers spent more than $100,000 in ACV, an increase of approximately 200 customers, or 53%, as compared to over 380 customers of ZoomInfo and Pre-Acquisition ZI on a combined basis who spent more than $100,000 in ACV, as of December 31, 2018. On a pro forma basis, the combined revenue of ZoomInfo OpCo and Pre-Acquisition ZI would have been $334.2 million for the year ended December 31, 2019, an increase of $128.4 million, or 62%, as compared to $205.8 million for the year ended December 31, 2018, calculated as if the acquisition had occurred on January 1, 2018.</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i w:val="1"/>
          <w:iCs w:val="1"/>
          <w:color w:val="auto"/>
        </w:rPr>
        <w:t xml:space="preserve">Cost of Service. </w:t>
      </w:r>
      <w:r>
        <w:rPr>
          <w:rFonts w:ascii="Arial" w:cs="Arial" w:eastAsia="Arial" w:hAnsi="Arial"/>
          <w:sz w:val="16"/>
          <w:szCs w:val="16"/>
          <w:color w:val="auto"/>
        </w:rPr>
        <w:t>Cost of service was $68.7 million for the year ended December 31, 2019, an increase of $30.8 million, or 81%, as compared to $37.9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2018. The increase was primarily due to additional amortization of acquired technology that arose from the Zoom Information Acquisition and additional headcount and hosting expense to support acquired and new customers. On a pro forma basis, the combined cost of services of ZoomInfo OpCo and Pre-Acquisition ZI would have been $70.7 million for the year ended December 31, 2019, an increase of $9.9 million, or 16%, as compared to $60.9 million for the year ended December 31, 2018, calculated as if the acquisition had occurred on January 1, 2018.</w:t>
      </w:r>
    </w:p>
    <w:p>
      <w:pPr>
        <w:spacing w:after="0" w:line="11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$188.6 million for the year ended December 31, 2019, an increase of $108.7 million, or 136%,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$79.9 million for the year ended December 31, 2018. The increase was primarily due to:</w:t>
      </w:r>
    </w:p>
    <w:p>
      <w:pPr>
        <w:spacing w:after="0" w:line="112" w:lineRule="exact"/>
        <w:rPr>
          <w:sz w:val="20"/>
          <w:szCs w:val="20"/>
          <w:color w:val="auto"/>
        </w:rPr>
      </w:pPr>
    </w:p>
    <w:p>
      <w:pPr>
        <w:ind w:left="620" w:hanging="308"/>
        <w:spacing w:after="0" w:line="311" w:lineRule="auto"/>
        <w:tabs>
          <w:tab w:leader="none" w:pos="616"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increase in sales and marketing expense of $47.8 million, or 113%, to $90.2 million for the year ended December 31, 2019, due primarily to additional sales and marketing resources added through the Zoom Information Acquisition and additional hiring to drive continued incremental sales;</w:t>
      </w:r>
    </w:p>
    <w:p>
      <w:pPr>
        <w:spacing w:after="0" w:line="89"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increase in research and development expense of $24.0 million, or 392%, to $30.1 million for the year ended December 31, 2019, due primarily to additional engineering and product management resources added through the Zoom Information Acquisition;</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$14.4 million, or 69%, to $35.1 million for the year ended December 31, 2019, due primarily to additional resources added through the Zoom Information Acquisition and additional hiring to support the larger organization;</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increase in amortization of acquired intangibles expense of $10.6 million, or 152%, to $17.6 million for the year ended December 31, 2019, due to additional amortization expense related to intangible assets acquired in the Zoom Information Acquisition;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24" w:name="page125"/>
    <w:bookmarkEnd w:id="124"/>
    <w:p>
      <w:pPr>
        <w:jc w:val="both"/>
        <w:ind w:left="620" w:hanging="308"/>
        <w:spacing w:after="0" w:line="259" w:lineRule="auto"/>
        <w:tabs>
          <w:tab w:leader="none" w:pos="616"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increase in restructuring and transaction-related expense of $12.0 million, or 334%, to $15.6 million for the year ended December 31, 2019, due to expenses incurred in completing the Zoom Information acquisition of Pre-Acquisition ZI and restructuring activities undertaken as part of and after the Zoom Information Acquisition to rationalize certain research, engineering, and general and administrative activities, offset by restructuring and transaction-related expenses in the year ended December 31, 2018 related to the investment in us by Carlyle and the NeverBounce acquisition that did not recur.</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$102.4 million for the year ended December 31, 2019, an increase of $44.3 million, or 76%,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$58.2 million for the year ended December 31, 2018. The increase was primarily due to additional debt that we incurred to fund the Zoom Information Acquisition, partially offset by decreasing LIBOR rates.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was $0.0 million for the year ended December 31, 2019, an increase of $0.1 million, or 67%,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$(0.1) million for the year ended December 31, 2018.</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Benefit from Income Taxes. </w:t>
      </w:r>
      <w:r>
        <w:rPr>
          <w:rFonts w:ascii="Arial" w:cs="Arial" w:eastAsia="Arial" w:hAnsi="Arial"/>
          <w:sz w:val="17"/>
          <w:szCs w:val="17"/>
          <w:color w:val="auto"/>
        </w:rPr>
        <w:t>Benefit from income taxes was $6.5 million for the year ended December 31, 2019, an increase of $3.6 million, or 127%,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$2.9 million for the year ended December 31, 2018. The increase was primarily due to greater losses before tax.</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Quarterly Financial Information</w:t>
      </w:r>
    </w:p>
    <w:p>
      <w:pPr>
        <w:spacing w:after="0" w:line="171"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The following tables present the unaudited quarterly historical consolidated financial and other data for ZoomInfo OpCo and its subsidiaries for each of the 11 quarterly periods ended September 30, 2020. The unaudited quarterly historical consolidated financial and other data have been prepared on the same basis as the audited consolidated financial statements of ZoomInfo OpCo included elsewhere in this prospectus. In our opinion, the unaudited quarterly historical consolidated financial information have included all adjustments, which include normal recurring adjustments, necessary to present fairly in all material respects our financial position and results of operations for these periods. This information should be read in conjunction with the consolidated financial statements of ZoomInfo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0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a result of a number of factors, including the Zoom Information Acquisition, our historical results of operations are not comparable from period to period and may not be comparable to our financial results of operations in future periods. For additional discussion of these factors, see “—Factors Affecting the Comparability of Our Results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4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9"/>
                <w:szCs w:val="9"/>
                <w:b w:val="1"/>
                <w:bCs w:val="1"/>
                <w:color w:val="auto"/>
              </w:rPr>
              <w:t>Three Months Ended</w:t>
            </w: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w w:val="99"/>
              </w:rPr>
              <w:t>March 31, 2018</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b w:val="1"/>
                <w:bCs w:val="1"/>
                <w:color w:val="auto"/>
              </w:rPr>
              <w:t>June 30, 2018</w:t>
            </w: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September 30, 2018</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December 31, 2018</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March 31, 2019</w:t>
            </w:r>
          </w:p>
        </w:tc>
        <w:tc>
          <w:tcPr>
            <w:tcW w:w="82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9"/>
                <w:szCs w:val="9"/>
                <w:b w:val="1"/>
                <w:bCs w:val="1"/>
                <w:color w:val="auto"/>
              </w:rPr>
              <w:t>June 30, 2019</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September 30, 2019</w:t>
            </w: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December 31, 2019</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b w:val="1"/>
                <w:bCs w:val="1"/>
                <w:color w:val="auto"/>
              </w:rPr>
              <w:t>March 31, 2020</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9"/>
                <w:szCs w:val="9"/>
                <w:b w:val="1"/>
                <w:bCs w:val="1"/>
                <w:color w:val="auto"/>
              </w:rPr>
              <w:t>June 30, 2020</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9"/>
                <w:szCs w:val="9"/>
                <w:b w:val="1"/>
                <w:bCs w:val="1"/>
                <w:color w:val="auto"/>
                <w:w w:val="90"/>
              </w:rPr>
              <w:t>September 30, 2020</w:t>
            </w: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31.5</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34.6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37.4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2"/>
                <w:szCs w:val="12"/>
                <w:color w:val="auto"/>
              </w:rPr>
              <w:t>40.8</w:t>
            </w:r>
          </w:p>
        </w:tc>
        <w:tc>
          <w:tcPr>
            <w:tcW w:w="30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54.6</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68.5</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center"/>
              <w:ind w:left="463"/>
              <w:spacing w:after="0"/>
              <w:rPr>
                <w:sz w:val="20"/>
                <w:szCs w:val="20"/>
                <w:color w:val="auto"/>
              </w:rPr>
            </w:pPr>
            <w:r>
              <w:rPr>
                <w:rFonts w:ascii="Arial" w:cs="Arial" w:eastAsia="Arial" w:hAnsi="Arial"/>
                <w:sz w:val="12"/>
                <w:szCs w:val="12"/>
                <w:color w:val="auto"/>
                <w:w w:val="93"/>
              </w:rPr>
              <w:t>79.1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2"/>
                <w:szCs w:val="12"/>
                <w:color w:val="auto"/>
              </w:rPr>
              <w:t>91.1</w:t>
            </w:r>
          </w:p>
        </w:tc>
        <w:tc>
          <w:tcPr>
            <w:tcW w:w="30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102.2</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110.9</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123.4</w:t>
            </w:r>
          </w:p>
        </w:tc>
        <w:tc>
          <w:tcPr>
            <w:tcW w:w="0" w:type="dxa"/>
            <w:vAlign w:val="bottom"/>
          </w:tcPr>
          <w:p>
            <w:pPr>
              <w:spacing w:after="0"/>
              <w:rPr>
                <w:sz w:val="1"/>
                <w:szCs w:val="1"/>
                <w:color w:val="auto"/>
              </w:rPr>
            </w:pPr>
          </w:p>
        </w:tc>
      </w:tr>
      <w:tr>
        <w:trPr>
          <w:trHeight w:val="160"/>
        </w:trPr>
        <w:tc>
          <w:tcPr>
            <w:tcW w:w="146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240" w:type="dxa"/>
            <w:vAlign w:val="bottom"/>
          </w:tcPr>
          <w:p>
            <w:pPr>
              <w:spacing w:after="0"/>
              <w:rPr>
                <w:sz w:val="13"/>
                <w:szCs w:val="13"/>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20.7</w:t>
            </w:r>
          </w:p>
        </w:tc>
        <w:tc>
          <w:tcPr>
            <w:tcW w:w="28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24.8</w:t>
            </w:r>
          </w:p>
        </w:tc>
        <w:tc>
          <w:tcPr>
            <w:tcW w:w="120" w:type="dxa"/>
            <w:vAlign w:val="bottom"/>
          </w:tcPr>
          <w:p>
            <w:pPr>
              <w:spacing w:after="0"/>
              <w:rPr>
                <w:sz w:val="13"/>
                <w:szCs w:val="13"/>
                <w:color w:val="auto"/>
              </w:rPr>
            </w:pPr>
          </w:p>
        </w:tc>
        <w:tc>
          <w:tcPr>
            <w:tcW w:w="920" w:type="dxa"/>
            <w:vAlign w:val="bottom"/>
          </w:tcPr>
          <w:p>
            <w:pPr>
              <w:ind w:left="600"/>
              <w:spacing w:after="0"/>
              <w:rPr>
                <w:sz w:val="20"/>
                <w:szCs w:val="20"/>
                <w:color w:val="auto"/>
              </w:rPr>
            </w:pPr>
            <w:r>
              <w:rPr>
                <w:rFonts w:ascii="Arial" w:cs="Arial" w:eastAsia="Arial" w:hAnsi="Arial"/>
                <w:sz w:val="12"/>
                <w:szCs w:val="12"/>
                <w:color w:val="auto"/>
              </w:rPr>
              <w:t>29.4</w:t>
            </w:r>
          </w:p>
        </w:tc>
        <w:tc>
          <w:tcPr>
            <w:tcW w:w="120" w:type="dxa"/>
            <w:vAlign w:val="bottom"/>
          </w:tcPr>
          <w:p>
            <w:pPr>
              <w:spacing w:after="0"/>
              <w:rPr>
                <w:sz w:val="13"/>
                <w:szCs w:val="13"/>
                <w:color w:val="auto"/>
              </w:rPr>
            </w:pPr>
          </w:p>
        </w:tc>
        <w:tc>
          <w:tcPr>
            <w:tcW w:w="880" w:type="dxa"/>
            <w:vAlign w:val="bottom"/>
          </w:tcPr>
          <w:p>
            <w:pPr>
              <w:ind w:left="580"/>
              <w:spacing w:after="0"/>
              <w:rPr>
                <w:sz w:val="20"/>
                <w:szCs w:val="20"/>
                <w:color w:val="auto"/>
              </w:rPr>
            </w:pPr>
            <w:r>
              <w:rPr>
                <w:rFonts w:ascii="Arial" w:cs="Arial" w:eastAsia="Arial" w:hAnsi="Arial"/>
                <w:sz w:val="12"/>
                <w:szCs w:val="12"/>
                <w:color w:val="auto"/>
              </w:rPr>
              <w:t>31.7</w:t>
            </w:r>
          </w:p>
        </w:tc>
        <w:tc>
          <w:tcPr>
            <w:tcW w:w="30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39.9</w:t>
            </w:r>
          </w:p>
        </w:tc>
        <w:tc>
          <w:tcPr>
            <w:tcW w:w="200" w:type="dxa"/>
            <w:vAlign w:val="bottom"/>
          </w:tcPr>
          <w:p>
            <w:pPr>
              <w:spacing w:after="0"/>
              <w:rPr>
                <w:sz w:val="13"/>
                <w:szCs w:val="13"/>
                <w:color w:val="auto"/>
              </w:rPr>
            </w:pPr>
          </w:p>
        </w:tc>
        <w:tc>
          <w:tcPr>
            <w:tcW w:w="620" w:type="dxa"/>
            <w:vAlign w:val="bottom"/>
          </w:tcPr>
          <w:p>
            <w:pPr>
              <w:jc w:val="right"/>
              <w:ind w:right="82"/>
              <w:spacing w:after="0"/>
              <w:rPr>
                <w:sz w:val="20"/>
                <w:szCs w:val="20"/>
                <w:color w:val="auto"/>
              </w:rPr>
            </w:pPr>
            <w:r>
              <w:rPr>
                <w:rFonts w:ascii="Arial" w:cs="Arial" w:eastAsia="Arial" w:hAnsi="Arial"/>
                <w:sz w:val="12"/>
                <w:szCs w:val="12"/>
                <w:color w:val="auto"/>
              </w:rPr>
              <w:t>50.9</w:t>
            </w:r>
          </w:p>
        </w:tc>
        <w:tc>
          <w:tcPr>
            <w:tcW w:w="80" w:type="dxa"/>
            <w:vAlign w:val="bottom"/>
          </w:tcPr>
          <w:p>
            <w:pPr>
              <w:spacing w:after="0"/>
              <w:rPr>
                <w:sz w:val="13"/>
                <w:szCs w:val="13"/>
                <w:color w:val="auto"/>
              </w:rPr>
            </w:pPr>
          </w:p>
        </w:tc>
        <w:tc>
          <w:tcPr>
            <w:tcW w:w="900" w:type="dxa"/>
            <w:vAlign w:val="bottom"/>
          </w:tcPr>
          <w:p>
            <w:pPr>
              <w:jc w:val="center"/>
              <w:ind w:left="463"/>
              <w:spacing w:after="0"/>
              <w:rPr>
                <w:sz w:val="20"/>
                <w:szCs w:val="20"/>
                <w:color w:val="auto"/>
              </w:rPr>
            </w:pPr>
            <w:r>
              <w:rPr>
                <w:rFonts w:ascii="Arial" w:cs="Arial" w:eastAsia="Arial" w:hAnsi="Arial"/>
                <w:sz w:val="12"/>
                <w:szCs w:val="12"/>
                <w:color w:val="auto"/>
                <w:w w:val="93"/>
              </w:rPr>
              <w:t>61.3</w:t>
            </w:r>
          </w:p>
        </w:tc>
        <w:tc>
          <w:tcPr>
            <w:tcW w:w="140" w:type="dxa"/>
            <w:vAlign w:val="bottom"/>
          </w:tcPr>
          <w:p>
            <w:pPr>
              <w:spacing w:after="0"/>
              <w:rPr>
                <w:sz w:val="13"/>
                <w:szCs w:val="13"/>
                <w:color w:val="auto"/>
              </w:rPr>
            </w:pPr>
          </w:p>
        </w:tc>
        <w:tc>
          <w:tcPr>
            <w:tcW w:w="880" w:type="dxa"/>
            <w:vAlign w:val="bottom"/>
          </w:tcPr>
          <w:p>
            <w:pPr>
              <w:ind w:left="580"/>
              <w:spacing w:after="0"/>
              <w:rPr>
                <w:sz w:val="20"/>
                <w:szCs w:val="20"/>
                <w:color w:val="auto"/>
              </w:rPr>
            </w:pPr>
            <w:r>
              <w:rPr>
                <w:rFonts w:ascii="Arial" w:cs="Arial" w:eastAsia="Arial" w:hAnsi="Arial"/>
                <w:sz w:val="12"/>
                <w:szCs w:val="12"/>
                <w:color w:val="auto"/>
              </w:rPr>
              <w:t>72.6</w:t>
            </w:r>
          </w:p>
        </w:tc>
        <w:tc>
          <w:tcPr>
            <w:tcW w:w="300" w:type="dxa"/>
            <w:vAlign w:val="bottom"/>
          </w:tcPr>
          <w:p>
            <w:pPr>
              <w:spacing w:after="0"/>
              <w:rPr>
                <w:sz w:val="13"/>
                <w:szCs w:val="13"/>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81.8</w:t>
            </w:r>
          </w:p>
        </w:tc>
        <w:tc>
          <w:tcPr>
            <w:tcW w:w="28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77.1</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96.7</w:t>
            </w:r>
          </w:p>
        </w:tc>
        <w:tc>
          <w:tcPr>
            <w:tcW w:w="0" w:type="dxa"/>
            <w:vAlign w:val="bottom"/>
          </w:tcPr>
          <w:p>
            <w:pPr>
              <w:spacing w:after="0"/>
              <w:rPr>
                <w:sz w:val="1"/>
                <w:szCs w:val="1"/>
                <w:color w:val="auto"/>
              </w:rPr>
            </w:pPr>
          </w:p>
        </w:tc>
      </w:tr>
      <w:tr>
        <w:trPr>
          <w:trHeight w:val="123"/>
        </w:trPr>
        <w:tc>
          <w:tcPr>
            <w:tcW w:w="1460" w:type="dxa"/>
            <w:vAlign w:val="bottom"/>
            <w:shd w:val="clear" w:color="auto" w:fill="CCEEFF"/>
          </w:tcPr>
          <w:p>
            <w:pPr>
              <w:ind w:left="180"/>
              <w:spacing w:after="0" w:line="124" w:lineRule="exact"/>
              <w:rPr>
                <w:sz w:val="20"/>
                <w:szCs w:val="20"/>
                <w:color w:val="auto"/>
              </w:rPr>
            </w:pPr>
            <w:r>
              <w:rPr>
                <w:rFonts w:ascii="Arial" w:cs="Arial" w:eastAsia="Arial" w:hAnsi="Arial"/>
                <w:sz w:val="12"/>
                <w:szCs w:val="12"/>
                <w:color w:val="auto"/>
              </w:rPr>
              <w:t>Income (loss) from</w:t>
            </w:r>
          </w:p>
        </w:tc>
        <w:tc>
          <w:tcPr>
            <w:tcW w:w="24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2"/>
                <w:szCs w:val="12"/>
                <w:color w:val="auto"/>
              </w:rPr>
              <w:t>13.5</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2"/>
                <w:szCs w:val="12"/>
                <w:color w:val="auto"/>
              </w:rPr>
              <w:t>13.6</w:t>
            </w:r>
          </w:p>
        </w:tc>
        <w:tc>
          <w:tcPr>
            <w:tcW w:w="3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center"/>
              <w:ind w:left="463"/>
              <w:spacing w:after="0"/>
              <w:rPr>
                <w:sz w:val="20"/>
                <w:szCs w:val="20"/>
                <w:color w:val="auto"/>
              </w:rPr>
            </w:pPr>
            <w:r>
              <w:rPr>
                <w:rFonts w:ascii="Arial" w:cs="Arial" w:eastAsia="Arial" w:hAnsi="Arial"/>
                <w:sz w:val="12"/>
                <w:szCs w:val="12"/>
                <w:color w:val="auto"/>
                <w:w w:val="93"/>
              </w:rPr>
              <w:t>13.1</w:t>
            </w: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2"/>
                <w:szCs w:val="12"/>
                <w:color w:val="auto"/>
              </w:rPr>
              <w:t>19.2</w:t>
            </w:r>
          </w:p>
        </w:tc>
        <w:tc>
          <w:tcPr>
            <w:tcW w:w="3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20.3</w:t>
            </w:r>
          </w:p>
        </w:tc>
        <w:tc>
          <w:tcPr>
            <w:tcW w:w="2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140"/>
              <w:spacing w:after="0"/>
              <w:rPr>
                <w:sz w:val="20"/>
                <w:szCs w:val="20"/>
                <w:color w:val="auto"/>
              </w:rPr>
            </w:pPr>
            <w:r>
              <w:rPr>
                <w:rFonts w:ascii="Arial" w:cs="Arial" w:eastAsia="Arial" w:hAnsi="Arial"/>
                <w:sz w:val="12"/>
                <w:szCs w:val="12"/>
                <w:color w:val="auto"/>
              </w:rPr>
              <w:t>(31.2)</w:t>
            </w:r>
          </w:p>
        </w:tc>
        <w:tc>
          <w:tcPr>
            <w:tcW w:w="1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67"/>
        </w:trPr>
        <w:tc>
          <w:tcPr>
            <w:tcW w:w="14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operations</w:t>
            </w:r>
          </w:p>
        </w:tc>
        <w:tc>
          <w:tcPr>
            <w:tcW w:w="24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(16.3)</w:t>
            </w:r>
          </w:p>
        </w:tc>
        <w:tc>
          <w:tcPr>
            <w:tcW w:w="2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3"/>
                <w:szCs w:val="13"/>
                <w:color w:val="auto"/>
              </w:rPr>
            </w:pPr>
          </w:p>
        </w:tc>
        <w:tc>
          <w:tcPr>
            <w:tcW w:w="920" w:type="dxa"/>
            <w:vAlign w:val="bottom"/>
          </w:tcPr>
          <w:p>
            <w:pPr>
              <w:ind w:left="62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3"/>
                <w:szCs w:val="13"/>
                <w:color w:val="auto"/>
              </w:rPr>
            </w:pPr>
          </w:p>
        </w:tc>
        <w:tc>
          <w:tcPr>
            <w:tcW w:w="880" w:type="dxa"/>
            <w:vAlign w:val="bottom"/>
          </w:tcPr>
          <w:p>
            <w:pPr>
              <w:ind w:left="600"/>
              <w:spacing w:after="0"/>
              <w:rPr>
                <w:sz w:val="20"/>
                <w:szCs w:val="20"/>
                <w:color w:val="auto"/>
              </w:rPr>
            </w:pPr>
            <w:r>
              <w:rPr>
                <w:rFonts w:ascii="Arial" w:cs="Arial" w:eastAsia="Arial" w:hAnsi="Arial"/>
                <w:sz w:val="12"/>
                <w:szCs w:val="12"/>
                <w:color w:val="auto"/>
              </w:rPr>
              <w:t>(0.3)</w:t>
            </w:r>
          </w:p>
        </w:tc>
        <w:tc>
          <w:tcPr>
            <w:tcW w:w="3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(40.2)</w:t>
            </w:r>
          </w:p>
        </w:tc>
        <w:tc>
          <w:tcPr>
            <w:tcW w:w="200" w:type="dxa"/>
            <w:vAlign w:val="bottom"/>
          </w:tcPr>
          <w:p>
            <w:pPr>
              <w:spacing w:after="0"/>
              <w:rPr>
                <w:sz w:val="13"/>
                <w:szCs w:val="13"/>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(19.9)</w:t>
            </w:r>
          </w:p>
        </w:tc>
        <w:tc>
          <w:tcPr>
            <w:tcW w:w="80" w:type="dxa"/>
            <w:vAlign w:val="bottom"/>
          </w:tcPr>
          <w:p>
            <w:pPr>
              <w:spacing w:after="0"/>
              <w:rPr>
                <w:sz w:val="13"/>
                <w:szCs w:val="13"/>
                <w:color w:val="auto"/>
              </w:rPr>
            </w:pPr>
          </w:p>
        </w:tc>
        <w:tc>
          <w:tcPr>
            <w:tcW w:w="900" w:type="dxa"/>
            <w:vAlign w:val="bottom"/>
          </w:tcPr>
          <w:p>
            <w:pPr>
              <w:jc w:val="center"/>
              <w:ind w:left="443"/>
              <w:spacing w:after="0"/>
              <w:rPr>
                <w:sz w:val="20"/>
                <w:szCs w:val="20"/>
                <w:color w:val="auto"/>
              </w:rPr>
            </w:pPr>
            <w:r>
              <w:rPr>
                <w:rFonts w:ascii="Arial" w:cs="Arial" w:eastAsia="Arial" w:hAnsi="Arial"/>
                <w:sz w:val="12"/>
                <w:szCs w:val="12"/>
                <w:color w:val="auto"/>
                <w:w w:val="89"/>
              </w:rPr>
              <w:t>(12.4)</w:t>
            </w:r>
          </w:p>
        </w:tc>
        <w:tc>
          <w:tcPr>
            <w:tcW w:w="140" w:type="dxa"/>
            <w:vAlign w:val="bottom"/>
          </w:tcPr>
          <w:p>
            <w:pPr>
              <w:spacing w:after="0"/>
              <w:rPr>
                <w:sz w:val="13"/>
                <w:szCs w:val="13"/>
                <w:color w:val="auto"/>
              </w:rPr>
            </w:pPr>
          </w:p>
        </w:tc>
        <w:tc>
          <w:tcPr>
            <w:tcW w:w="880" w:type="dxa"/>
            <w:vAlign w:val="bottom"/>
          </w:tcPr>
          <w:p>
            <w:pPr>
              <w:ind w:left="580"/>
              <w:spacing w:after="0"/>
              <w:rPr>
                <w:sz w:val="20"/>
                <w:szCs w:val="20"/>
                <w:color w:val="auto"/>
              </w:rPr>
            </w:pPr>
            <w:r>
              <w:rPr>
                <w:rFonts w:ascii="Arial" w:cs="Arial" w:eastAsia="Arial" w:hAnsi="Arial"/>
                <w:sz w:val="12"/>
                <w:szCs w:val="12"/>
                <w:color w:val="auto"/>
              </w:rPr>
              <w:t>(5.5)</w:t>
            </w:r>
          </w:p>
        </w:tc>
        <w:tc>
          <w:tcPr>
            <w:tcW w:w="3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(5.9)</w:t>
            </w:r>
          </w:p>
        </w:tc>
        <w:tc>
          <w:tcPr>
            <w:tcW w:w="280" w:type="dxa"/>
            <w:vAlign w:val="bottom"/>
          </w:tcPr>
          <w:p>
            <w:pPr>
              <w:spacing w:after="0"/>
              <w:rPr>
                <w:sz w:val="13"/>
                <w:szCs w:val="13"/>
                <w:color w:val="auto"/>
              </w:rPr>
            </w:pPr>
          </w:p>
        </w:tc>
        <w:tc>
          <w:tcPr>
            <w:tcW w:w="500" w:type="dxa"/>
            <w:vAlign w:val="bottom"/>
          </w:tcPr>
          <w:p>
            <w:pPr>
              <w:ind w:left="140"/>
              <w:spacing w:after="0"/>
              <w:rPr>
                <w:sz w:val="20"/>
                <w:szCs w:val="20"/>
                <w:color w:val="auto"/>
              </w:rPr>
            </w:pPr>
            <w:r>
              <w:rPr>
                <w:rFonts w:ascii="Arial" w:cs="Arial" w:eastAsia="Arial" w:hAnsi="Arial"/>
                <w:sz w:val="12"/>
                <w:szCs w:val="12"/>
                <w:color w:val="auto"/>
              </w:rPr>
              <w:t>(77.9)</w:t>
            </w:r>
          </w:p>
        </w:tc>
        <w:tc>
          <w:tcPr>
            <w:tcW w:w="14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i w:val="1"/>
          <w:iCs w:val="1"/>
          <w:color w:val="auto"/>
        </w:rPr>
        <w:t>Allocated Combined Receipts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6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9"/>
                <w:szCs w:val="9"/>
                <w:b w:val="1"/>
                <w:bCs w:val="1"/>
                <w:color w:val="auto"/>
              </w:rPr>
              <w:t>Three Months Ended</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March 31, 2018</w:t>
            </w: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2018</w:t>
            </w: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9"/>
                <w:szCs w:val="9"/>
                <w:b w:val="1"/>
                <w:bCs w:val="1"/>
                <w:color w:val="auto"/>
              </w:rPr>
              <w:t>September 30, 2018</w:t>
            </w: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9"/>
                <w:szCs w:val="9"/>
                <w:b w:val="1"/>
                <w:bCs w:val="1"/>
                <w:color w:val="auto"/>
              </w:rPr>
              <w:t>December 31, 2018</w:t>
            </w: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2019</w:t>
            </w: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June 30, 2019</w:t>
            </w: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September 30, 2019</w:t>
            </w: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December 31, 2019</w:t>
            </w: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March 31, 2020</w:t>
            </w: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2020</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w w:val="96"/>
              </w:rPr>
              <w:t>(in millions)</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4"/>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w:t>
            </w:r>
          </w:p>
        </w:tc>
        <w:tc>
          <w:tcPr>
            <w:tcW w:w="0" w:type="dxa"/>
            <w:vAlign w:val="bottom"/>
          </w:tcPr>
          <w:p>
            <w:pPr>
              <w:spacing w:after="0"/>
              <w:rPr>
                <w:sz w:val="1"/>
                <w:szCs w:val="1"/>
                <w:color w:val="auto"/>
              </w:rPr>
            </w:pPr>
          </w:p>
        </w:tc>
      </w:tr>
      <w:tr>
        <w:trPr>
          <w:trHeight w:val="116"/>
        </w:trPr>
        <w:tc>
          <w:tcPr>
            <w:tcW w:w="1660" w:type="dxa"/>
            <w:vAlign w:val="bottom"/>
          </w:tcPr>
          <w:p>
            <w:pPr>
              <w:ind w:left="120"/>
              <w:spacing w:after="0" w:line="116" w:lineRule="exact"/>
              <w:rPr>
                <w:sz w:val="20"/>
                <w:szCs w:val="20"/>
                <w:color w:val="auto"/>
              </w:rPr>
            </w:pPr>
            <w:r>
              <w:rPr>
                <w:rFonts w:ascii="Arial" w:cs="Arial" w:eastAsia="Arial" w:hAnsi="Arial"/>
                <w:sz w:val="12"/>
                <w:szCs w:val="12"/>
                <w:color w:val="auto"/>
              </w:rPr>
              <w:t>Impact of fair value</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60" w:type="dxa"/>
            <w:vAlign w:val="bottom"/>
          </w:tcPr>
          <w:p>
            <w:pPr>
              <w:ind w:left="280"/>
              <w:spacing w:after="0" w:line="116" w:lineRule="exact"/>
              <w:rPr>
                <w:sz w:val="20"/>
                <w:szCs w:val="20"/>
                <w:color w:val="auto"/>
              </w:rPr>
            </w:pPr>
            <w:r>
              <w:rPr>
                <w:rFonts w:ascii="Arial" w:cs="Arial" w:eastAsia="Arial" w:hAnsi="Arial"/>
                <w:sz w:val="12"/>
                <w:szCs w:val="12"/>
                <w:color w:val="auto"/>
              </w:rPr>
              <w:t>adjustments to acquired</w:t>
            </w:r>
          </w:p>
        </w:tc>
        <w:tc>
          <w:tcPr>
            <w:tcW w:w="2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10.7</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67"/>
        </w:trPr>
        <w:tc>
          <w:tcPr>
            <w:tcW w:w="1660" w:type="dxa"/>
            <w:vAlign w:val="bottom"/>
          </w:tcPr>
          <w:p>
            <w:pPr>
              <w:ind w:left="280"/>
              <w:spacing w:after="0" w:line="167" w:lineRule="exact"/>
              <w:rPr>
                <w:sz w:val="20"/>
                <w:szCs w:val="20"/>
                <w:color w:val="auto"/>
              </w:rPr>
            </w:pPr>
            <w:r>
              <w:rPr>
                <w:rFonts w:ascii="Arial" w:cs="Arial" w:eastAsia="Arial" w:hAnsi="Arial"/>
                <w:sz w:val="12"/>
                <w:szCs w:val="12"/>
                <w:color w:val="auto"/>
              </w:rPr>
              <w:t>unearned revenue</w:t>
            </w:r>
            <w:r>
              <w:rPr>
                <w:rFonts w:ascii="Arial" w:cs="Arial" w:eastAsia="Arial" w:hAnsi="Arial"/>
                <w:sz w:val="15"/>
                <w:szCs w:val="15"/>
                <w:color w:val="auto"/>
                <w:vertAlign w:val="superscript"/>
              </w:rPr>
              <w:t>(a)</w:t>
            </w:r>
          </w:p>
        </w:tc>
        <w:tc>
          <w:tcPr>
            <w:tcW w:w="2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120"/>
              <w:spacing w:after="0" w:line="167" w:lineRule="exact"/>
              <w:rPr>
                <w:sz w:val="20"/>
                <w:szCs w:val="20"/>
                <w:color w:val="auto"/>
              </w:rPr>
            </w:pPr>
            <w:r>
              <w:rPr>
                <w:rFonts w:ascii="Arial" w:cs="Arial" w:eastAsia="Arial" w:hAnsi="Arial"/>
                <w:sz w:val="12"/>
                <w:szCs w:val="12"/>
                <w:color w:val="auto"/>
                <w:w w:val="98"/>
              </w:rPr>
              <w:t>Pre-Acquisition ZI revenue</w:t>
            </w:r>
            <w:r>
              <w:rPr>
                <w:rFonts w:ascii="Arial" w:cs="Arial" w:eastAsia="Arial" w:hAnsi="Arial"/>
                <w:sz w:val="15"/>
                <w:szCs w:val="15"/>
                <w:color w:val="auto"/>
                <w:w w:val="98"/>
                <w:vertAlign w:val="superscript"/>
              </w:rPr>
              <w:t>(b)</w:t>
            </w: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660" w:type="dxa"/>
            <w:vAlign w:val="bottom"/>
          </w:tcPr>
          <w:p>
            <w:pPr>
              <w:ind w:left="120"/>
              <w:spacing w:after="0" w:line="116" w:lineRule="exact"/>
              <w:rPr>
                <w:sz w:val="20"/>
                <w:szCs w:val="20"/>
                <w:color w:val="auto"/>
              </w:rPr>
            </w:pPr>
            <w:r>
              <w:rPr>
                <w:rFonts w:ascii="Arial" w:cs="Arial" w:eastAsia="Arial" w:hAnsi="Arial"/>
                <w:sz w:val="12"/>
                <w:szCs w:val="12"/>
                <w:color w:val="auto"/>
              </w:rPr>
              <w:t>Impact of fair value</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60" w:type="dxa"/>
            <w:vAlign w:val="bottom"/>
          </w:tcPr>
          <w:p>
            <w:pPr>
              <w:ind w:left="280"/>
              <w:spacing w:after="0" w:line="116" w:lineRule="exact"/>
              <w:rPr>
                <w:sz w:val="20"/>
                <w:szCs w:val="20"/>
                <w:color w:val="auto"/>
              </w:rPr>
            </w:pPr>
            <w:r>
              <w:rPr>
                <w:rFonts w:ascii="Arial" w:cs="Arial" w:eastAsia="Arial" w:hAnsi="Arial"/>
                <w:sz w:val="12"/>
                <w:szCs w:val="12"/>
                <w:color w:val="auto"/>
              </w:rPr>
              <w:t>adjustments to acquired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60" w:type="dxa"/>
            <w:vAlign w:val="bottom"/>
          </w:tcPr>
          <w:p>
            <w:pPr>
              <w:ind w:left="280"/>
              <w:spacing w:after="0" w:line="116" w:lineRule="exact"/>
              <w:rPr>
                <w:sz w:val="20"/>
                <w:szCs w:val="20"/>
                <w:color w:val="auto"/>
              </w:rPr>
            </w:pPr>
            <w:r>
              <w:rPr>
                <w:rFonts w:ascii="Arial" w:cs="Arial" w:eastAsia="Arial" w:hAnsi="Arial"/>
                <w:sz w:val="12"/>
                <w:szCs w:val="12"/>
                <w:color w:val="auto"/>
                <w:w w:val="91"/>
              </w:rPr>
              <w:t>unearned revenue recorded</w:t>
            </w:r>
          </w:p>
        </w:tc>
        <w:tc>
          <w:tcPr>
            <w:tcW w:w="2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5.9</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1660" w:type="dxa"/>
            <w:vAlign w:val="bottom"/>
          </w:tcPr>
          <w:p>
            <w:pPr>
              <w:ind w:left="280"/>
              <w:spacing w:after="0" w:line="167" w:lineRule="exact"/>
              <w:rPr>
                <w:sz w:val="20"/>
                <w:szCs w:val="20"/>
                <w:color w:val="auto"/>
              </w:rPr>
            </w:pPr>
            <w:r>
              <w:rPr>
                <w:rFonts w:ascii="Arial" w:cs="Arial" w:eastAsia="Arial" w:hAnsi="Arial"/>
                <w:sz w:val="12"/>
                <w:szCs w:val="12"/>
                <w:color w:val="auto"/>
              </w:rPr>
              <w:t>by Pre-Acquisition ZI</w:t>
            </w:r>
            <w:r>
              <w:rPr>
                <w:rFonts w:ascii="Arial" w:cs="Arial" w:eastAsia="Arial" w:hAnsi="Arial"/>
                <w:sz w:val="15"/>
                <w:szCs w:val="15"/>
                <w:color w:val="auto"/>
                <w:vertAlign w:val="superscript"/>
              </w:rPr>
              <w:t>(c)</w:t>
            </w:r>
          </w:p>
        </w:tc>
        <w:tc>
          <w:tcPr>
            <w:tcW w:w="2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660" w:type="dxa"/>
            <w:vAlign w:val="bottom"/>
            <w:shd w:val="clear" w:color="auto" w:fill="CCEEFF"/>
          </w:tcPr>
          <w:p>
            <w:pPr>
              <w:ind w:left="120"/>
              <w:spacing w:after="0" w:line="116" w:lineRule="exact"/>
              <w:rPr>
                <w:sz w:val="20"/>
                <w:szCs w:val="20"/>
                <w:color w:val="auto"/>
              </w:rPr>
            </w:pPr>
            <w:r>
              <w:rPr>
                <w:rFonts w:ascii="Arial" w:cs="Arial" w:eastAsia="Arial" w:hAnsi="Arial"/>
                <w:sz w:val="12"/>
                <w:szCs w:val="12"/>
                <w:color w:val="auto"/>
              </w:rPr>
              <w:t>Pre-acquisition revenue of</w:t>
            </w:r>
          </w:p>
        </w:tc>
        <w:tc>
          <w:tcPr>
            <w:tcW w:w="2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80"/>
              <w:spacing w:after="0" w:line="167" w:lineRule="exact"/>
              <w:rPr>
                <w:sz w:val="20"/>
                <w:szCs w:val="20"/>
                <w:color w:val="auto"/>
              </w:rPr>
            </w:pPr>
            <w:r>
              <w:rPr>
                <w:rFonts w:ascii="Arial" w:cs="Arial" w:eastAsia="Arial" w:hAnsi="Arial"/>
                <w:sz w:val="12"/>
                <w:szCs w:val="12"/>
                <w:color w:val="auto"/>
                <w:w w:val="90"/>
              </w:rPr>
              <w:t>other acquired companies</w:t>
            </w:r>
            <w:r>
              <w:rPr>
                <w:rFonts w:ascii="Arial" w:cs="Arial" w:eastAsia="Arial" w:hAnsi="Arial"/>
                <w:sz w:val="15"/>
                <w:szCs w:val="15"/>
                <w:color w:val="auto"/>
                <w:w w:val="90"/>
                <w:vertAlign w:val="superscript"/>
              </w:rPr>
              <w:t>(d)</w:t>
            </w:r>
          </w:p>
        </w:tc>
        <w:tc>
          <w:tcPr>
            <w:tcW w:w="24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180"/>
              <w:spacing w:after="0"/>
              <w:rPr>
                <w:sz w:val="20"/>
                <w:szCs w:val="20"/>
                <w:color w:val="auto"/>
              </w:rPr>
            </w:pPr>
            <w:r>
              <w:rPr>
                <w:rFonts w:ascii="Arial" w:cs="Arial" w:eastAsia="Arial" w:hAnsi="Arial"/>
                <w:sz w:val="12"/>
                <w:szCs w:val="12"/>
                <w:color w:val="auto"/>
                <w:w w:val="92"/>
              </w:rPr>
              <w:t>Allocated Combined Receipts</w:t>
            </w:r>
          </w:p>
        </w:tc>
        <w:tc>
          <w:tcPr>
            <w:tcW w:w="240" w:type="dxa"/>
            <w:vAlign w:val="bottom"/>
            <w:tcBorders>
              <w:top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52.7</w:t>
            </w: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04"/>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57.8</w:t>
            </w: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ind w:right="244"/>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62.4</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ind w:right="224"/>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68.3</w:t>
            </w:r>
          </w:p>
        </w:tc>
        <w:tc>
          <w:tcPr>
            <w:tcW w:w="100" w:type="dxa"/>
            <w:vAlign w:val="bottom"/>
          </w:tcPr>
          <w:p>
            <w:pPr>
              <w:spacing w:after="0"/>
              <w:rPr>
                <w:sz w:val="12"/>
                <w:szCs w:val="12"/>
                <w:color w:val="auto"/>
              </w:rPr>
            </w:pPr>
          </w:p>
        </w:tc>
        <w:tc>
          <w:tcPr>
            <w:tcW w:w="26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73.1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79.4</w:t>
            </w:r>
          </w:p>
        </w:tc>
        <w:tc>
          <w:tcPr>
            <w:tcW w:w="100" w:type="dxa"/>
            <w:vAlign w:val="bottom"/>
          </w:tcPr>
          <w:p>
            <w:pPr>
              <w:spacing w:after="0"/>
              <w:rPr>
                <w:sz w:val="12"/>
                <w:szCs w:val="12"/>
                <w:color w:val="auto"/>
              </w:rPr>
            </w:pPr>
          </w:p>
        </w:tc>
        <w:tc>
          <w:tcPr>
            <w:tcW w:w="400" w:type="dxa"/>
            <w:vAlign w:val="bottom"/>
            <w:tcBorders>
              <w:top w:val="single" w:sz="8" w:color="auto"/>
            </w:tcBorders>
          </w:tcPr>
          <w:p>
            <w:pPr>
              <w:jc w:val="right"/>
              <w:ind w:right="264"/>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87.5</w:t>
            </w:r>
          </w:p>
        </w:tc>
        <w:tc>
          <w:tcPr>
            <w:tcW w:w="100" w:type="dxa"/>
            <w:vAlign w:val="bottom"/>
          </w:tcPr>
          <w:p>
            <w:pPr>
              <w:spacing w:after="0"/>
              <w:rPr>
                <w:sz w:val="12"/>
                <w:szCs w:val="12"/>
                <w:color w:val="auto"/>
              </w:rPr>
            </w:pPr>
          </w:p>
        </w:tc>
        <w:tc>
          <w:tcPr>
            <w:tcW w:w="360" w:type="dxa"/>
            <w:vAlign w:val="bottom"/>
            <w:tcBorders>
              <w:top w:val="single" w:sz="8" w:color="auto"/>
            </w:tcBorders>
          </w:tcPr>
          <w:p>
            <w:pPr>
              <w:jc w:val="right"/>
              <w:ind w:right="224"/>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96.1</w:t>
            </w: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04"/>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103.6</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4"/>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111.2</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ind w:right="204"/>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123.6</w:t>
            </w:r>
          </w:p>
        </w:tc>
        <w:tc>
          <w:tcPr>
            <w:tcW w:w="0" w:type="dxa"/>
            <w:vAlign w:val="bottom"/>
          </w:tcPr>
          <w:p>
            <w:pPr>
              <w:spacing w:after="0"/>
              <w:rPr>
                <w:sz w:val="1"/>
                <w:szCs w:val="1"/>
                <w:color w:val="auto"/>
              </w:rPr>
            </w:pPr>
          </w:p>
        </w:tc>
      </w:tr>
      <w:tr>
        <w:trPr>
          <w:trHeight w:val="167"/>
        </w:trPr>
        <w:tc>
          <w:tcPr>
            <w:tcW w:w="1660" w:type="dxa"/>
            <w:vAlign w:val="bottom"/>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both"/>
        <w:ind w:left="320" w:hanging="317"/>
        <w:spacing w:after="0" w:line="230" w:lineRule="auto"/>
        <w:tabs>
          <w:tab w:leader="none" w:pos="318"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00" w:hanging="297"/>
        <w:spacing w:after="0" w:line="230" w:lineRule="auto"/>
        <w:tabs>
          <w:tab w:leader="none" w:pos="3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320" w:hanging="317"/>
        <w:spacing w:after="0" w:line="230" w:lineRule="auto"/>
        <w:tabs>
          <w:tab w:leader="none" w:pos="318"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320" w:hanging="317"/>
        <w:spacing w:after="0" w:line="236" w:lineRule="auto"/>
        <w:tabs>
          <w:tab w:leader="none" w:pos="313" w:val="left"/>
        </w:tabs>
        <w:numPr>
          <w:ilvl w:val="0"/>
          <w:numId w:val="81"/>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We acquired Komiko in October 2019. Figures include revenue recognized by these entities for the periods presented prior to their respective acquisitions.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i w:val="1"/>
          <w:iCs w:val="1"/>
          <w:color w:val="auto"/>
        </w:rPr>
        <w:t>Adjusted Operating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7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9"/>
                <w:szCs w:val="9"/>
                <w:b w:val="1"/>
                <w:bCs w:val="1"/>
                <w:color w:val="auto"/>
              </w:rPr>
              <w:t>Three Months Ended</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2018</w:t>
            </w: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June 30, 2018</w:t>
            </w: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September 30, 2018</w:t>
            </w: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December 31, 2018</w:t>
            </w: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2019</w:t>
            </w: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2019</w:t>
            </w: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September 30, 2019</w:t>
            </w: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December 31, 2019</w:t>
            </w: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2020</w:t>
            </w: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2020</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w w:val="96"/>
              </w:rPr>
              <w:t>(in millions)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60"/>
        </w:trPr>
        <w:tc>
          <w:tcPr>
            <w:tcW w:w="1720" w:type="dxa"/>
            <w:vAlign w:val="bottom"/>
          </w:tcPr>
          <w:p>
            <w:pPr>
              <w:ind w:left="380"/>
              <w:spacing w:after="0"/>
              <w:rPr>
                <w:sz w:val="20"/>
                <w:szCs w:val="20"/>
                <w:color w:val="auto"/>
              </w:rPr>
            </w:pPr>
            <w:r>
              <w:rPr>
                <w:rFonts w:ascii="Arial" w:cs="Arial" w:eastAsia="Arial" w:hAnsi="Arial"/>
                <w:sz w:val="12"/>
                <w:szCs w:val="12"/>
                <w:color w:val="auto"/>
              </w:rPr>
              <w:t>Provision for taxes</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Interest expense, net</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16"/>
        </w:trPr>
        <w:tc>
          <w:tcPr>
            <w:tcW w:w="1720" w:type="dxa"/>
            <w:vAlign w:val="bottom"/>
          </w:tcPr>
          <w:p>
            <w:pPr>
              <w:ind w:left="380"/>
              <w:spacing w:after="0" w:line="116" w:lineRule="exact"/>
              <w:rPr>
                <w:sz w:val="20"/>
                <w:szCs w:val="20"/>
                <w:color w:val="auto"/>
              </w:rPr>
            </w:pPr>
            <w:r>
              <w:rPr>
                <w:rFonts w:ascii="Arial" w:cs="Arial" w:eastAsia="Arial" w:hAnsi="Arial"/>
                <w:sz w:val="12"/>
                <w:szCs w:val="12"/>
                <w:color w:val="auto"/>
              </w:rPr>
              <w:t>Loss on debt</w:t>
            </w:r>
          </w:p>
        </w:tc>
        <w:tc>
          <w:tcPr>
            <w:tcW w:w="24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18.2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1720" w:type="dxa"/>
            <w:vAlign w:val="bottom"/>
          </w:tcPr>
          <w:p>
            <w:pPr>
              <w:ind w:left="380"/>
              <w:spacing w:after="0"/>
              <w:rPr>
                <w:sz w:val="20"/>
                <w:szCs w:val="20"/>
                <w:color w:val="auto"/>
              </w:rPr>
            </w:pPr>
            <w:r>
              <w:rPr>
                <w:rFonts w:ascii="Arial" w:cs="Arial" w:eastAsia="Arial" w:hAnsi="Arial"/>
                <w:sz w:val="12"/>
                <w:szCs w:val="12"/>
                <w:color w:val="auto"/>
              </w:rPr>
              <w:t>extinguishment</w:t>
            </w:r>
          </w:p>
        </w:tc>
        <w:tc>
          <w:tcPr>
            <w:tcW w:w="2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220"/>
              <w:spacing w:after="0"/>
              <w:rPr>
                <w:sz w:val="20"/>
                <w:szCs w:val="20"/>
                <w:color w:val="auto"/>
              </w:rPr>
            </w:pPr>
            <w:r>
              <w:rPr>
                <w:rFonts w:ascii="Arial" w:cs="Arial" w:eastAsia="Arial" w:hAnsi="Arial"/>
                <w:sz w:val="12"/>
                <w:szCs w:val="12"/>
                <w:color w:val="auto"/>
                <w:w w:val="90"/>
              </w:rPr>
              <w:t>Other (income) expense, net</w:t>
            </w:r>
            <w:r>
              <w:rPr>
                <w:rFonts w:ascii="Arial" w:cs="Arial" w:eastAsia="Arial" w:hAnsi="Arial"/>
                <w:sz w:val="15"/>
                <w:szCs w:val="15"/>
                <w:color w:val="auto"/>
                <w:w w:val="90"/>
                <w:vertAlign w:val="superscript"/>
              </w:rPr>
              <w:t>(a)</w:t>
            </w:r>
          </w:p>
        </w:tc>
        <w:tc>
          <w:tcPr>
            <w:tcW w:w="2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53"/>
        </w:trPr>
        <w:tc>
          <w:tcPr>
            <w:tcW w:w="172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Income from operations</w:t>
            </w: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13.5</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13.6</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19.2</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20.3</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(31.2)</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03"/>
        </w:trPr>
        <w:tc>
          <w:tcPr>
            <w:tcW w:w="1720" w:type="dxa"/>
            <w:vAlign w:val="bottom"/>
            <w:shd w:val="clear" w:color="auto" w:fill="CCEEFF"/>
          </w:tcPr>
          <w:p>
            <w:pPr>
              <w:ind w:left="220"/>
              <w:spacing w:after="0" w:line="103" w:lineRule="exact"/>
              <w:rPr>
                <w:sz w:val="20"/>
                <w:szCs w:val="20"/>
                <w:color w:val="auto"/>
              </w:rPr>
            </w:pPr>
            <w:r>
              <w:rPr>
                <w:rFonts w:ascii="Arial" w:cs="Arial" w:eastAsia="Arial" w:hAnsi="Arial"/>
                <w:sz w:val="11"/>
                <w:szCs w:val="11"/>
                <w:color w:val="auto"/>
              </w:rPr>
              <w:t>Impact of fair value</w:t>
            </w:r>
          </w:p>
        </w:tc>
        <w:tc>
          <w:tcPr>
            <w:tcW w:w="2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720" w:type="dxa"/>
            <w:vAlign w:val="bottom"/>
            <w:shd w:val="clear" w:color="auto" w:fill="CCEEFF"/>
          </w:tcPr>
          <w:p>
            <w:pPr>
              <w:ind w:left="380"/>
              <w:spacing w:after="0" w:line="116" w:lineRule="exact"/>
              <w:rPr>
                <w:sz w:val="20"/>
                <w:szCs w:val="20"/>
                <w:color w:val="auto"/>
              </w:rPr>
            </w:pPr>
            <w:r>
              <w:rPr>
                <w:rFonts w:ascii="Arial" w:cs="Arial" w:eastAsia="Arial" w:hAnsi="Arial"/>
                <w:sz w:val="12"/>
                <w:szCs w:val="12"/>
                <w:color w:val="auto"/>
              </w:rPr>
              <w:t>adjustments to acquired</w:t>
            </w:r>
          </w:p>
        </w:tc>
        <w:tc>
          <w:tcPr>
            <w:tcW w:w="2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380"/>
              <w:spacing w:after="0" w:line="167" w:lineRule="exact"/>
              <w:rPr>
                <w:sz w:val="20"/>
                <w:szCs w:val="20"/>
                <w:color w:val="auto"/>
              </w:rPr>
            </w:pPr>
            <w:r>
              <w:rPr>
                <w:rFonts w:ascii="Arial" w:cs="Arial" w:eastAsia="Arial" w:hAnsi="Arial"/>
                <w:sz w:val="12"/>
                <w:szCs w:val="12"/>
                <w:color w:val="auto"/>
              </w:rPr>
              <w:t>unearned revenue</w:t>
            </w:r>
            <w:r>
              <w:rPr>
                <w:rFonts w:ascii="Arial" w:cs="Arial" w:eastAsia="Arial" w:hAnsi="Arial"/>
                <w:sz w:val="15"/>
                <w:szCs w:val="15"/>
                <w:color w:val="auto"/>
                <w:vertAlign w:val="superscript"/>
              </w:rPr>
              <w:t>(b)</w:t>
            </w:r>
          </w:p>
        </w:tc>
        <w:tc>
          <w:tcPr>
            <w:tcW w:w="24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20" w:type="dxa"/>
            <w:vAlign w:val="bottom"/>
          </w:tcPr>
          <w:p>
            <w:pPr>
              <w:ind w:left="380"/>
              <w:spacing w:after="0" w:line="116" w:lineRule="exact"/>
              <w:rPr>
                <w:sz w:val="20"/>
                <w:szCs w:val="20"/>
                <w:color w:val="auto"/>
              </w:rPr>
            </w:pPr>
            <w:r>
              <w:rPr>
                <w:rFonts w:ascii="Arial" w:cs="Arial" w:eastAsia="Arial" w:hAnsi="Arial"/>
                <w:sz w:val="12"/>
                <w:szCs w:val="12"/>
                <w:color w:val="auto"/>
              </w:rPr>
              <w:t>Amortization of acquired</w:t>
            </w:r>
          </w:p>
        </w:tc>
        <w:tc>
          <w:tcPr>
            <w:tcW w:w="2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60"/>
        </w:trPr>
        <w:tc>
          <w:tcPr>
            <w:tcW w:w="1720" w:type="dxa"/>
            <w:vAlign w:val="bottom"/>
          </w:tcPr>
          <w:p>
            <w:pPr>
              <w:ind w:left="380"/>
              <w:spacing w:after="0"/>
              <w:rPr>
                <w:sz w:val="20"/>
                <w:szCs w:val="20"/>
                <w:color w:val="auto"/>
              </w:rPr>
            </w:pPr>
            <w:r>
              <w:rPr>
                <w:rFonts w:ascii="Arial" w:cs="Arial" w:eastAsia="Arial" w:hAnsi="Arial"/>
                <w:sz w:val="12"/>
                <w:szCs w:val="12"/>
                <w:color w:val="auto"/>
              </w:rPr>
              <w:t>technology</w:t>
            </w:r>
          </w:p>
        </w:tc>
        <w:tc>
          <w:tcPr>
            <w:tcW w:w="2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720" w:type="dxa"/>
            <w:vAlign w:val="bottom"/>
            <w:shd w:val="clear" w:color="auto" w:fill="CCEEFF"/>
          </w:tcPr>
          <w:p>
            <w:pPr>
              <w:ind w:left="380"/>
              <w:spacing w:after="0" w:line="124" w:lineRule="exact"/>
              <w:rPr>
                <w:sz w:val="20"/>
                <w:szCs w:val="20"/>
                <w:color w:val="auto"/>
              </w:rPr>
            </w:pPr>
            <w:r>
              <w:rPr>
                <w:rFonts w:ascii="Arial" w:cs="Arial" w:eastAsia="Arial" w:hAnsi="Arial"/>
                <w:sz w:val="12"/>
                <w:szCs w:val="12"/>
                <w:color w:val="auto"/>
              </w:rPr>
              <w:t>Amortization of other</w:t>
            </w:r>
          </w:p>
        </w:tc>
        <w:tc>
          <w:tcPr>
            <w:tcW w:w="2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acquired intangibles</w:t>
            </w:r>
          </w:p>
        </w:tc>
        <w:tc>
          <w:tcPr>
            <w:tcW w:w="24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20" w:type="dxa"/>
            <w:vAlign w:val="bottom"/>
          </w:tcPr>
          <w:p>
            <w:pPr>
              <w:ind w:left="380"/>
              <w:spacing w:after="0" w:line="116" w:lineRule="exact"/>
              <w:rPr>
                <w:sz w:val="20"/>
                <w:szCs w:val="20"/>
                <w:color w:val="auto"/>
              </w:rPr>
            </w:pPr>
            <w:r>
              <w:rPr>
                <w:rFonts w:ascii="Arial" w:cs="Arial" w:eastAsia="Arial" w:hAnsi="Arial"/>
                <w:sz w:val="12"/>
                <w:szCs w:val="12"/>
                <w:color w:val="auto"/>
              </w:rPr>
              <w:t>Equity-based</w:t>
            </w:r>
          </w:p>
        </w:tc>
        <w:tc>
          <w:tcPr>
            <w:tcW w:w="2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10.8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8.0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11.3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64.5</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160"/>
        </w:trPr>
        <w:tc>
          <w:tcPr>
            <w:tcW w:w="1720" w:type="dxa"/>
            <w:vAlign w:val="bottom"/>
          </w:tcPr>
          <w:p>
            <w:pPr>
              <w:ind w:left="380"/>
              <w:spacing w:after="0"/>
              <w:rPr>
                <w:sz w:val="20"/>
                <w:szCs w:val="20"/>
                <w:color w:val="auto"/>
              </w:rPr>
            </w:pPr>
            <w:r>
              <w:rPr>
                <w:rFonts w:ascii="Arial" w:cs="Arial" w:eastAsia="Arial" w:hAnsi="Arial"/>
                <w:sz w:val="12"/>
                <w:szCs w:val="12"/>
                <w:color w:val="auto"/>
              </w:rPr>
              <w:t>compensation</w:t>
            </w:r>
          </w:p>
        </w:tc>
        <w:tc>
          <w:tcPr>
            <w:tcW w:w="24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720" w:type="dxa"/>
            <w:vAlign w:val="bottom"/>
            <w:shd w:val="clear" w:color="auto" w:fill="CCEEFF"/>
          </w:tcPr>
          <w:p>
            <w:pPr>
              <w:ind w:left="220"/>
              <w:spacing w:after="0" w:line="124" w:lineRule="exact"/>
              <w:rPr>
                <w:sz w:val="20"/>
                <w:szCs w:val="20"/>
                <w:color w:val="auto"/>
              </w:rPr>
            </w:pPr>
            <w:r>
              <w:rPr>
                <w:rFonts w:ascii="Arial" w:cs="Arial" w:eastAsia="Arial" w:hAnsi="Arial"/>
                <w:sz w:val="12"/>
                <w:szCs w:val="12"/>
                <w:color w:val="auto"/>
                <w:w w:val="92"/>
              </w:rPr>
              <w:t>Restructuring and transaction-</w:t>
            </w:r>
          </w:p>
        </w:tc>
        <w:tc>
          <w:tcPr>
            <w:tcW w:w="2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ind w:left="380"/>
              <w:spacing w:after="0" w:line="167" w:lineRule="exact"/>
              <w:rPr>
                <w:sz w:val="20"/>
                <w:szCs w:val="20"/>
                <w:color w:val="auto"/>
              </w:rPr>
            </w:pPr>
            <w:r>
              <w:rPr>
                <w:rFonts w:ascii="Arial" w:cs="Arial" w:eastAsia="Arial" w:hAnsi="Arial"/>
                <w:sz w:val="12"/>
                <w:szCs w:val="12"/>
                <w:color w:val="auto"/>
              </w:rPr>
              <w:t>related expenses</w:t>
            </w:r>
            <w:r>
              <w:rPr>
                <w:rFonts w:ascii="Arial" w:cs="Arial" w:eastAsia="Arial" w:hAnsi="Arial"/>
                <w:sz w:val="15"/>
                <w:szCs w:val="15"/>
                <w:color w:val="auto"/>
                <w:vertAlign w:val="superscript"/>
              </w:rPr>
              <w:t>(c)</w:t>
            </w:r>
          </w:p>
        </w:tc>
        <w:tc>
          <w:tcPr>
            <w:tcW w:w="24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720" w:type="dxa"/>
            <w:vAlign w:val="bottom"/>
          </w:tcPr>
          <w:p>
            <w:pPr>
              <w:ind w:left="220"/>
              <w:spacing w:after="0" w:line="116" w:lineRule="exact"/>
              <w:rPr>
                <w:sz w:val="20"/>
                <w:szCs w:val="20"/>
                <w:color w:val="auto"/>
              </w:rPr>
            </w:pPr>
            <w:r>
              <w:rPr>
                <w:rFonts w:ascii="Arial" w:cs="Arial" w:eastAsia="Arial" w:hAnsi="Arial"/>
                <w:sz w:val="12"/>
                <w:szCs w:val="12"/>
                <w:color w:val="auto"/>
              </w:rPr>
              <w:t>Integration costs and</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720" w:type="dxa"/>
            <w:vAlign w:val="bottom"/>
          </w:tcPr>
          <w:p>
            <w:pPr>
              <w:ind w:left="380"/>
              <w:spacing w:after="0" w:line="116" w:lineRule="exact"/>
              <w:rPr>
                <w:sz w:val="20"/>
                <w:szCs w:val="20"/>
                <w:color w:val="auto"/>
              </w:rPr>
            </w:pPr>
            <w:r>
              <w:rPr>
                <w:rFonts w:ascii="Arial" w:cs="Arial" w:eastAsia="Arial" w:hAnsi="Arial"/>
                <w:sz w:val="12"/>
                <w:szCs w:val="12"/>
                <w:color w:val="auto"/>
              </w:rPr>
              <w:t>acquisition-related</w:t>
            </w:r>
          </w:p>
        </w:tc>
        <w:tc>
          <w:tcPr>
            <w:tcW w:w="2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0.7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7"/>
        </w:trPr>
        <w:tc>
          <w:tcPr>
            <w:tcW w:w="1720" w:type="dxa"/>
            <w:vAlign w:val="bottom"/>
            <w:tcBorders>
              <w:bottom w:val="single" w:sz="8" w:color="CCEEFF"/>
            </w:tcBorders>
          </w:tcPr>
          <w:p>
            <w:pPr>
              <w:ind w:left="380"/>
              <w:spacing w:after="0" w:line="167" w:lineRule="exact"/>
              <w:rPr>
                <w:sz w:val="20"/>
                <w:szCs w:val="20"/>
                <w:color w:val="auto"/>
              </w:rPr>
            </w:pPr>
            <w:r>
              <w:rPr>
                <w:rFonts w:ascii="Arial" w:cs="Arial" w:eastAsia="Arial" w:hAnsi="Arial"/>
                <w:sz w:val="12"/>
                <w:szCs w:val="12"/>
                <w:color w:val="auto"/>
              </w:rPr>
              <w:t>compensation</w:t>
            </w:r>
            <w:r>
              <w:rPr>
                <w:rFonts w:ascii="Arial" w:cs="Arial" w:eastAsia="Arial" w:hAnsi="Arial"/>
                <w:sz w:val="15"/>
                <w:szCs w:val="15"/>
                <w:color w:val="auto"/>
                <w:vertAlign w:val="superscript"/>
              </w:rPr>
              <w:t>(d)</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Adjusted Operating Income</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w:t>
            </w:r>
          </w:p>
        </w:tc>
        <w:tc>
          <w:tcPr>
            <w:tcW w:w="0" w:type="dxa"/>
            <w:vAlign w:val="bottom"/>
          </w:tcPr>
          <w:p>
            <w:pPr>
              <w:spacing w:after="0"/>
              <w:rPr>
                <w:sz w:val="1"/>
                <w:szCs w:val="1"/>
                <w:color w:val="auto"/>
              </w:rPr>
            </w:pPr>
          </w:p>
        </w:tc>
      </w:tr>
      <w:tr>
        <w:trPr>
          <w:trHeight w:val="148"/>
        </w:trPr>
        <w:tc>
          <w:tcPr>
            <w:tcW w:w="1720" w:type="dxa"/>
            <w:vAlign w:val="bottom"/>
          </w:tcPr>
          <w:p>
            <w:pPr>
              <w:spacing w:after="0" w:line="148" w:lineRule="exact"/>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line="230" w:lineRule="auto"/>
        <w:tabs>
          <w:tab w:leader="none" w:pos="3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7"/>
        <w:spacing w:after="0" w:line="230" w:lineRule="auto"/>
        <w:tabs>
          <w:tab w:leader="none" w:pos="313"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7"/>
        <w:spacing w:after="0" w:line="293" w:lineRule="auto"/>
        <w:tabs>
          <w:tab w:leader="none" w:pos="318" w:val="left"/>
        </w:tabs>
        <w:numPr>
          <w:ilvl w:val="0"/>
          <w:numId w:val="82"/>
        </w:numPr>
        <w:rPr>
          <w:rFonts w:ascii="Arial" w:cs="Arial" w:eastAsia="Arial" w:hAnsi="Arial"/>
          <w:sz w:val="11"/>
          <w:szCs w:val="11"/>
          <w:color w:val="auto"/>
        </w:rPr>
      </w:pPr>
      <w:r>
        <w:rPr>
          <w:rFonts w:ascii="Arial" w:cs="Arial" w:eastAsia="Arial" w:hAnsi="Arial"/>
          <w:sz w:val="11"/>
          <w:szCs w:val="11"/>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nine months ended September 30, 2020, this expense related primarily to professional fees for the preparation for the IPO and deferred acquisition cost revaluations. For the nine months ended September 30, 2019, this expense related primarily to the acquisition of Pre-Acquisition ZI, including professional fees, severance, and acceleration of payments for terminated employees.</w:t>
      </w:r>
    </w:p>
    <w:p>
      <w:pPr>
        <w:jc w:val="both"/>
        <w:ind w:left="320" w:hanging="317"/>
        <w:spacing w:after="0" w:line="304" w:lineRule="auto"/>
        <w:tabs>
          <w:tab w:leader="none" w:pos="313" w:val="left"/>
        </w:tabs>
        <w:numPr>
          <w:ilvl w:val="0"/>
          <w:numId w:val="82"/>
        </w:numPr>
        <w:rPr>
          <w:rFonts w:ascii="Arial" w:cs="Arial" w:eastAsia="Arial" w:hAnsi="Arial"/>
          <w:sz w:val="11"/>
          <w:szCs w:val="11"/>
          <w:color w:val="auto"/>
        </w:rPr>
      </w:pPr>
      <w:r>
        <w:rPr>
          <w:rFonts w:ascii="Arial" w:cs="Arial" w:eastAsia="Arial" w:hAnsi="Arial"/>
          <w:sz w:val="11"/>
          <w:szCs w:val="11"/>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nine months ended September 30, 2019, this expense related primarily to activities resulting from the acquisition of Pre-Acquisition ZI, including cash vesting payments and transaction bonuses, as well as expense incurred for retention awards granted upon the Company’s acquisitions of RainKing and NeverBounce. For the nine months ended September 30, 2020, this expense related primarily to cash vesting payments from the acquisition of Pre-Acquisition ZI (see Note 4 to our unaudited consolidated financial statements included elsewhere in this prospectus for additional discussion regarding cash vesting payments associated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27" w:name="page128"/>
    <w:bookmarkEnd w:id="127"/>
    <w:p>
      <w:pPr>
        <w:ind w:left="320"/>
        <w:spacing w:after="0" w:line="250" w:lineRule="auto"/>
        <w:rPr>
          <w:sz w:val="20"/>
          <w:szCs w:val="20"/>
          <w:color w:val="auto"/>
        </w:rPr>
      </w:pPr>
      <w:r>
        <w:rPr>
          <w:rFonts w:ascii="Arial" w:cs="Arial" w:eastAsia="Arial" w:hAnsi="Arial"/>
          <w:sz w:val="14"/>
          <w:szCs w:val="14"/>
          <w:color w:val="auto"/>
        </w:rPr>
        <w:t>with the acquisition of Pre-Acquisition ZI). This expense is included in cost of service, sales and marketing expense, research and development expense, and general and administrative expense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7"/>
          </w:tcPr>
          <w:p>
            <w:pPr>
              <w:jc w:val="center"/>
              <w:ind w:right="106"/>
              <w:spacing w:after="0"/>
              <w:rPr>
                <w:sz w:val="20"/>
                <w:szCs w:val="20"/>
                <w:color w:val="auto"/>
              </w:rPr>
            </w:pPr>
            <w:r>
              <w:rPr>
                <w:rFonts w:ascii="Arial" w:cs="Arial" w:eastAsia="Arial" w:hAnsi="Arial"/>
                <w:sz w:val="9"/>
                <w:szCs w:val="9"/>
                <w:b w:val="1"/>
                <w:bCs w:val="1"/>
                <w:color w:val="auto"/>
                <w:w w:val="96"/>
              </w:rPr>
              <w:t>Three Months Ended</w:t>
            </w: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w w:val="99"/>
              </w:rPr>
              <w:t>March 31, 2018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w w:val="98"/>
              </w:rPr>
              <w:t>June 30, 2018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ind w:left="80"/>
              <w:spacing w:after="0"/>
              <w:rPr>
                <w:sz w:val="20"/>
                <w:szCs w:val="20"/>
                <w:color w:val="auto"/>
              </w:rPr>
            </w:pPr>
            <w:r>
              <w:rPr>
                <w:rFonts w:ascii="Arial" w:cs="Arial" w:eastAsia="Arial" w:hAnsi="Arial"/>
                <w:sz w:val="9"/>
                <w:szCs w:val="9"/>
                <w:b w:val="1"/>
                <w:bCs w:val="1"/>
                <w:color w:val="auto"/>
                <w:w w:val="99"/>
              </w:rPr>
              <w:t>September 30, 2018</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9"/>
                <w:szCs w:val="9"/>
                <w:b w:val="1"/>
                <w:bCs w:val="1"/>
                <w:color w:val="auto"/>
              </w:rPr>
              <w:t>December 31, 2018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4"/>
          </w:tcPr>
          <w:p>
            <w:pPr>
              <w:ind w:left="40"/>
              <w:spacing w:after="0"/>
              <w:rPr>
                <w:sz w:val="20"/>
                <w:szCs w:val="20"/>
                <w:color w:val="auto"/>
              </w:rPr>
            </w:pPr>
            <w:r>
              <w:rPr>
                <w:rFonts w:ascii="Arial" w:cs="Arial" w:eastAsia="Arial" w:hAnsi="Arial"/>
                <w:sz w:val="9"/>
                <w:szCs w:val="9"/>
                <w:b w:val="1"/>
                <w:bCs w:val="1"/>
                <w:color w:val="auto"/>
              </w:rPr>
              <w:t>March 31, 2019</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9"/>
                <w:szCs w:val="9"/>
                <w:b w:val="1"/>
                <w:bCs w:val="1"/>
                <w:color w:val="auto"/>
                <w:w w:val="98"/>
              </w:rPr>
              <w:t>June 30, 2019</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w w:val="99"/>
              </w:rPr>
              <w:t>September 30, 2019</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rPr>
              <w:t>December 31, 2019</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2020</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2020</w:t>
            </w: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5"/>
          </w:tcPr>
          <w:p>
            <w:pPr>
              <w:jc w:val="center"/>
              <w:ind w:left="2"/>
              <w:spacing w:after="0"/>
              <w:rPr>
                <w:sz w:val="20"/>
                <w:szCs w:val="20"/>
                <w:color w:val="auto"/>
              </w:rPr>
            </w:pPr>
            <w:r>
              <w:rPr>
                <w:rFonts w:ascii="Arial" w:cs="Arial" w:eastAsia="Arial" w:hAnsi="Arial"/>
                <w:sz w:val="10"/>
                <w:szCs w:val="10"/>
                <w:b w:val="1"/>
                <w:bCs w:val="1"/>
                <w:color w:val="auto"/>
                <w:w w:val="96"/>
              </w:rPr>
              <w:t>(in millions)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service</w:t>
            </w:r>
          </w:p>
        </w:tc>
        <w:tc>
          <w:tcPr>
            <w:tcW w:w="320" w:type="dxa"/>
            <w:vAlign w:val="bottom"/>
            <w:gridSpan w:val="3"/>
            <w:shd w:val="clear" w:color="auto" w:fill="CCEEFF"/>
          </w:tcPr>
          <w:p>
            <w:pPr>
              <w:jc w:val="right"/>
              <w:ind w:right="9"/>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0.1</w:t>
            </w:r>
          </w:p>
        </w:tc>
        <w:tc>
          <w:tcPr>
            <w:tcW w:w="280" w:type="dxa"/>
            <w:vAlign w:val="bottom"/>
            <w:gridSpan w:val="3"/>
            <w:shd w:val="clear" w:color="auto" w:fill="CCEEFF"/>
          </w:tcPr>
          <w:p>
            <w:pPr>
              <w:jc w:val="right"/>
              <w:ind w:right="9"/>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80" w:type="dxa"/>
            <w:vAlign w:val="bottom"/>
            <w:gridSpan w:val="3"/>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gridSpan w:val="3"/>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4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60"/>
        </w:trPr>
        <w:tc>
          <w:tcPr>
            <w:tcW w:w="1360" w:type="dxa"/>
            <w:vAlign w:val="bottom"/>
          </w:tcPr>
          <w:p>
            <w:pPr>
              <w:ind w:left="20"/>
              <w:spacing w:after="0"/>
              <w:rPr>
                <w:sz w:val="20"/>
                <w:szCs w:val="20"/>
                <w:color w:val="auto"/>
              </w:rPr>
            </w:pPr>
            <w:r>
              <w:rPr>
                <w:rFonts w:ascii="Arial" w:cs="Arial" w:eastAsia="Arial" w:hAnsi="Arial"/>
                <w:sz w:val="12"/>
                <w:szCs w:val="12"/>
                <w:color w:val="auto"/>
              </w:rPr>
              <w:t>Sales and marketing</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0.3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0.6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Research and development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60"/>
        </w:trPr>
        <w:tc>
          <w:tcPr>
            <w:tcW w:w="1360" w:type="dxa"/>
            <w:vAlign w:val="bottom"/>
          </w:tcPr>
          <w:p>
            <w:pPr>
              <w:ind w:left="20"/>
              <w:spacing w:after="0"/>
              <w:rPr>
                <w:sz w:val="20"/>
                <w:szCs w:val="20"/>
                <w:color w:val="auto"/>
              </w:rPr>
            </w:pPr>
            <w:r>
              <w:rPr>
                <w:rFonts w:ascii="Arial" w:cs="Arial" w:eastAsia="Arial" w:hAnsi="Arial"/>
                <w:sz w:val="12"/>
                <w:szCs w:val="12"/>
                <w:color w:val="auto"/>
                <w:w w:val="92"/>
              </w:rPr>
              <w:t>General and administrative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0.9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0.8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(0.4)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03"/>
        </w:trPr>
        <w:tc>
          <w:tcPr>
            <w:tcW w:w="1360" w:type="dxa"/>
            <w:vAlign w:val="bottom"/>
            <w:tcBorders>
              <w:top w:val="single" w:sz="8" w:color="CCEEFF"/>
            </w:tcBorders>
            <w:shd w:val="clear" w:color="auto" w:fill="CCEEFF"/>
          </w:tcPr>
          <w:p>
            <w:pPr>
              <w:ind w:left="20"/>
              <w:spacing w:after="0" w:line="103" w:lineRule="exact"/>
              <w:rPr>
                <w:sz w:val="20"/>
                <w:szCs w:val="20"/>
                <w:color w:val="auto"/>
              </w:rPr>
            </w:pPr>
            <w:r>
              <w:rPr>
                <w:rFonts w:ascii="Arial" w:cs="Arial" w:eastAsia="Arial" w:hAnsi="Arial"/>
                <w:sz w:val="11"/>
                <w:szCs w:val="11"/>
                <w:color w:val="auto"/>
              </w:rPr>
              <w:t>Total integration costs and</w:t>
            </w: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60" w:type="dxa"/>
            <w:vAlign w:val="bottom"/>
            <w:shd w:val="clear" w:color="auto" w:fill="CCEEFF"/>
          </w:tcPr>
          <w:p>
            <w:pPr>
              <w:ind w:left="180"/>
              <w:spacing w:after="0" w:line="116" w:lineRule="exact"/>
              <w:rPr>
                <w:sz w:val="20"/>
                <w:szCs w:val="20"/>
                <w:color w:val="auto"/>
              </w:rPr>
            </w:pPr>
            <w:r>
              <w:rPr>
                <w:rFonts w:ascii="Arial" w:cs="Arial" w:eastAsia="Arial" w:hAnsi="Arial"/>
                <w:sz w:val="12"/>
                <w:szCs w:val="12"/>
                <w:color w:val="auto"/>
              </w:rPr>
              <w:t>acquisition-related</w:t>
            </w:r>
          </w:p>
        </w:tc>
        <w:tc>
          <w:tcPr>
            <w:tcW w:w="180" w:type="dxa"/>
            <w:vAlign w:val="bottom"/>
            <w:gridSpan w:val="2"/>
            <w:vMerge w:val="restart"/>
            <w:shd w:val="clear" w:color="auto" w:fill="CCEEFF"/>
          </w:tcPr>
          <w:p>
            <w:pPr>
              <w:spacing w:after="0"/>
              <w:rPr>
                <w:sz w:val="10"/>
                <w:szCs w:val="10"/>
                <w:color w:val="auto"/>
              </w:rPr>
            </w:pPr>
          </w:p>
        </w:tc>
        <w:tc>
          <w:tcPr>
            <w:tcW w:w="140" w:type="dxa"/>
            <w:vAlign w:val="bottom"/>
            <w:vMerge w:val="restart"/>
            <w:shd w:val="clear" w:color="auto" w:fill="CCEEFF"/>
          </w:tcPr>
          <w:p>
            <w:pPr>
              <w:jc w:val="right"/>
              <w:ind w:right="9"/>
              <w:spacing w:after="0"/>
              <w:rPr>
                <w:sz w:val="20"/>
                <w:szCs w:val="20"/>
                <w:color w:val="auto"/>
              </w:rPr>
            </w:pPr>
            <w:r>
              <w:rPr>
                <w:rFonts w:ascii="Arial" w:cs="Arial" w:eastAsia="Arial" w:hAnsi="Arial"/>
                <w:sz w:val="12"/>
                <w:szCs w:val="12"/>
                <w:color w:val="auto"/>
                <w:w w:val="89"/>
              </w:rPr>
              <w:t>$</w:t>
            </w: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1.4</w:t>
            </w:r>
          </w:p>
        </w:tc>
        <w:tc>
          <w:tcPr>
            <w:tcW w:w="4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140" w:type="dxa"/>
            <w:vAlign w:val="bottom"/>
            <w:vMerge w:val="restart"/>
            <w:shd w:val="clear" w:color="auto" w:fill="CCEEFF"/>
          </w:tcPr>
          <w:p>
            <w:pPr>
              <w:jc w:val="right"/>
              <w:ind w:right="9"/>
              <w:spacing w:after="0"/>
              <w:rPr>
                <w:sz w:val="20"/>
                <w:szCs w:val="20"/>
                <w:color w:val="auto"/>
              </w:rPr>
            </w:pPr>
            <w:r>
              <w:rPr>
                <w:rFonts w:ascii="Arial" w:cs="Arial" w:eastAsia="Arial" w:hAnsi="Arial"/>
                <w:sz w:val="12"/>
                <w:szCs w:val="12"/>
                <w:color w:val="auto"/>
                <w:w w:val="89"/>
              </w:rPr>
              <w:t>$</w:t>
            </w:r>
          </w:p>
        </w:tc>
        <w:tc>
          <w:tcPr>
            <w:tcW w:w="5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0.8</w:t>
            </w:r>
          </w:p>
        </w:tc>
        <w:tc>
          <w:tcPr>
            <w:tcW w:w="2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280" w:type="dxa"/>
            <w:vAlign w:val="bottom"/>
            <w:vMerge w:val="restart"/>
            <w:shd w:val="clear" w:color="auto" w:fill="CCEEFF"/>
          </w:tcPr>
          <w:p>
            <w:pPr>
              <w:jc w:val="right"/>
              <w:ind w:right="149"/>
              <w:spacing w:after="0"/>
              <w:rPr>
                <w:sz w:val="20"/>
                <w:szCs w:val="20"/>
                <w:color w:val="auto"/>
              </w:rPr>
            </w:pPr>
            <w:r>
              <w:rPr>
                <w:rFonts w:ascii="Arial" w:cs="Arial" w:eastAsia="Arial" w:hAnsi="Arial"/>
                <w:sz w:val="12"/>
                <w:szCs w:val="12"/>
                <w:color w:val="auto"/>
                <w:w w:val="89"/>
              </w:rPr>
              <w:t>$</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0.7</w:t>
            </w: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240" w:type="dxa"/>
            <w:vAlign w:val="bottom"/>
            <w:vMerge w:val="restart"/>
            <w:shd w:val="clear" w:color="auto" w:fill="CCEEFF"/>
          </w:tcPr>
          <w:p>
            <w:pPr>
              <w:jc w:val="right"/>
              <w:ind w:right="109"/>
              <w:spacing w:after="0"/>
              <w:rPr>
                <w:sz w:val="20"/>
                <w:szCs w:val="20"/>
                <w:color w:val="auto"/>
              </w:rPr>
            </w:pPr>
            <w:r>
              <w:rPr>
                <w:rFonts w:ascii="Arial" w:cs="Arial" w:eastAsia="Arial" w:hAnsi="Arial"/>
                <w:sz w:val="12"/>
                <w:szCs w:val="12"/>
                <w:color w:val="auto"/>
                <w:w w:val="89"/>
              </w:rPr>
              <w:t>$</w:t>
            </w: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0.3</w:t>
            </w:r>
          </w:p>
        </w:tc>
        <w:tc>
          <w:tcPr>
            <w:tcW w:w="4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jc w:val="right"/>
              <w:ind w:right="29"/>
              <w:spacing w:after="0"/>
              <w:rPr>
                <w:sz w:val="20"/>
                <w:szCs w:val="20"/>
                <w:color w:val="auto"/>
              </w:rPr>
            </w:pPr>
            <w:r>
              <w:rPr>
                <w:rFonts w:ascii="Arial" w:cs="Arial" w:eastAsia="Arial" w:hAnsi="Arial"/>
                <w:sz w:val="12"/>
                <w:szCs w:val="12"/>
                <w:color w:val="auto"/>
                <w:w w:val="89"/>
              </w:rPr>
              <w:t>$</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5.8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40" w:type="dxa"/>
            <w:vAlign w:val="bottom"/>
            <w:shd w:val="clear" w:color="auto" w:fill="CCEEFF"/>
          </w:tcPr>
          <w:p>
            <w:pPr>
              <w:spacing w:after="0"/>
              <w:rPr>
                <w:sz w:val="10"/>
                <w:szCs w:val="10"/>
                <w:color w:val="auto"/>
              </w:rPr>
            </w:pPr>
          </w:p>
        </w:tc>
        <w:tc>
          <w:tcPr>
            <w:tcW w:w="80" w:type="dxa"/>
            <w:vAlign w:val="bottom"/>
            <w:gridSpan w:val="2"/>
            <w:vMerge w:val="restart"/>
            <w:shd w:val="clear" w:color="auto" w:fill="CCEEFF"/>
          </w:tcPr>
          <w:p>
            <w:pPr>
              <w:spacing w:after="0"/>
              <w:rPr>
                <w:sz w:val="10"/>
                <w:szCs w:val="10"/>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spacing w:after="0"/>
              <w:rPr>
                <w:sz w:val="10"/>
                <w:szCs w:val="10"/>
                <w:color w:val="auto"/>
              </w:rPr>
            </w:pPr>
          </w:p>
        </w:tc>
        <w:tc>
          <w:tcPr>
            <w:tcW w:w="160" w:type="dxa"/>
            <w:vAlign w:val="bottom"/>
            <w:vMerge w:val="restart"/>
            <w:shd w:val="clear" w:color="auto" w:fill="CCEEFF"/>
          </w:tcPr>
          <w:p>
            <w:pPr>
              <w:jc w:val="right"/>
              <w:ind w:right="29"/>
              <w:spacing w:after="0"/>
              <w:rPr>
                <w:sz w:val="20"/>
                <w:szCs w:val="20"/>
                <w:color w:val="auto"/>
              </w:rPr>
            </w:pPr>
            <w:r>
              <w:rPr>
                <w:rFonts w:ascii="Arial" w:cs="Arial" w:eastAsia="Arial" w:hAnsi="Arial"/>
                <w:sz w:val="12"/>
                <w:szCs w:val="12"/>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4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spacing w:after="0"/>
              <w:rPr>
                <w:sz w:val="10"/>
                <w:szCs w:val="10"/>
                <w:color w:val="auto"/>
              </w:rPr>
            </w:pPr>
          </w:p>
        </w:tc>
        <w:tc>
          <w:tcPr>
            <w:tcW w:w="1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73"/>
              <w:spacing w:after="0"/>
              <w:rPr>
                <w:sz w:val="20"/>
                <w:szCs w:val="20"/>
                <w:color w:val="auto"/>
              </w:rPr>
            </w:pPr>
            <w:r>
              <w:rPr>
                <w:rFonts w:ascii="Arial" w:cs="Arial" w:eastAsia="Arial" w:hAnsi="Arial"/>
                <w:sz w:val="12"/>
                <w:szCs w:val="12"/>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2"/>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compensation</w:t>
            </w:r>
          </w:p>
        </w:tc>
        <w:tc>
          <w:tcPr>
            <w:tcW w:w="18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gridSpan w:val="2"/>
            <w:vMerge w:val="continue"/>
            <w:shd w:val="clear" w:color="auto" w:fill="CCEEFF"/>
          </w:tcPr>
          <w:p>
            <w:pPr>
              <w:spacing w:after="0"/>
              <w:rPr>
                <w:sz w:val="14"/>
                <w:szCs w:val="14"/>
                <w:color w:val="auto"/>
              </w:rPr>
            </w:pPr>
          </w:p>
        </w:tc>
        <w:tc>
          <w:tcPr>
            <w:tcW w:w="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gridSpan w:val="2"/>
            <w:vMerge w:val="continue"/>
            <w:shd w:val="clear" w:color="auto" w:fill="CCEEFF"/>
          </w:tcPr>
          <w:p>
            <w:pPr>
              <w:spacing w:after="0"/>
              <w:rPr>
                <w:sz w:val="14"/>
                <w:szCs w:val="14"/>
                <w:color w:val="auto"/>
              </w:rPr>
            </w:pPr>
          </w:p>
        </w:tc>
        <w:tc>
          <w:tcPr>
            <w:tcW w:w="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gridSpan w:val="2"/>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gridSpan w:val="2"/>
            <w:vMerge w:val="continue"/>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gridSpan w:val="2"/>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8"/>
          </w:tcPr>
          <w:p>
            <w:pPr>
              <w:ind w:left="40"/>
              <w:spacing w:after="0"/>
              <w:rPr>
                <w:sz w:val="20"/>
                <w:szCs w:val="20"/>
                <w:color w:val="auto"/>
              </w:rPr>
            </w:pPr>
            <w:r>
              <w:rPr>
                <w:rFonts w:ascii="Arial" w:cs="Arial" w:eastAsia="Arial" w:hAnsi="Arial"/>
                <w:sz w:val="9"/>
                <w:szCs w:val="9"/>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8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9"/>
                <w:szCs w:val="9"/>
                <w:b w:val="1"/>
                <w:bCs w:val="1"/>
                <w:color w:val="auto"/>
              </w:rPr>
              <w:t>March 31, 2018</w:t>
            </w: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9"/>
                <w:szCs w:val="9"/>
                <w:b w:val="1"/>
                <w:bCs w:val="1"/>
                <w:color w:val="auto"/>
                <w:w w:val="95"/>
              </w:rPr>
              <w:t>June 30, 2018</w:t>
            </w: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5"/>
          </w:tcPr>
          <w:p>
            <w:pPr>
              <w:ind w:left="40"/>
              <w:spacing w:after="0"/>
              <w:rPr>
                <w:sz w:val="20"/>
                <w:szCs w:val="20"/>
                <w:color w:val="auto"/>
              </w:rPr>
            </w:pPr>
            <w:r>
              <w:rPr>
                <w:rFonts w:ascii="Arial" w:cs="Arial" w:eastAsia="Arial" w:hAnsi="Arial"/>
                <w:sz w:val="9"/>
                <w:szCs w:val="9"/>
                <w:b w:val="1"/>
                <w:bCs w:val="1"/>
                <w:color w:val="auto"/>
              </w:rPr>
              <w:t>September 30, 2018</w:t>
            </w:r>
          </w:p>
        </w:tc>
        <w:tc>
          <w:tcPr>
            <w:tcW w:w="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9"/>
                <w:szCs w:val="9"/>
                <w:b w:val="1"/>
                <w:bCs w:val="1"/>
                <w:color w:val="auto"/>
                <w:w w:val="96"/>
              </w:rPr>
              <w:t>December 31, 2018</w:t>
            </w: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5"/>
          </w:tcPr>
          <w:p>
            <w:pPr>
              <w:ind w:left="20"/>
              <w:spacing w:after="0"/>
              <w:rPr>
                <w:sz w:val="20"/>
                <w:szCs w:val="20"/>
                <w:color w:val="auto"/>
              </w:rPr>
            </w:pPr>
            <w:r>
              <w:rPr>
                <w:rFonts w:ascii="Arial" w:cs="Arial" w:eastAsia="Arial" w:hAnsi="Arial"/>
                <w:sz w:val="9"/>
                <w:szCs w:val="9"/>
                <w:b w:val="1"/>
                <w:bCs w:val="1"/>
                <w:color w:val="auto"/>
              </w:rPr>
              <w:t>March 31, 2019</w:t>
            </w:r>
          </w:p>
        </w:tc>
        <w:tc>
          <w:tcPr>
            <w:tcW w:w="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9"/>
                <w:szCs w:val="9"/>
                <w:b w:val="1"/>
                <w:bCs w:val="1"/>
                <w:color w:val="auto"/>
                <w:w w:val="98"/>
              </w:rPr>
              <w:t>June 30, 2019</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rPr>
              <w:t>September 30, 2019</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December 31, 2019</w:t>
            </w:r>
          </w:p>
        </w:tc>
        <w:tc>
          <w:tcPr>
            <w:tcW w:w="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tcPr>
          <w:p>
            <w:pPr>
              <w:ind w:left="80"/>
              <w:spacing w:after="0"/>
              <w:rPr>
                <w:sz w:val="20"/>
                <w:szCs w:val="20"/>
                <w:color w:val="auto"/>
              </w:rPr>
            </w:pPr>
            <w:r>
              <w:rPr>
                <w:rFonts w:ascii="Arial" w:cs="Arial" w:eastAsia="Arial" w:hAnsi="Arial"/>
                <w:sz w:val="9"/>
                <w:szCs w:val="9"/>
                <w:b w:val="1"/>
                <w:bCs w:val="1"/>
                <w:color w:val="auto"/>
              </w:rPr>
              <w:t>March 31, 2020</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June 30, 2020</w:t>
            </w: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96"/>
              </w:rPr>
              <w:t>(in millions)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60" w:type="dxa"/>
            <w:vAlign w:val="bottom"/>
            <w:shd w:val="clear" w:color="auto" w:fill="CCEEFF"/>
          </w:tcPr>
          <w:p>
            <w:pPr>
              <w:ind w:left="20"/>
              <w:spacing w:after="0" w:line="116" w:lineRule="exact"/>
              <w:rPr>
                <w:sz w:val="20"/>
                <w:szCs w:val="20"/>
                <w:color w:val="auto"/>
              </w:rPr>
            </w:pPr>
            <w:r>
              <w:rPr>
                <w:rFonts w:ascii="Arial" w:cs="Arial" w:eastAsia="Arial" w:hAnsi="Arial"/>
                <w:sz w:val="12"/>
                <w:szCs w:val="12"/>
                <w:color w:val="auto"/>
              </w:rPr>
              <w:t>Adjusted Operating</w:t>
            </w: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20.4</w:t>
            </w:r>
          </w:p>
        </w:tc>
        <w:tc>
          <w:tcPr>
            <w:tcW w:w="10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22.0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23.5</w:t>
            </w: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31.7</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140"/>
              <w:spacing w:after="0"/>
              <w:rPr>
                <w:sz w:val="20"/>
                <w:szCs w:val="20"/>
                <w:color w:val="auto"/>
              </w:rPr>
            </w:pPr>
            <w:r>
              <w:rPr>
                <w:rFonts w:ascii="Arial" w:cs="Arial" w:eastAsia="Arial" w:hAnsi="Arial"/>
                <w:sz w:val="12"/>
                <w:szCs w:val="12"/>
                <w:color w:val="auto"/>
              </w:rPr>
              <w:t>41.3</w:t>
            </w:r>
          </w:p>
        </w:tc>
        <w:tc>
          <w:tcPr>
            <w:tcW w:w="60" w:type="dxa"/>
            <w:vAlign w:val="bottom"/>
            <w:shd w:val="clear" w:color="auto" w:fill="CCEEFF"/>
          </w:tcPr>
          <w:p>
            <w:pPr>
              <w:spacing w:after="0"/>
              <w:rPr>
                <w:sz w:val="10"/>
                <w:szCs w:val="10"/>
                <w:color w:val="auto"/>
              </w:rPr>
            </w:pPr>
          </w:p>
        </w:tc>
        <w:tc>
          <w:tcPr>
            <w:tcW w:w="10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180"/>
              <w:spacing w:after="0"/>
              <w:rPr>
                <w:sz w:val="20"/>
                <w:szCs w:val="20"/>
                <w:color w:val="auto"/>
              </w:rPr>
            </w:pPr>
            <w:r>
              <w:rPr>
                <w:rFonts w:ascii="Arial" w:cs="Arial" w:eastAsia="Arial" w:hAnsi="Arial"/>
                <w:sz w:val="12"/>
                <w:szCs w:val="12"/>
                <w:color w:val="auto"/>
              </w:rPr>
              <w:t>47.0</w:t>
            </w:r>
          </w:p>
        </w:tc>
        <w:tc>
          <w:tcPr>
            <w:tcW w:w="40" w:type="dxa"/>
            <w:vAlign w:val="bottom"/>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47.2</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49.1</w:t>
            </w:r>
          </w:p>
        </w:tc>
        <w:tc>
          <w:tcPr>
            <w:tcW w:w="4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55.0</w:t>
            </w: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53"/>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58.5</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w:t>
            </w:r>
          </w:p>
        </w:tc>
        <w:tc>
          <w:tcPr>
            <w:tcW w:w="1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gridSpan w:val="3"/>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Revenue</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31.5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34.6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37.4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40.8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54.6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68.5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79.1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91.1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102.2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110.9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123.4</w:t>
            </w:r>
          </w:p>
        </w:tc>
        <w:tc>
          <w:tcPr>
            <w:tcW w:w="0" w:type="dxa"/>
            <w:vAlign w:val="bottom"/>
          </w:tcPr>
          <w:p>
            <w:pPr>
              <w:spacing w:after="0"/>
              <w:rPr>
                <w:sz w:val="1"/>
                <w:szCs w:val="1"/>
                <w:color w:val="auto"/>
              </w:rPr>
            </w:pPr>
          </w:p>
        </w:tc>
      </w:tr>
      <w:tr>
        <w:trPr>
          <w:trHeight w:val="116"/>
        </w:trPr>
        <w:tc>
          <w:tcPr>
            <w:tcW w:w="1360" w:type="dxa"/>
            <w:vAlign w:val="bottom"/>
          </w:tcPr>
          <w:p>
            <w:pPr>
              <w:ind w:left="120"/>
              <w:spacing w:after="0" w:line="116" w:lineRule="exact"/>
              <w:rPr>
                <w:sz w:val="20"/>
                <w:szCs w:val="20"/>
                <w:color w:val="auto"/>
              </w:rPr>
            </w:pPr>
            <w:r>
              <w:rPr>
                <w:rFonts w:ascii="Arial" w:cs="Arial" w:eastAsia="Arial" w:hAnsi="Arial"/>
                <w:sz w:val="12"/>
                <w:szCs w:val="12"/>
                <w:color w:val="auto"/>
              </w:rPr>
              <w:t>Impact of fair value</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60" w:type="dxa"/>
            <w:vAlign w:val="bottom"/>
          </w:tcPr>
          <w:p>
            <w:pPr>
              <w:ind w:left="280"/>
              <w:spacing w:after="0" w:line="116" w:lineRule="exact"/>
              <w:rPr>
                <w:sz w:val="20"/>
                <w:szCs w:val="20"/>
                <w:color w:val="auto"/>
              </w:rPr>
            </w:pPr>
            <w:r>
              <w:rPr>
                <w:rFonts w:ascii="Arial" w:cs="Arial" w:eastAsia="Arial" w:hAnsi="Arial"/>
                <w:sz w:val="12"/>
                <w:szCs w:val="12"/>
                <w:color w:val="auto"/>
              </w:rPr>
              <w:t>adjustments to</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60" w:type="dxa"/>
            <w:vAlign w:val="bottom"/>
          </w:tcPr>
          <w:p>
            <w:pPr>
              <w:ind w:left="280"/>
              <w:spacing w:after="0" w:line="116" w:lineRule="exact"/>
              <w:rPr>
                <w:sz w:val="20"/>
                <w:szCs w:val="20"/>
                <w:color w:val="auto"/>
              </w:rPr>
            </w:pPr>
            <w:r>
              <w:rPr>
                <w:rFonts w:ascii="Arial" w:cs="Arial" w:eastAsia="Arial" w:hAnsi="Arial"/>
                <w:sz w:val="12"/>
                <w:szCs w:val="12"/>
                <w:color w:val="auto"/>
              </w:rPr>
              <w:t>acquired unearned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ind w:right="10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ind w:right="100"/>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restart"/>
          </w:tcPr>
          <w:p>
            <w:pPr>
              <w:jc w:val="right"/>
              <w:ind w:right="100"/>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ind w:right="100"/>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ind w:right="100"/>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color w:val="auto"/>
              </w:rPr>
              <w:t>10.7</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restart"/>
          </w:tcPr>
          <w:p>
            <w:pPr>
              <w:jc w:val="right"/>
              <w:ind w:right="100"/>
              <w:spacing w:after="0"/>
              <w:rPr>
                <w:sz w:val="20"/>
                <w:szCs w:val="20"/>
                <w:color w:val="auto"/>
              </w:rPr>
            </w:pPr>
            <w:r>
              <w:rPr>
                <w:rFonts w:ascii="Arial" w:cs="Arial" w:eastAsia="Arial" w:hAnsi="Arial"/>
                <w:sz w:val="12"/>
                <w:szCs w:val="12"/>
                <w:color w:val="auto"/>
              </w:rPr>
              <w:t>8.1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restart"/>
          </w:tcPr>
          <w:p>
            <w:pPr>
              <w:jc w:val="right"/>
              <w:ind w:right="100"/>
              <w:spacing w:after="0"/>
              <w:rPr>
                <w:sz w:val="20"/>
                <w:szCs w:val="20"/>
                <w:color w:val="auto"/>
              </w:rPr>
            </w:pPr>
            <w:r>
              <w:rPr>
                <w:rFonts w:ascii="Arial" w:cs="Arial" w:eastAsia="Arial" w:hAnsi="Arial"/>
                <w:sz w:val="12"/>
                <w:szCs w:val="12"/>
                <w:color w:val="auto"/>
              </w:rPr>
              <w:t>4.9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2"/>
                <w:szCs w:val="12"/>
                <w:color w:val="auto"/>
              </w:rPr>
              <w:t>1.4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ind w:right="10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60"/>
        </w:trPr>
        <w:tc>
          <w:tcPr>
            <w:tcW w:w="136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revenue</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360" w:type="dxa"/>
            <w:vAlign w:val="bottom"/>
            <w:shd w:val="clear" w:color="auto" w:fill="CCEEFF"/>
          </w:tcPr>
          <w:p>
            <w:pPr>
              <w:ind w:left="140"/>
              <w:spacing w:after="0" w:line="103" w:lineRule="exact"/>
              <w:rPr>
                <w:sz w:val="20"/>
                <w:szCs w:val="20"/>
                <w:color w:val="auto"/>
              </w:rPr>
            </w:pPr>
            <w:r>
              <w:rPr>
                <w:rFonts w:ascii="Arial" w:cs="Arial" w:eastAsia="Arial" w:hAnsi="Arial"/>
                <w:sz w:val="11"/>
                <w:szCs w:val="11"/>
                <w:color w:val="auto"/>
              </w:rPr>
              <w:t>Revenue for adjusted</w:t>
            </w: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60" w:type="dxa"/>
            <w:vAlign w:val="bottom"/>
            <w:shd w:val="clear" w:color="auto" w:fill="CCEEFF"/>
          </w:tcPr>
          <w:p>
            <w:pPr>
              <w:ind w:left="300"/>
              <w:spacing w:after="0" w:line="116" w:lineRule="exact"/>
              <w:rPr>
                <w:sz w:val="20"/>
                <w:szCs w:val="20"/>
                <w:color w:val="auto"/>
              </w:rPr>
            </w:pPr>
            <w:r>
              <w:rPr>
                <w:rFonts w:ascii="Arial" w:cs="Arial" w:eastAsia="Arial" w:hAnsi="Arial"/>
                <w:sz w:val="12"/>
                <w:szCs w:val="12"/>
                <w:color w:val="auto"/>
              </w:rPr>
              <w:t>operating margin</w:t>
            </w: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32.8</w:t>
            </w:r>
          </w:p>
        </w:tc>
        <w:tc>
          <w:tcPr>
            <w:tcW w:w="1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33"/>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35.4</w:t>
            </w:r>
          </w:p>
        </w:tc>
        <w:tc>
          <w:tcPr>
            <w:tcW w:w="10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37.9</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41.2</w:t>
            </w:r>
          </w:p>
        </w:tc>
        <w:tc>
          <w:tcPr>
            <w:tcW w:w="8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2"/>
                <w:szCs w:val="12"/>
                <w:color w:val="auto"/>
                <w:w w:val="89"/>
              </w:rPr>
              <w:t>$</w:t>
            </w:r>
          </w:p>
        </w:tc>
        <w:tc>
          <w:tcPr>
            <w:tcW w:w="16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63.1</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140"/>
              <w:spacing w:after="0"/>
              <w:rPr>
                <w:sz w:val="20"/>
                <w:szCs w:val="20"/>
                <w:color w:val="auto"/>
              </w:rPr>
            </w:pPr>
            <w:r>
              <w:rPr>
                <w:rFonts w:ascii="Arial" w:cs="Arial" w:eastAsia="Arial" w:hAnsi="Arial"/>
                <w:sz w:val="12"/>
                <w:szCs w:val="12"/>
                <w:color w:val="auto"/>
              </w:rPr>
              <w:t>79.2</w:t>
            </w:r>
          </w:p>
        </w:tc>
        <w:tc>
          <w:tcPr>
            <w:tcW w:w="60" w:type="dxa"/>
            <w:vAlign w:val="bottom"/>
            <w:shd w:val="clear" w:color="auto" w:fill="CCEEFF"/>
          </w:tcPr>
          <w:p>
            <w:pPr>
              <w:spacing w:after="0"/>
              <w:rPr>
                <w:sz w:val="10"/>
                <w:szCs w:val="10"/>
                <w:color w:val="auto"/>
              </w:rPr>
            </w:pPr>
          </w:p>
        </w:tc>
        <w:tc>
          <w:tcPr>
            <w:tcW w:w="10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180"/>
              <w:spacing w:after="0"/>
              <w:rPr>
                <w:sz w:val="20"/>
                <w:szCs w:val="20"/>
                <w:color w:val="auto"/>
              </w:rPr>
            </w:pPr>
            <w:r>
              <w:rPr>
                <w:rFonts w:ascii="Arial" w:cs="Arial" w:eastAsia="Arial" w:hAnsi="Arial"/>
                <w:sz w:val="12"/>
                <w:szCs w:val="12"/>
                <w:color w:val="auto"/>
              </w:rPr>
              <w:t>87.2</w:t>
            </w:r>
          </w:p>
        </w:tc>
        <w:tc>
          <w:tcPr>
            <w:tcW w:w="40" w:type="dxa"/>
            <w:vAlign w:val="bottom"/>
            <w:shd w:val="clear" w:color="auto" w:fill="CCEEFF"/>
          </w:tcPr>
          <w:p>
            <w:pPr>
              <w:spacing w:after="0"/>
              <w:rPr>
                <w:sz w:val="10"/>
                <w:szCs w:val="10"/>
                <w:color w:val="auto"/>
              </w:rPr>
            </w:pPr>
          </w:p>
        </w:tc>
        <w:tc>
          <w:tcPr>
            <w:tcW w:w="360" w:type="dxa"/>
            <w:vAlign w:val="bottom"/>
            <w:gridSpan w:val="3"/>
            <w:vMerge w:val="restart"/>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96.1</w:t>
            </w:r>
          </w:p>
        </w:tc>
        <w:tc>
          <w:tcPr>
            <w:tcW w:w="4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103.6</w:t>
            </w:r>
          </w:p>
        </w:tc>
        <w:tc>
          <w:tcPr>
            <w:tcW w:w="40" w:type="dxa"/>
            <w:vAlign w:val="bottom"/>
            <w:shd w:val="clear" w:color="auto" w:fill="CCEEFF"/>
          </w:tcPr>
          <w:p>
            <w:pPr>
              <w:spacing w:after="0"/>
              <w:rPr>
                <w:sz w:val="10"/>
                <w:szCs w:val="10"/>
                <w:color w:val="auto"/>
              </w:rPr>
            </w:pPr>
          </w:p>
        </w:tc>
        <w:tc>
          <w:tcPr>
            <w:tcW w:w="260" w:type="dxa"/>
            <w:vAlign w:val="bottom"/>
            <w:gridSpan w:val="3"/>
            <w:vMerge w:val="restart"/>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111.2</w:t>
            </w: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53"/>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123.6</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calculation</w:t>
            </w:r>
          </w:p>
        </w:tc>
        <w:tc>
          <w:tcPr>
            <w:tcW w:w="16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gridSpan w:val="3"/>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3"/>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360" w:type="dxa"/>
            <w:vAlign w:val="bottom"/>
          </w:tcPr>
          <w:p>
            <w:pPr>
              <w:ind w:left="140"/>
              <w:spacing w:after="0" w:line="116" w:lineRule="exact"/>
              <w:rPr>
                <w:sz w:val="20"/>
                <w:szCs w:val="20"/>
                <w:color w:val="auto"/>
              </w:rPr>
            </w:pPr>
            <w:r>
              <w:rPr>
                <w:rFonts w:ascii="Arial" w:cs="Arial" w:eastAsia="Arial" w:hAnsi="Arial"/>
                <w:sz w:val="12"/>
                <w:szCs w:val="12"/>
                <w:i w:val="1"/>
                <w:iCs w:val="1"/>
                <w:color w:val="auto"/>
              </w:rPr>
              <w:t>Adjusted Operating</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54.2 %</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57.7 %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58.1 %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57.1 %</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50.2 %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color w:val="auto"/>
                <w:w w:val="96"/>
              </w:rPr>
              <w:t>52.1 %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color w:val="auto"/>
                <w:w w:val="96"/>
              </w:rPr>
              <w:t>53.9 %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49.1 %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47.4 %</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49.5 %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47.3 %</w:t>
            </w:r>
          </w:p>
        </w:tc>
        <w:tc>
          <w:tcPr>
            <w:tcW w:w="0" w:type="dxa"/>
            <w:vAlign w:val="bottom"/>
          </w:tcPr>
          <w:p>
            <w:pPr>
              <w:spacing w:after="0"/>
              <w:rPr>
                <w:sz w:val="1"/>
                <w:szCs w:val="1"/>
                <w:color w:val="auto"/>
              </w:rPr>
            </w:pPr>
          </w:p>
        </w:tc>
      </w:tr>
      <w:tr>
        <w:trPr>
          <w:trHeight w:val="153"/>
        </w:trPr>
        <w:tc>
          <w:tcPr>
            <w:tcW w:w="1360" w:type="dxa"/>
            <w:vAlign w:val="bottom"/>
          </w:tcPr>
          <w:p>
            <w:pPr>
              <w:ind w:left="300"/>
              <w:spacing w:after="0"/>
              <w:rPr>
                <w:sz w:val="20"/>
                <w:szCs w:val="20"/>
                <w:color w:val="auto"/>
              </w:rPr>
            </w:pPr>
            <w:r>
              <w:rPr>
                <w:rFonts w:ascii="Arial" w:cs="Arial" w:eastAsia="Arial" w:hAnsi="Arial"/>
                <w:sz w:val="12"/>
                <w:szCs w:val="12"/>
                <w:i w:val="1"/>
                <w:iCs w:val="1"/>
                <w:color w:val="auto"/>
              </w:rPr>
              <w:t>Income Margin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center"/>
              <w:ind w:left="82"/>
              <w:spacing w:after="0"/>
              <w:rPr>
                <w:sz w:val="20"/>
                <w:szCs w:val="20"/>
                <w:color w:val="auto"/>
              </w:rPr>
            </w:pPr>
            <w:r>
              <w:rPr>
                <w:rFonts w:ascii="Arial" w:cs="Arial" w:eastAsia="Arial" w:hAnsi="Arial"/>
                <w:sz w:val="9"/>
                <w:szCs w:val="9"/>
                <w:b w:val="1"/>
                <w:bCs w:val="1"/>
                <w:color w:val="auto"/>
                <w:w w:val="88"/>
              </w:rPr>
              <w:t>As of</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9"/>
                <w:szCs w:val="9"/>
                <w:b w:val="1"/>
                <w:bCs w:val="1"/>
                <w:color w:val="auto"/>
                <w:w w:val="96"/>
              </w:rPr>
              <w:t>March 31, 2018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w w:val="98"/>
              </w:rPr>
              <w:t>June 30, 2018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ind w:left="60"/>
              <w:spacing w:after="0"/>
              <w:rPr>
                <w:sz w:val="20"/>
                <w:szCs w:val="20"/>
                <w:color w:val="auto"/>
              </w:rPr>
            </w:pPr>
            <w:r>
              <w:rPr>
                <w:rFonts w:ascii="Arial" w:cs="Arial" w:eastAsia="Arial" w:hAnsi="Arial"/>
                <w:sz w:val="9"/>
                <w:szCs w:val="9"/>
                <w:b w:val="1"/>
                <w:bCs w:val="1"/>
                <w:color w:val="auto"/>
              </w:rPr>
              <w:t>September 30, 2018</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9"/>
                <w:szCs w:val="9"/>
                <w:b w:val="1"/>
                <w:bCs w:val="1"/>
                <w:color w:val="auto"/>
                <w:w w:val="98"/>
              </w:rPr>
              <w:t>December 31, 2018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4"/>
          </w:tcPr>
          <w:p>
            <w:pPr>
              <w:ind w:left="40"/>
              <w:spacing w:after="0"/>
              <w:rPr>
                <w:sz w:val="20"/>
                <w:szCs w:val="20"/>
                <w:color w:val="auto"/>
              </w:rPr>
            </w:pPr>
            <w:r>
              <w:rPr>
                <w:rFonts w:ascii="Arial" w:cs="Arial" w:eastAsia="Arial" w:hAnsi="Arial"/>
                <w:sz w:val="9"/>
                <w:szCs w:val="9"/>
                <w:b w:val="1"/>
                <w:bCs w:val="1"/>
                <w:color w:val="auto"/>
              </w:rPr>
              <w:t>March 31, 2019</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rPr>
              <w:t>June 30, 2019</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w w:val="99"/>
              </w:rPr>
              <w:t>September 30, 2019</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rPr>
              <w:t>December 31, 2019</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rPr>
              <w:t>March 31, 2020</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June 30, 2020</w:t>
            </w: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9"/>
                <w:szCs w:val="9"/>
                <w:b w:val="1"/>
                <w:bCs w:val="1"/>
                <w:color w:val="auto"/>
                <w:w w:val="99"/>
              </w:rPr>
              <w:t>September 30, 2020</w:t>
            </w:r>
          </w:p>
        </w:tc>
        <w:tc>
          <w:tcPr>
            <w:tcW w:w="0" w:type="dxa"/>
            <w:vAlign w:val="bottom"/>
          </w:tcPr>
          <w:p>
            <w:pPr>
              <w:spacing w:after="0"/>
              <w:rPr>
                <w:sz w:val="1"/>
                <w:szCs w:val="1"/>
                <w:color w:val="auto"/>
              </w:rPr>
            </w:pPr>
          </w:p>
        </w:tc>
      </w:tr>
      <w:tr>
        <w:trPr>
          <w:trHeight w:val="132"/>
        </w:trPr>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5"/>
          </w:tcPr>
          <w:p>
            <w:pPr>
              <w:jc w:val="center"/>
              <w:spacing w:after="0"/>
              <w:rPr>
                <w:sz w:val="20"/>
                <w:szCs w:val="20"/>
                <w:color w:val="auto"/>
              </w:rPr>
            </w:pPr>
            <w:r>
              <w:rPr>
                <w:rFonts w:ascii="Arial" w:cs="Arial" w:eastAsia="Arial" w:hAnsi="Arial"/>
                <w:sz w:val="10"/>
                <w:szCs w:val="10"/>
                <w:b w:val="1"/>
                <w:bCs w:val="1"/>
                <w:color w:val="auto"/>
                <w:w w:val="92"/>
              </w:rPr>
              <w:t>(in millions)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36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Cash and cash equivalents</w:t>
            </w:r>
          </w:p>
        </w:tc>
        <w:tc>
          <w:tcPr>
            <w:tcW w:w="320" w:type="dxa"/>
            <w:vAlign w:val="bottom"/>
            <w:gridSpan w:val="3"/>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w:t>
            </w:r>
          </w:p>
        </w:tc>
        <w:tc>
          <w:tcPr>
            <w:tcW w:w="280" w:type="dxa"/>
            <w:vAlign w:val="bottom"/>
            <w:gridSpan w:val="3"/>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5.5</w:t>
            </w:r>
          </w:p>
        </w:tc>
        <w:tc>
          <w:tcPr>
            <w:tcW w:w="380" w:type="dxa"/>
            <w:vAlign w:val="bottom"/>
            <w:gridSpan w:val="3"/>
            <w:shd w:val="clear" w:color="auto" w:fill="CCEEFF"/>
          </w:tcPr>
          <w:p>
            <w:pPr>
              <w:jc w:val="right"/>
              <w:ind w:right="149"/>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4.4</w:t>
            </w: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9"/>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9.0</w:t>
            </w:r>
          </w:p>
        </w:tc>
        <w:tc>
          <w:tcPr>
            <w:tcW w:w="300" w:type="dxa"/>
            <w:vAlign w:val="bottom"/>
            <w:gridSpan w:val="3"/>
            <w:shd w:val="clear" w:color="auto" w:fill="CCEEFF"/>
          </w:tcPr>
          <w:p>
            <w:pPr>
              <w:jc w:val="right"/>
              <w:ind w:right="49"/>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68.4</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w:t>
            </w:r>
          </w:p>
        </w:tc>
        <w:tc>
          <w:tcPr>
            <w:tcW w:w="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41.4</w:t>
            </w:r>
          </w:p>
        </w:tc>
        <w:tc>
          <w:tcPr>
            <w:tcW w:w="280" w:type="dxa"/>
            <w:vAlign w:val="bottom"/>
            <w:gridSpan w:val="3"/>
            <w:shd w:val="clear" w:color="auto" w:fill="CCEEFF"/>
          </w:tcPr>
          <w:p>
            <w:pPr>
              <w:jc w:val="right"/>
              <w:ind w:right="49"/>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259.1</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3"/>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304.9</w:t>
            </w:r>
          </w:p>
        </w:tc>
        <w:tc>
          <w:tcPr>
            <w:tcW w:w="0" w:type="dxa"/>
            <w:vAlign w:val="bottom"/>
          </w:tcPr>
          <w:p>
            <w:pPr>
              <w:spacing w:after="0"/>
              <w:rPr>
                <w:sz w:val="1"/>
                <w:szCs w:val="1"/>
                <w:color w:val="auto"/>
              </w:rPr>
            </w:pPr>
          </w:p>
        </w:tc>
      </w:tr>
      <w:tr>
        <w:trPr>
          <w:trHeight w:val="160"/>
        </w:trPr>
        <w:tc>
          <w:tcPr>
            <w:tcW w:w="136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579.0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578.3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582.2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591.0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1,542.2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1,508.0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ind w:left="200"/>
              <w:spacing w:after="0"/>
              <w:rPr>
                <w:sz w:val="20"/>
                <w:szCs w:val="20"/>
                <w:color w:val="auto"/>
              </w:rPr>
            </w:pPr>
            <w:r>
              <w:rPr>
                <w:rFonts w:ascii="Arial" w:cs="Arial" w:eastAsia="Arial" w:hAnsi="Arial"/>
                <w:sz w:val="12"/>
                <w:szCs w:val="12"/>
                <w:color w:val="auto"/>
                <w:w w:val="84"/>
              </w:rPr>
              <w:t>1,507.1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1,561.9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1,577.9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1,919.3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2,048.5</w:t>
            </w:r>
          </w:p>
        </w:tc>
        <w:tc>
          <w:tcPr>
            <w:tcW w:w="0" w:type="dxa"/>
            <w:vAlign w:val="bottom"/>
          </w:tcPr>
          <w:p>
            <w:pPr>
              <w:spacing w:after="0"/>
              <w:rPr>
                <w:sz w:val="1"/>
                <w:szCs w:val="1"/>
                <w:color w:val="auto"/>
              </w:rPr>
            </w:pPr>
          </w:p>
        </w:tc>
      </w:tr>
      <w:tr>
        <w:trPr>
          <w:trHeight w:val="123"/>
        </w:trPr>
        <w:tc>
          <w:tcPr>
            <w:tcW w:w="13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6"/>
              </w:rPr>
              <w:t>Long-term debt (including</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622.4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625.9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634.3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633.7</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1,206.2</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1,205.3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w w:val="84"/>
              </w:rPr>
              <w:t>1,204.3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1,203.3</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1,238.8</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743.7</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744.3</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current portion)</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680" w:type="dxa"/>
            <w:vAlign w:val="bottom"/>
            <w:gridSpan w:val="4"/>
          </w:tcPr>
          <w:p>
            <w:pPr>
              <w:ind w:left="20"/>
              <w:spacing w:after="0" w:line="116" w:lineRule="exact"/>
              <w:rPr>
                <w:sz w:val="20"/>
                <w:szCs w:val="20"/>
                <w:color w:val="auto"/>
              </w:rPr>
            </w:pPr>
            <w:r>
              <w:rPr>
                <w:rFonts w:ascii="Arial" w:cs="Arial" w:eastAsia="Arial" w:hAnsi="Arial"/>
                <w:sz w:val="12"/>
                <w:szCs w:val="12"/>
                <w:color w:val="auto"/>
              </w:rPr>
              <w:t>Unearned revenue (including</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44.5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49.8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46.6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52.5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105.3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130.3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133.2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159.1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173.2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172.1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176.0</w:t>
            </w:r>
          </w:p>
        </w:tc>
        <w:tc>
          <w:tcPr>
            <w:tcW w:w="0" w:type="dxa"/>
            <w:vAlign w:val="bottom"/>
          </w:tcPr>
          <w:p>
            <w:pPr>
              <w:spacing w:after="0"/>
              <w:rPr>
                <w:sz w:val="1"/>
                <w:szCs w:val="1"/>
                <w:color w:val="auto"/>
              </w:rPr>
            </w:pPr>
          </w:p>
        </w:tc>
      </w:tr>
      <w:tr>
        <w:trPr>
          <w:trHeight w:val="160"/>
        </w:trPr>
        <w:tc>
          <w:tcPr>
            <w:tcW w:w="1360" w:type="dxa"/>
            <w:vAlign w:val="bottom"/>
          </w:tcPr>
          <w:p>
            <w:pPr>
              <w:ind w:left="180"/>
              <w:spacing w:after="0"/>
              <w:rPr>
                <w:sz w:val="20"/>
                <w:szCs w:val="20"/>
                <w:color w:val="auto"/>
              </w:rPr>
            </w:pPr>
            <w:r>
              <w:rPr>
                <w:rFonts w:ascii="Arial" w:cs="Arial" w:eastAsia="Arial" w:hAnsi="Arial"/>
                <w:sz w:val="12"/>
                <w:szCs w:val="12"/>
                <w:color w:val="auto"/>
              </w:rPr>
              <w:t>current portion)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liabilities</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691.6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699.5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710.1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1,503.6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1,508.5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4"/>
              </w:rPr>
              <w:t>1,524.4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1,575.5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1,597.8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1,136.0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2" w:lineRule="exact"/>
        <w:rPr>
          <w:sz w:val="20"/>
          <w:szCs w:val="20"/>
          <w:color w:val="auto"/>
        </w:rPr>
      </w:pPr>
    </w:p>
    <w:p>
      <w:pPr>
        <w:jc w:val="center"/>
        <w:ind w:left="1520"/>
        <w:spacing w:after="0"/>
        <w:rPr>
          <w:sz w:val="20"/>
          <w:szCs w:val="20"/>
          <w:color w:val="auto"/>
        </w:rPr>
      </w:pPr>
      <w:r>
        <w:rPr>
          <w:rFonts w:ascii="Arial" w:cs="Arial" w:eastAsia="Arial" w:hAnsi="Arial"/>
          <w:sz w:val="9"/>
          <w:szCs w:val="9"/>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18415</wp:posOffset>
            </wp:positionV>
            <wp:extent cx="61658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65850" cy="8255"/>
                    </a:xfrm>
                    <a:prstGeom prst="rect">
                      <a:avLst/>
                    </a:prstGeom>
                    <a:noFill/>
                  </pic:spPr>
                </pic:pic>
              </a:graphicData>
            </a:graphic>
          </wp:anchor>
        </w:drawing>
      </w:r>
    </w:p>
    <w:p>
      <w:pPr>
        <w:spacing w:after="0" w:line="31" w:lineRule="exact"/>
        <w:rPr>
          <w:sz w:val="20"/>
          <w:szCs w:val="20"/>
          <w:color w:val="auto"/>
        </w:rPr>
      </w:pPr>
    </w:p>
    <w:p>
      <w:pPr>
        <w:jc w:val="right"/>
        <w:ind w:right="80"/>
        <w:spacing w:after="0"/>
        <w:tabs>
          <w:tab w:leader="none" w:pos="8740" w:val="left"/>
          <w:tab w:leader="none" w:pos="7960" w:val="left"/>
          <w:tab w:leader="none" w:pos="6940" w:val="left"/>
          <w:tab w:leader="none" w:pos="5980" w:val="left"/>
          <w:tab w:leader="none" w:pos="5140" w:val="left"/>
          <w:tab w:leader="none" w:pos="4380" w:val="left"/>
          <w:tab w:leader="none" w:pos="3360" w:val="left"/>
          <w:tab w:leader="none" w:pos="2380" w:val="left"/>
          <w:tab w:leader="none" w:pos="1540" w:val="left"/>
          <w:tab w:leader="none" w:pos="760" w:val="left"/>
        </w:tabs>
        <w:rPr>
          <w:sz w:val="20"/>
          <w:szCs w:val="20"/>
          <w:color w:val="auto"/>
        </w:rPr>
      </w:pPr>
      <w:r>
        <w:rPr>
          <w:rFonts w:ascii="Arial" w:cs="Arial" w:eastAsia="Arial" w:hAnsi="Arial"/>
          <w:sz w:val="9"/>
          <w:szCs w:val="9"/>
          <w:b w:val="1"/>
          <w:bCs w:val="1"/>
          <w:color w:val="auto"/>
        </w:rPr>
        <w:t>March 31, 2018</w:t>
      </w:r>
      <w:r>
        <w:rPr>
          <w:sz w:val="20"/>
          <w:szCs w:val="20"/>
          <w:color w:val="auto"/>
        </w:rPr>
        <w:tab/>
      </w:r>
      <w:r>
        <w:rPr>
          <w:rFonts w:ascii="Arial" w:cs="Arial" w:eastAsia="Arial" w:hAnsi="Arial"/>
          <w:sz w:val="9"/>
          <w:szCs w:val="9"/>
          <w:b w:val="1"/>
          <w:bCs w:val="1"/>
          <w:color w:val="auto"/>
        </w:rPr>
        <w:t>June 30, 2018</w:t>
      </w:r>
      <w:r>
        <w:rPr>
          <w:sz w:val="20"/>
          <w:szCs w:val="20"/>
          <w:color w:val="auto"/>
        </w:rPr>
        <w:tab/>
      </w:r>
      <w:r>
        <w:rPr>
          <w:rFonts w:ascii="Arial" w:cs="Arial" w:eastAsia="Arial" w:hAnsi="Arial"/>
          <w:sz w:val="9"/>
          <w:szCs w:val="9"/>
          <w:b w:val="1"/>
          <w:bCs w:val="1"/>
          <w:color w:val="auto"/>
        </w:rPr>
        <w:t>September 30, 2018</w:t>
      </w:r>
      <w:r>
        <w:rPr>
          <w:sz w:val="20"/>
          <w:szCs w:val="20"/>
          <w:color w:val="auto"/>
        </w:rPr>
        <w:tab/>
      </w:r>
      <w:r>
        <w:rPr>
          <w:rFonts w:ascii="Arial" w:cs="Arial" w:eastAsia="Arial" w:hAnsi="Arial"/>
          <w:sz w:val="9"/>
          <w:szCs w:val="9"/>
          <w:b w:val="1"/>
          <w:bCs w:val="1"/>
          <w:color w:val="auto"/>
        </w:rPr>
        <w:t>December 31, 2018</w:t>
      </w:r>
      <w:r>
        <w:rPr>
          <w:sz w:val="20"/>
          <w:szCs w:val="20"/>
          <w:color w:val="auto"/>
        </w:rPr>
        <w:tab/>
      </w:r>
      <w:r>
        <w:rPr>
          <w:rFonts w:ascii="Arial" w:cs="Arial" w:eastAsia="Arial" w:hAnsi="Arial"/>
          <w:sz w:val="9"/>
          <w:szCs w:val="9"/>
          <w:b w:val="1"/>
          <w:bCs w:val="1"/>
          <w:color w:val="auto"/>
        </w:rPr>
        <w:t>March 31, 2019</w:t>
      </w:r>
      <w:r>
        <w:rPr>
          <w:sz w:val="20"/>
          <w:szCs w:val="20"/>
          <w:color w:val="auto"/>
        </w:rPr>
        <w:tab/>
      </w:r>
      <w:r>
        <w:rPr>
          <w:rFonts w:ascii="Arial" w:cs="Arial" w:eastAsia="Arial" w:hAnsi="Arial"/>
          <w:sz w:val="9"/>
          <w:szCs w:val="9"/>
          <w:b w:val="1"/>
          <w:bCs w:val="1"/>
          <w:color w:val="auto"/>
        </w:rPr>
        <w:t>June 30, 2019</w:t>
      </w:r>
      <w:r>
        <w:rPr>
          <w:sz w:val="20"/>
          <w:szCs w:val="20"/>
          <w:color w:val="auto"/>
        </w:rPr>
        <w:tab/>
      </w:r>
      <w:r>
        <w:rPr>
          <w:rFonts w:ascii="Arial" w:cs="Arial" w:eastAsia="Arial" w:hAnsi="Arial"/>
          <w:sz w:val="9"/>
          <w:szCs w:val="9"/>
          <w:b w:val="1"/>
          <w:bCs w:val="1"/>
          <w:color w:val="auto"/>
        </w:rPr>
        <w:t>September 30, 2019</w:t>
      </w:r>
      <w:r>
        <w:rPr>
          <w:sz w:val="20"/>
          <w:szCs w:val="20"/>
          <w:color w:val="auto"/>
        </w:rPr>
        <w:tab/>
      </w:r>
      <w:r>
        <w:rPr>
          <w:rFonts w:ascii="Arial" w:cs="Arial" w:eastAsia="Arial" w:hAnsi="Arial"/>
          <w:sz w:val="9"/>
          <w:szCs w:val="9"/>
          <w:b w:val="1"/>
          <w:bCs w:val="1"/>
          <w:color w:val="auto"/>
        </w:rPr>
        <w:t>December 31, 2019</w:t>
      </w:r>
      <w:r>
        <w:rPr>
          <w:sz w:val="20"/>
          <w:szCs w:val="20"/>
          <w:color w:val="auto"/>
        </w:rPr>
        <w:tab/>
      </w:r>
      <w:r>
        <w:rPr>
          <w:rFonts w:ascii="Arial" w:cs="Arial" w:eastAsia="Arial" w:hAnsi="Arial"/>
          <w:sz w:val="9"/>
          <w:szCs w:val="9"/>
          <w:b w:val="1"/>
          <w:bCs w:val="1"/>
          <w:color w:val="auto"/>
        </w:rPr>
        <w:t>March 31, 2020</w:t>
      </w:r>
      <w:r>
        <w:rPr>
          <w:sz w:val="20"/>
          <w:szCs w:val="20"/>
          <w:color w:val="auto"/>
        </w:rPr>
        <w:tab/>
      </w:r>
      <w:r>
        <w:rPr>
          <w:rFonts w:ascii="Arial" w:cs="Arial" w:eastAsia="Arial" w:hAnsi="Arial"/>
          <w:sz w:val="9"/>
          <w:szCs w:val="9"/>
          <w:b w:val="1"/>
          <w:bCs w:val="1"/>
          <w:color w:val="auto"/>
        </w:rPr>
        <w:t>June 30, 2020</w:t>
      </w:r>
      <w:r>
        <w:rPr>
          <w:sz w:val="20"/>
          <w:szCs w:val="20"/>
          <w:color w:val="auto"/>
        </w:rPr>
        <w:tab/>
      </w:r>
      <w:r>
        <w:rPr>
          <w:rFonts w:ascii="Arial" w:cs="Arial" w:eastAsia="Arial" w:hAnsi="Arial"/>
          <w:sz w:val="8"/>
          <w:szCs w:val="8"/>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18415</wp:posOffset>
            </wp:positionV>
            <wp:extent cx="61658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65850" cy="8255"/>
                    </a:xfrm>
                    <a:prstGeom prst="rect">
                      <a:avLst/>
                    </a:prstGeom>
                    <a:noFill/>
                  </pic:spPr>
                </pic:pic>
              </a:graphicData>
            </a:graphic>
          </wp:anchor>
        </w:drawing>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0"/>
          <w:szCs w:val="10"/>
          <w:b w:val="1"/>
          <w:bCs w:val="1"/>
          <w:color w:val="auto"/>
        </w:rPr>
        <w:t>(in millions)</w:t>
      </w:r>
    </w:p>
    <w:p>
      <w:pPr>
        <w:sectPr>
          <w:pgSz w:w="11900" w:h="16838" w:orient="portrait"/>
          <w:cols w:equalWidth="0" w:num="1">
            <w:col w:w="11240"/>
          </w:cols>
          <w:pgMar w:left="320" w:top="1363" w:right="339" w:bottom="1440" w:gutter="0" w:footer="0" w:header="0"/>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0"/>
          <w:szCs w:val="10"/>
          <w:color w:val="auto"/>
        </w:rPr>
        <w:t>Net cash provided by (used in)</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2"/>
          <w:szCs w:val="12"/>
          <w:color w:val="auto"/>
        </w:rPr>
        <w:t>operating activities</w:t>
      </w:r>
      <w:r>
        <w:rPr>
          <w:rFonts w:ascii="Arial" w:cs="Arial" w:eastAsia="Arial" w:hAnsi="Arial"/>
          <w:sz w:val="15"/>
          <w:szCs w:val="15"/>
          <w:color w:val="auto"/>
          <w:vertAlign w:val="superscript"/>
        </w:rPr>
        <w:t>(1)</w:t>
      </w:r>
    </w:p>
    <w:p>
      <w:pPr>
        <w:ind w:left="180" w:right="20"/>
        <w:spacing w:after="0" w:line="285" w:lineRule="auto"/>
        <w:rPr>
          <w:sz w:val="20"/>
          <w:szCs w:val="20"/>
          <w:color w:val="auto"/>
        </w:rPr>
      </w:pPr>
      <w:r>
        <w:rPr>
          <w:rFonts w:ascii="Arial" w:cs="Arial" w:eastAsia="Arial" w:hAnsi="Arial"/>
          <w:sz w:val="10"/>
          <w:szCs w:val="10"/>
          <w:color w:val="auto"/>
        </w:rPr>
        <w:t>Net cash provided by (used in) investing activities</w:t>
      </w:r>
    </w:p>
    <w:p>
      <w:pPr>
        <w:ind w:left="180" w:right="20"/>
        <w:spacing w:after="0" w:line="290" w:lineRule="auto"/>
        <w:rPr>
          <w:sz w:val="20"/>
          <w:szCs w:val="20"/>
          <w:color w:val="auto"/>
        </w:rPr>
      </w:pPr>
      <w:r>
        <w:rPr>
          <w:rFonts w:ascii="Arial" w:cs="Arial" w:eastAsia="Arial" w:hAnsi="Arial"/>
          <w:sz w:val="10"/>
          <w:szCs w:val="10"/>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23"/>
              <w:spacing w:after="0"/>
              <w:rPr>
                <w:sz w:val="20"/>
                <w:szCs w:val="20"/>
                <w:color w:val="auto"/>
              </w:rPr>
            </w:pPr>
            <w:r>
              <w:rPr>
                <w:rFonts w:ascii="Arial" w:cs="Arial" w:eastAsia="Arial" w:hAnsi="Arial"/>
                <w:sz w:val="15"/>
                <w:szCs w:val="15"/>
                <w:color w:val="auto"/>
              </w:rPr>
              <w:t>11.6</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13.0</w:t>
            </w:r>
          </w:p>
        </w:tc>
        <w:tc>
          <w:tcPr>
            <w:tcW w:w="4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tcPr>
          <w:p>
            <w:pPr>
              <w:jc w:val="center"/>
              <w:ind w:left="180"/>
              <w:spacing w:after="0"/>
              <w:rPr>
                <w:sz w:val="20"/>
                <w:szCs w:val="20"/>
                <w:color w:val="auto"/>
              </w:rPr>
            </w:pPr>
            <w:r>
              <w:rPr>
                <w:rFonts w:ascii="Arial" w:cs="Arial" w:eastAsia="Arial" w:hAnsi="Arial"/>
                <w:sz w:val="12"/>
                <w:szCs w:val="12"/>
                <w:color w:val="auto"/>
                <w:w w:val="95"/>
              </w:rPr>
              <w:t>7.4</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580" w:type="dxa"/>
            <w:vAlign w:val="bottom"/>
          </w:tcPr>
          <w:p>
            <w:pPr>
              <w:ind w:left="280"/>
              <w:spacing w:after="0"/>
              <w:rPr>
                <w:sz w:val="20"/>
                <w:szCs w:val="20"/>
                <w:color w:val="auto"/>
              </w:rPr>
            </w:pPr>
            <w:r>
              <w:rPr>
                <w:rFonts w:ascii="Arial" w:cs="Arial" w:eastAsia="Arial" w:hAnsi="Arial"/>
                <w:sz w:val="12"/>
                <w:szCs w:val="12"/>
                <w:color w:val="auto"/>
              </w:rPr>
              <w:t>11.8</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14.2</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(5.3)</w:t>
            </w:r>
          </w:p>
        </w:tc>
        <w:tc>
          <w:tcPr>
            <w:tcW w:w="40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ind w:left="300"/>
              <w:spacing w:after="0"/>
              <w:rPr>
                <w:sz w:val="20"/>
                <w:szCs w:val="20"/>
                <w:color w:val="auto"/>
              </w:rPr>
            </w:pPr>
            <w:r>
              <w:rPr>
                <w:rFonts w:ascii="Arial" w:cs="Arial" w:eastAsia="Arial" w:hAnsi="Arial"/>
                <w:sz w:val="12"/>
                <w:szCs w:val="12"/>
                <w:color w:val="auto"/>
              </w:rPr>
              <w:t>18.5</w:t>
            </w:r>
          </w:p>
        </w:tc>
        <w:tc>
          <w:tcPr>
            <w:tcW w:w="3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0"/>
              <w:spacing w:after="0"/>
              <w:rPr>
                <w:sz w:val="20"/>
                <w:szCs w:val="20"/>
                <w:color w:val="auto"/>
              </w:rPr>
            </w:pPr>
            <w:r>
              <w:rPr>
                <w:rFonts w:ascii="Arial" w:cs="Arial" w:eastAsia="Arial" w:hAnsi="Arial"/>
                <w:sz w:val="12"/>
                <w:szCs w:val="12"/>
                <w:color w:val="auto"/>
              </w:rPr>
              <w:t>17.0</w:t>
            </w:r>
          </w:p>
        </w:tc>
        <w:tc>
          <w:tcPr>
            <w:tcW w:w="3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ind w:left="180"/>
              <w:spacing w:after="0"/>
              <w:rPr>
                <w:sz w:val="20"/>
                <w:szCs w:val="20"/>
                <w:color w:val="auto"/>
              </w:rPr>
            </w:pPr>
            <w:r>
              <w:rPr>
                <w:rFonts w:ascii="Arial" w:cs="Arial" w:eastAsia="Arial" w:hAnsi="Arial"/>
                <w:sz w:val="12"/>
                <w:szCs w:val="12"/>
                <w:color w:val="auto"/>
              </w:rPr>
              <w:t>28.3</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25.3</w:t>
            </w:r>
          </w:p>
        </w:tc>
        <w:tc>
          <w:tcPr>
            <w:tcW w:w="4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49.1</w:t>
            </w:r>
          </w:p>
        </w:tc>
      </w:tr>
      <w:tr>
        <w:trPr>
          <w:trHeight w:val="283"/>
        </w:trPr>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(0.9)</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w:t>
            </w:r>
          </w:p>
        </w:tc>
        <w:tc>
          <w:tcPr>
            <w:tcW w:w="420" w:type="dxa"/>
            <w:vAlign w:val="bottom"/>
          </w:tcPr>
          <w:p>
            <w:pPr>
              <w:spacing w:after="0"/>
              <w:rPr>
                <w:sz w:val="24"/>
                <w:szCs w:val="24"/>
                <w:color w:val="auto"/>
              </w:rPr>
            </w:pPr>
          </w:p>
        </w:tc>
        <w:tc>
          <w:tcPr>
            <w:tcW w:w="600" w:type="dxa"/>
            <w:vAlign w:val="bottom"/>
          </w:tcPr>
          <w:p>
            <w:pPr>
              <w:jc w:val="center"/>
              <w:ind w:left="160"/>
              <w:spacing w:after="0"/>
              <w:rPr>
                <w:sz w:val="20"/>
                <w:szCs w:val="20"/>
                <w:color w:val="auto"/>
              </w:rPr>
            </w:pPr>
            <w:r>
              <w:rPr>
                <w:rFonts w:ascii="Arial" w:cs="Arial" w:eastAsia="Arial" w:hAnsi="Arial"/>
                <w:sz w:val="12"/>
                <w:szCs w:val="12"/>
                <w:color w:val="auto"/>
                <w:w w:val="88"/>
              </w:rPr>
              <w:t>(9.7)</w:t>
            </w:r>
          </w:p>
        </w:tc>
        <w:tc>
          <w:tcPr>
            <w:tcW w:w="40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Arial" w:cs="Arial" w:eastAsia="Arial" w:hAnsi="Arial"/>
                <w:sz w:val="12"/>
                <w:szCs w:val="12"/>
                <w:color w:val="auto"/>
              </w:rPr>
              <w:t>(1.5)</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(708.6)</w:t>
            </w:r>
          </w:p>
        </w:tc>
        <w:tc>
          <w:tcPr>
            <w:tcW w:w="2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(12.5)</w:t>
            </w:r>
          </w:p>
        </w:tc>
        <w:tc>
          <w:tcPr>
            <w:tcW w:w="4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12"/>
                <w:szCs w:val="12"/>
                <w:color w:val="auto"/>
              </w:rPr>
              <w:t>(3.1)</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(12.5)</w:t>
            </w:r>
          </w:p>
        </w:tc>
        <w:tc>
          <w:tcPr>
            <w:tcW w:w="32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2"/>
                <w:szCs w:val="12"/>
                <w:color w:val="auto"/>
              </w:rPr>
              <w:t>(4.1)</w:t>
            </w:r>
          </w:p>
        </w:tc>
        <w:tc>
          <w:tcPr>
            <w:tcW w:w="2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(4.1)</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282"/>
        </w:trPr>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(15.4)</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(10.0)</w:t>
            </w:r>
          </w:p>
        </w:tc>
        <w:tc>
          <w:tcPr>
            <w:tcW w:w="420" w:type="dxa"/>
            <w:vAlign w:val="bottom"/>
          </w:tcPr>
          <w:p>
            <w:pPr>
              <w:spacing w:after="0"/>
              <w:rPr>
                <w:sz w:val="24"/>
                <w:szCs w:val="24"/>
                <w:color w:val="auto"/>
              </w:rPr>
            </w:pPr>
          </w:p>
        </w:tc>
        <w:tc>
          <w:tcPr>
            <w:tcW w:w="600" w:type="dxa"/>
            <w:vAlign w:val="bottom"/>
          </w:tcPr>
          <w:p>
            <w:pPr>
              <w:jc w:val="center"/>
              <w:ind w:left="180"/>
              <w:spacing w:after="0"/>
              <w:rPr>
                <w:sz w:val="20"/>
                <w:szCs w:val="20"/>
                <w:color w:val="auto"/>
              </w:rPr>
            </w:pPr>
            <w:r>
              <w:rPr>
                <w:rFonts w:ascii="Arial" w:cs="Arial" w:eastAsia="Arial" w:hAnsi="Arial"/>
                <w:sz w:val="12"/>
                <w:szCs w:val="12"/>
                <w:color w:val="auto"/>
                <w:w w:val="95"/>
              </w:rPr>
              <w:t>1.2</w:t>
            </w:r>
          </w:p>
        </w:tc>
        <w:tc>
          <w:tcPr>
            <w:tcW w:w="40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Arial" w:cs="Arial" w:eastAsia="Arial" w:hAnsi="Arial"/>
                <w:sz w:val="12"/>
                <w:szCs w:val="12"/>
                <w:color w:val="auto"/>
              </w:rPr>
              <w:t>(5.7)</w:t>
            </w:r>
          </w:p>
        </w:tc>
        <w:tc>
          <w:tcPr>
            <w:tcW w:w="260" w:type="dxa"/>
            <w:vAlign w:val="bottom"/>
          </w:tcPr>
          <w:p>
            <w:pPr>
              <w:spacing w:after="0"/>
              <w:rPr>
                <w:sz w:val="24"/>
                <w:szCs w:val="24"/>
                <w:color w:val="auto"/>
              </w:rPr>
            </w:pP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755.0</w:t>
            </w:r>
          </w:p>
        </w:tc>
        <w:tc>
          <w:tcPr>
            <w:tcW w:w="2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(21.7)</w:t>
            </w:r>
          </w:p>
        </w:tc>
        <w:tc>
          <w:tcPr>
            <w:tcW w:w="4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12"/>
                <w:szCs w:val="12"/>
                <w:color w:val="auto"/>
              </w:rPr>
              <w:t>(5.3)</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w:t>
            </w:r>
          </w:p>
        </w:tc>
        <w:tc>
          <w:tcPr>
            <w:tcW w:w="32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12"/>
                <w:szCs w:val="12"/>
                <w:color w:val="auto"/>
              </w:rPr>
              <w:t>(2.6)</w:t>
            </w:r>
          </w:p>
        </w:tc>
        <w:tc>
          <w:tcPr>
            <w:tcW w:w="260" w:type="dxa"/>
            <w:vAlign w:val="bottom"/>
          </w:tcPr>
          <w:p>
            <w:pPr>
              <w:spacing w:after="0"/>
              <w:rPr>
                <w:sz w:val="24"/>
                <w:szCs w:val="2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174.9</w:t>
            </w:r>
          </w:p>
        </w:tc>
        <w:tc>
          <w:tcPr>
            <w:tcW w:w="4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-534670</wp:posOffset>
            </wp:positionV>
            <wp:extent cx="713867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8670" cy="179705"/>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-175260</wp:posOffset>
            </wp:positionV>
            <wp:extent cx="713867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8670"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00" w:space="60"/>
            <w:col w:w="9680"/>
          </w:cols>
          <w:pgMar w:left="320" w:top="1363" w:right="339" w:bottom="1440" w:gutter="0" w:footer="0" w:header="0"/>
          <w:type w:val="continuous"/>
        </w:sectPr>
      </w:pPr>
    </w:p>
    <w:p>
      <w:pPr>
        <w:spacing w:after="0" w:line="230" w:lineRule="auto"/>
        <w:rPr>
          <w:sz w:val="20"/>
          <w:szCs w:val="20"/>
          <w:color w:val="auto"/>
        </w:rPr>
      </w:pPr>
      <w:r>
        <w:rPr>
          <w:rFonts w:ascii="Arial" w:cs="Arial" w:eastAsia="Arial" w:hAnsi="Arial"/>
          <w:sz w:val="14"/>
          <w:szCs w:val="14"/>
          <w:color w:val="auto"/>
        </w:rPr>
        <w:t>__________________</w:t>
      </w:r>
    </w:p>
    <w:p>
      <w:pPr>
        <w:ind w:left="300" w:hanging="297"/>
        <w:spacing w:after="0"/>
        <w:tabs>
          <w:tab w:leader="none" w:pos="3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Net cash provided by (used in) operating activities includes cash payments for interest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5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9"/>
                <w:szCs w:val="9"/>
                <w:b w:val="1"/>
                <w:bCs w:val="1"/>
                <w:color w:val="auto"/>
                <w:w w:val="98"/>
              </w:rPr>
              <w:t>Three Months Ended</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35"/>
        </w:trPr>
        <w:tc>
          <w:tcPr>
            <w:tcW w:w="1540" w:type="dxa"/>
            <w:vAlign w:val="bottom"/>
          </w:tcPr>
          <w:p>
            <w:pPr>
              <w:spacing w:after="0"/>
              <w:rPr>
                <w:sz w:val="11"/>
                <w:szCs w:val="11"/>
                <w:color w:val="auto"/>
              </w:rPr>
            </w:pPr>
          </w:p>
        </w:tc>
        <w:tc>
          <w:tcPr>
            <w:tcW w:w="800" w:type="dxa"/>
            <w:vAlign w:val="bottom"/>
            <w:gridSpan w:val="3"/>
          </w:tcPr>
          <w:p>
            <w:pPr>
              <w:ind w:left="40"/>
              <w:spacing w:after="0"/>
              <w:rPr>
                <w:sz w:val="20"/>
                <w:szCs w:val="20"/>
                <w:color w:val="auto"/>
              </w:rPr>
            </w:pPr>
            <w:r>
              <w:rPr>
                <w:rFonts w:ascii="Arial" w:cs="Arial" w:eastAsia="Arial" w:hAnsi="Arial"/>
                <w:sz w:val="9"/>
                <w:szCs w:val="9"/>
                <w:b w:val="1"/>
                <w:bCs w:val="1"/>
                <w:color w:val="auto"/>
              </w:rPr>
              <w:t>March 31, 2018</w:t>
            </w:r>
          </w:p>
        </w:tc>
        <w:tc>
          <w:tcPr>
            <w:tcW w:w="760" w:type="dxa"/>
            <w:vAlign w:val="bottom"/>
            <w:gridSpan w:val="3"/>
          </w:tcPr>
          <w:p>
            <w:pPr>
              <w:ind w:left="60"/>
              <w:spacing w:after="0"/>
              <w:rPr>
                <w:sz w:val="20"/>
                <w:szCs w:val="20"/>
                <w:color w:val="auto"/>
              </w:rPr>
            </w:pPr>
            <w:r>
              <w:rPr>
                <w:rFonts w:ascii="Arial" w:cs="Arial" w:eastAsia="Arial" w:hAnsi="Arial"/>
                <w:sz w:val="9"/>
                <w:szCs w:val="9"/>
                <w:b w:val="1"/>
                <w:bCs w:val="1"/>
                <w:color w:val="auto"/>
              </w:rPr>
              <w:t>June 30, 2018</w:t>
            </w:r>
          </w:p>
        </w:tc>
        <w:tc>
          <w:tcPr>
            <w:tcW w:w="1020" w:type="dxa"/>
            <w:vAlign w:val="bottom"/>
            <w:gridSpan w:val="3"/>
          </w:tcPr>
          <w:p>
            <w:pPr>
              <w:ind w:left="80"/>
              <w:spacing w:after="0"/>
              <w:rPr>
                <w:sz w:val="20"/>
                <w:szCs w:val="20"/>
                <w:color w:val="auto"/>
              </w:rPr>
            </w:pPr>
            <w:r>
              <w:rPr>
                <w:rFonts w:ascii="Arial" w:cs="Arial" w:eastAsia="Arial" w:hAnsi="Arial"/>
                <w:sz w:val="9"/>
                <w:szCs w:val="9"/>
                <w:b w:val="1"/>
                <w:bCs w:val="1"/>
                <w:color w:val="auto"/>
              </w:rPr>
              <w:t>September 30, 2018</w:t>
            </w:r>
          </w:p>
        </w:tc>
        <w:tc>
          <w:tcPr>
            <w:tcW w:w="1000" w:type="dxa"/>
            <w:vAlign w:val="bottom"/>
            <w:gridSpan w:val="3"/>
          </w:tcPr>
          <w:p>
            <w:pPr>
              <w:ind w:left="80"/>
              <w:spacing w:after="0"/>
              <w:rPr>
                <w:sz w:val="20"/>
                <w:szCs w:val="20"/>
                <w:color w:val="auto"/>
              </w:rPr>
            </w:pPr>
            <w:r>
              <w:rPr>
                <w:rFonts w:ascii="Arial" w:cs="Arial" w:eastAsia="Arial" w:hAnsi="Arial"/>
                <w:sz w:val="9"/>
                <w:szCs w:val="9"/>
                <w:b w:val="1"/>
                <w:bCs w:val="1"/>
                <w:color w:val="auto"/>
              </w:rPr>
              <w:t>December 31, 2018</w:t>
            </w:r>
          </w:p>
        </w:tc>
        <w:tc>
          <w:tcPr>
            <w:tcW w:w="800" w:type="dxa"/>
            <w:vAlign w:val="bottom"/>
            <w:gridSpan w:val="3"/>
          </w:tcPr>
          <w:p>
            <w:pPr>
              <w:ind w:left="40"/>
              <w:spacing w:after="0"/>
              <w:rPr>
                <w:sz w:val="20"/>
                <w:szCs w:val="20"/>
                <w:color w:val="auto"/>
              </w:rPr>
            </w:pPr>
            <w:r>
              <w:rPr>
                <w:rFonts w:ascii="Arial" w:cs="Arial" w:eastAsia="Arial" w:hAnsi="Arial"/>
                <w:sz w:val="9"/>
                <w:szCs w:val="9"/>
                <w:b w:val="1"/>
                <w:bCs w:val="1"/>
                <w:color w:val="auto"/>
              </w:rPr>
              <w:t>March 31, 2019</w:t>
            </w:r>
          </w:p>
        </w:tc>
        <w:tc>
          <w:tcPr>
            <w:tcW w:w="780" w:type="dxa"/>
            <w:vAlign w:val="bottom"/>
            <w:gridSpan w:val="3"/>
          </w:tcPr>
          <w:p>
            <w:pPr>
              <w:ind w:left="60"/>
              <w:spacing w:after="0"/>
              <w:rPr>
                <w:sz w:val="20"/>
                <w:szCs w:val="20"/>
                <w:color w:val="auto"/>
              </w:rPr>
            </w:pPr>
            <w:r>
              <w:rPr>
                <w:rFonts w:ascii="Arial" w:cs="Arial" w:eastAsia="Arial" w:hAnsi="Arial"/>
                <w:sz w:val="9"/>
                <w:szCs w:val="9"/>
                <w:b w:val="1"/>
                <w:bCs w:val="1"/>
                <w:color w:val="auto"/>
              </w:rPr>
              <w:t>June 30, 2019</w:t>
            </w:r>
          </w:p>
        </w:tc>
        <w:tc>
          <w:tcPr>
            <w:tcW w:w="1020" w:type="dxa"/>
            <w:vAlign w:val="bottom"/>
            <w:gridSpan w:val="3"/>
          </w:tcPr>
          <w:p>
            <w:pPr>
              <w:ind w:left="60"/>
              <w:spacing w:after="0"/>
              <w:rPr>
                <w:sz w:val="20"/>
                <w:szCs w:val="20"/>
                <w:color w:val="auto"/>
              </w:rPr>
            </w:pPr>
            <w:r>
              <w:rPr>
                <w:rFonts w:ascii="Arial" w:cs="Arial" w:eastAsia="Arial" w:hAnsi="Arial"/>
                <w:sz w:val="9"/>
                <w:szCs w:val="9"/>
                <w:b w:val="1"/>
                <w:bCs w:val="1"/>
                <w:color w:val="auto"/>
              </w:rPr>
              <w:t>September 30, 2019</w:t>
            </w:r>
          </w:p>
        </w:tc>
        <w:tc>
          <w:tcPr>
            <w:tcW w:w="980" w:type="dxa"/>
            <w:vAlign w:val="bottom"/>
            <w:gridSpan w:val="3"/>
          </w:tcPr>
          <w:p>
            <w:pPr>
              <w:ind w:left="60"/>
              <w:spacing w:after="0"/>
              <w:rPr>
                <w:sz w:val="20"/>
                <w:szCs w:val="20"/>
                <w:color w:val="auto"/>
              </w:rPr>
            </w:pPr>
            <w:r>
              <w:rPr>
                <w:rFonts w:ascii="Arial" w:cs="Arial" w:eastAsia="Arial" w:hAnsi="Arial"/>
                <w:sz w:val="9"/>
                <w:szCs w:val="9"/>
                <w:b w:val="1"/>
                <w:bCs w:val="1"/>
                <w:color w:val="auto"/>
              </w:rPr>
              <w:t>December 31, 2019</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March 31, 2020</w:t>
            </w:r>
          </w:p>
        </w:tc>
        <w:tc>
          <w:tcPr>
            <w:tcW w:w="780" w:type="dxa"/>
            <w:vAlign w:val="bottom"/>
            <w:gridSpan w:val="3"/>
          </w:tcPr>
          <w:p>
            <w:pPr>
              <w:ind w:left="80"/>
              <w:spacing w:after="0"/>
              <w:rPr>
                <w:sz w:val="20"/>
                <w:szCs w:val="20"/>
                <w:color w:val="auto"/>
              </w:rPr>
            </w:pPr>
            <w:r>
              <w:rPr>
                <w:rFonts w:ascii="Arial" w:cs="Arial" w:eastAsia="Arial" w:hAnsi="Arial"/>
                <w:sz w:val="9"/>
                <w:szCs w:val="9"/>
                <w:b w:val="1"/>
                <w:bCs w:val="1"/>
                <w:color w:val="auto"/>
              </w:rPr>
              <w:t>June 30, 2020</w:t>
            </w:r>
          </w:p>
        </w:tc>
        <w:tc>
          <w:tcPr>
            <w:tcW w:w="80" w:type="dxa"/>
            <w:vAlign w:val="bottom"/>
          </w:tcPr>
          <w:p>
            <w:pPr>
              <w:spacing w:after="0"/>
              <w:rPr>
                <w:sz w:val="11"/>
                <w:szCs w:val="11"/>
                <w:color w:val="auto"/>
              </w:rPr>
            </w:pPr>
          </w:p>
        </w:tc>
        <w:tc>
          <w:tcPr>
            <w:tcW w:w="860" w:type="dxa"/>
            <w:vAlign w:val="bottom"/>
          </w:tcPr>
          <w:p>
            <w:pPr>
              <w:jc w:val="right"/>
              <w:ind w:right="26"/>
              <w:spacing w:after="0"/>
              <w:rPr>
                <w:sz w:val="20"/>
                <w:szCs w:val="20"/>
                <w:color w:val="auto"/>
              </w:rPr>
            </w:pPr>
            <w:r>
              <w:rPr>
                <w:rFonts w:ascii="Arial" w:cs="Arial" w:eastAsia="Arial" w:hAnsi="Arial"/>
                <w:sz w:val="9"/>
                <w:szCs w:val="9"/>
                <w:b w:val="1"/>
                <w:bCs w:val="1"/>
                <w:color w:val="auto"/>
                <w:w w:val="90"/>
              </w:rPr>
              <w:t>September 30, 2020</w:t>
            </w:r>
          </w:p>
        </w:tc>
      </w:tr>
      <w:tr>
        <w:trPr>
          <w:trHeight w:val="166"/>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paid for interest</w:t>
            </w:r>
          </w:p>
        </w:tc>
        <w:tc>
          <w:tcPr>
            <w:tcW w:w="28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4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September 30, 2020, we had $304.9 million of cash and cash equivalents and $100.0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generally invoice our subscription customers annually, semi-annually, or quarterly in advance of our subscription services. Therefore, a substantial source of our cash is from such prepayments, which are included in our condensed consolidated balance sheet as unearned revenue. Unearned revenue consists of billed fees for our subscriptions, prior to satisfying the criteria for revenue recognition, which are subsequently recognized as revenue in accordance with our revenue recognition policy. As of September 30, 2020, we had unearned revenue of $176.0 million, of which $175.3 million was recorded as a current liability and is expected to be recorded as revenue in the next 12 months, provided all other revenue recognition criteria have been met.</w:t>
      </w:r>
    </w:p>
    <w:p>
      <w:pPr>
        <w:spacing w:after="0" w:line="115"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color w:val="auto"/>
        </w:rPr>
        <w:t>After the consummation of the Restructuring Transactions, ZoomInfo Technologies Inc. became a holding company with no material assets other than its ownership of HoldCo Units, and ZoomInfo HoldCo became a holding company with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“Dividend Policy” and “Risk Factors—Risks Related to Our Organizational Structure—ZoomInfo Technologies Inc. is a holding company, its only material asset is its interest in ZoomInfo HoldCo, which is a holding company whose only material asset is its interest in ZoomInfo OpCo, and ZoomInfo Technologies Inc. is accordingly dependent upon distributions from ZoomInfo OpCo through ZoomInfo HoldCo to pay taxes, make payments under the tax receivable agreements, and pay dividends.”</w:t>
      </w:r>
    </w:p>
    <w:p>
      <w:pPr>
        <w:spacing w:after="0" w:line="127"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7"/>
                <w:szCs w:val="17"/>
                <w:color w:val="auto"/>
              </w:rPr>
            </w:pPr>
          </w:p>
        </w:tc>
        <w:tc>
          <w:tcPr>
            <w:tcW w:w="2740" w:type="dxa"/>
            <w:vAlign w:val="bottom"/>
            <w:gridSpan w:val="4"/>
          </w:tcPr>
          <w:p>
            <w:pPr>
              <w:jc w:val="right"/>
              <w:ind w:right="418"/>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9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r>
      <w:tr>
        <w:trPr>
          <w:trHeight w:val="218"/>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r>
      <w:tr>
        <w:trPr>
          <w:trHeight w:val="218"/>
        </w:trPr>
        <w:tc>
          <w:tcPr>
            <w:tcW w:w="512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w:t>
            </w: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w w:val="91"/>
              </w:rPr>
              <w:t>Net increase (decrease) in cash and cash equivalents and restricted cash</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263.5</w:t>
            </w: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(used in) Operating Activities</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Net cash provided by operations was $102.7 million for the nine months ended September 30, 2020 as a result of a net loss of $72.7 million, adjusted by non-cash charges of $179.7 million and partially offset by the change in our operating assets net of operating liabilities of $4.3 million. The non-cash charges are primarily comprised of depreciation and amortization of $37.0 million, equity-based compensation of $104.2 million, loss on early extinguishment of debt of $14.9 million, and amortization of deferred commission costs of $17.5 million, offset by a decrease in deferred tax assets net of deferred tax liabilities of $4.5 million. The change in operating assets net of operating liabilities was primarily the result of an increase in deferred costs and other assets of $22.3 million and an increase in accounts receivable of $4.6 million, partially offset by an increase in unearned revenue of $16.8 million and an increase in accrued expenses and other liabilities of $6.9 million.</w:t>
      </w:r>
    </w:p>
    <w:p>
      <w:pPr>
        <w:spacing w:after="0" w:line="13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Net cash provided by operations was $27.4 million for the nine months ended September 30, 2019 as a result of a net loss of $72.5 million, adjusted by non-cash charges of $66.6 million and the change in our operating assets net of operating liabilities of $33.3 million. The non-cash charges are primarily comprised of depreciation and amortization of $36.7 million, equity-based compensation of $17.1 million, loss on early extinguishment of debt of $9.4 million, and amortization of deferred commission costs of $4.5 million, offset by a decrease in deferred tax assets net of deferred tax liabilities of $6.1 million. The change in operating assets net of operating liabilities was primarily the result of an increase in unearned revenue of $46.2 million and an increase in accrued expenses and other liabilities of $6.2 million, partially offset by an increase in deferred costs and other assets of $13.2 million and an increase in accounts receivable of $7.4 million.</w:t>
      </w:r>
    </w:p>
    <w:p>
      <w:pPr>
        <w:spacing w:after="0" w:line="10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Restructuring and transaction-related cash costs for the nine months ended September 30, 2020 primarily related to cash IPO costs and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nine months ended September 30, 2020, and 2019, we incurred the following cash expenditures: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000" w:type="dxa"/>
            <w:vAlign w:val="bottom"/>
          </w:tcPr>
          <w:p>
            <w:pPr>
              <w:spacing w:after="0"/>
              <w:rPr>
                <w:sz w:val="15"/>
                <w:szCs w:val="15"/>
                <w:color w:val="auto"/>
              </w:rPr>
            </w:pPr>
          </w:p>
        </w:tc>
        <w:tc>
          <w:tcPr>
            <w:tcW w:w="3220" w:type="dxa"/>
            <w:vAlign w:val="bottom"/>
            <w:tcBorders>
              <w:bottom w:val="single" w:sz="8" w:color="auto"/>
            </w:tcBorders>
            <w:gridSpan w:val="2"/>
          </w:tcPr>
          <w:p>
            <w:pPr>
              <w:jc w:val="right"/>
              <w:ind w:right="511"/>
              <w:spacing w:after="0"/>
              <w:rPr>
                <w:sz w:val="20"/>
                <w:szCs w:val="20"/>
                <w:color w:val="auto"/>
              </w:rPr>
            </w:pPr>
            <w:r>
              <w:rPr>
                <w:rFonts w:ascii="Arial" w:cs="Arial" w:eastAsia="Arial" w:hAnsi="Arial"/>
                <w:sz w:val="14"/>
                <w:szCs w:val="14"/>
                <w:b w:val="1"/>
                <w:bCs w:val="1"/>
                <w:color w:val="auto"/>
              </w:rPr>
              <w:t>Nine Months Ended September 30,</w:t>
            </w:r>
          </w:p>
        </w:tc>
      </w:tr>
      <w:tr>
        <w:trPr>
          <w:trHeight w:val="178"/>
        </w:trPr>
        <w:tc>
          <w:tcPr>
            <w:tcW w:w="8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tcPr>
          <w:p>
            <w:pPr>
              <w:jc w:val="right"/>
              <w:ind w:right="611"/>
              <w:spacing w:after="0"/>
              <w:rPr>
                <w:sz w:val="20"/>
                <w:szCs w:val="20"/>
                <w:color w:val="auto"/>
              </w:rPr>
            </w:pPr>
            <w:r>
              <w:rPr>
                <w:rFonts w:ascii="Arial" w:cs="Arial" w:eastAsia="Arial" w:hAnsi="Arial"/>
                <w:sz w:val="14"/>
                <w:szCs w:val="14"/>
                <w:b w:val="1"/>
                <w:bCs w:val="1"/>
                <w:color w:val="auto"/>
              </w:rPr>
              <w:t>2020</w:t>
            </w:r>
          </w:p>
        </w:tc>
        <w:tc>
          <w:tcPr>
            <w:tcW w:w="16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interest expense</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w:t>
            </w:r>
          </w:p>
        </w:tc>
      </w:tr>
      <w:tr>
        <w:trPr>
          <w:trHeight w:val="219"/>
        </w:trPr>
        <w:tc>
          <w:tcPr>
            <w:tcW w:w="8020" w:type="dxa"/>
            <w:vAlign w:val="bottom"/>
          </w:tcPr>
          <w:p>
            <w:pPr>
              <w:ind w:left="20"/>
              <w:spacing w:after="0" w:line="219" w:lineRule="exact"/>
              <w:rPr>
                <w:sz w:val="20"/>
                <w:szCs w:val="20"/>
                <w:color w:val="auto"/>
              </w:rPr>
            </w:pPr>
            <w:r>
              <w:rPr>
                <w:rFonts w:ascii="Arial" w:cs="Arial" w:eastAsia="Arial" w:hAnsi="Arial"/>
                <w:sz w:val="17"/>
                <w:szCs w:val="17"/>
                <w:color w:val="auto"/>
              </w:rPr>
              <w:t>Restructuring and transaction-related expenses paid in cash</w:t>
            </w:r>
            <w:r>
              <w:rPr>
                <w:rFonts w:ascii="Arial" w:cs="Arial" w:eastAsia="Arial" w:hAnsi="Arial"/>
                <w:sz w:val="22"/>
                <w:szCs w:val="22"/>
                <w:color w:val="auto"/>
                <w:vertAlign w:val="superscript"/>
              </w:rPr>
              <w:t>(a)</w:t>
            </w:r>
          </w:p>
        </w:tc>
        <w:tc>
          <w:tcPr>
            <w:tcW w:w="156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9"/>
        </w:trPr>
        <w:tc>
          <w:tcPr>
            <w:tcW w:w="80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Integration costs and acquisition-related compensation paid in cash</w:t>
            </w:r>
            <w:r>
              <w:rPr>
                <w:rFonts w:ascii="Arial" w:cs="Arial" w:eastAsia="Arial" w:hAnsi="Arial"/>
                <w:sz w:val="22"/>
                <w:szCs w:val="22"/>
                <w:color w:val="auto"/>
                <w:vertAlign w:val="superscript"/>
              </w:rPr>
              <w:t>(b)</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148"/>
        </w:trPr>
        <w:tc>
          <w:tcPr>
            <w:tcW w:w="8020" w:type="dxa"/>
            <w:vAlign w:val="bottom"/>
          </w:tcPr>
          <w:p>
            <w:pPr>
              <w:spacing w:after="0" w:line="148" w:lineRule="exact"/>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bl>
    <w:p>
      <w:pPr>
        <w:jc w:val="both"/>
        <w:ind w:left="320" w:hanging="317"/>
        <w:spacing w:after="0" w:line="230" w:lineRule="auto"/>
        <w:tabs>
          <w:tab w:leader="none" w:pos="318"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acquisition or disposal activities, including employee severance and termination benefits, contract termination fees and penalties, and other exit or disposal costs. For the nine months ended September 30, 2020, these payments related primarily to the IPO, including professional fees, severance and acceleration of payments for terminated employees, and deferred consideration. For the nine months ended September 30, 2019, these payments related primarily to the acquisition of Pre-Acquisition ZI, including professional fees, severance, and acceleration of payments for terminated employees.</w:t>
      </w:r>
    </w:p>
    <w:p>
      <w:pPr>
        <w:jc w:val="both"/>
        <w:ind w:left="320" w:hanging="317"/>
        <w:spacing w:after="0" w:line="233" w:lineRule="auto"/>
        <w:tabs>
          <w:tab w:leader="none" w:pos="313"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nine months ended September 30, 2020, these payments related primarily to cash vesting payments from the acquisition of Pre-Acquisition ZI. For the nine months ended September 30, 2019, these payments related primarily to activities resulting from the acquisition of Pre-Acquisition ZI, including cash vesting payments and transaction bonuses, as well as payments of retention awards granted upon the Company’s acquisition of RainKing.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1" w:name="page132"/>
    <w:bookmarkEnd w:id="131"/>
    <w:p>
      <w:pPr>
        <w:jc w:val="both"/>
        <w:ind w:firstLine="309"/>
        <w:spacing w:after="0" w:line="258" w:lineRule="auto"/>
        <w:rPr>
          <w:sz w:val="20"/>
          <w:szCs w:val="20"/>
          <w:color w:val="auto"/>
        </w:rPr>
      </w:pPr>
      <w:r>
        <w:rPr>
          <w:rFonts w:ascii="Arial" w:cs="Arial" w:eastAsia="Arial" w:hAnsi="Arial"/>
          <w:sz w:val="17"/>
          <w:szCs w:val="17"/>
          <w:color w:val="auto"/>
        </w:rPr>
        <w:t>Net cash provided by operations was $44.4 million for the year ended December 31, 2019 as a result of a net loss of $78.0 million, adjusted by non-cash charges of $93.8 million and a change of $28.6 million in our operating assets and liabilities. The non-cash charges are primarily comprised of depreciation and amortization of $48.7 million, equity-based compensation of $25.1 million, and loss on debt extinguishment of $9.4 million. The change in operating assets and liabilities was primarily the result of an increase in unearned revenue of $71.9 million due to the timing of billings and cash received in advance of revenue recognition for subscription services, and an increase in accrued expenses and other liabilities of $18.2 million, partially offset by increases in accounts receivable of $34.5 million and deferred costs and other assets of $27.8 million.</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Net cash provided by operations was $43.8 million for the year ended December 31, 2018 as a result of a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in accounts receivable of $8.9 million and in deferred costs and other assets of $3.3 million.</w:t>
      </w:r>
    </w:p>
    <w:p>
      <w:pPr>
        <w:spacing w:after="0" w:line="130"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Net cash from operations increased by $0.6 million in the year ended December 31, 2019 relative to the year ended December 31, 2018. The increase in cash flows from operations comprised increases in cash outflows related to cash interest expense, which increased by $54.8 million from the year ended December 31, 2018 to the year ended December 31, 2019, restructuring and transaction-related expenses, which increased by $9.2 million from the year ended December 31, 2018 to the year ended December 31, 2019, and integration costs and transaction-related compensation, which increased by $11.7 million from the year ended December 31, 2018 to the year ended December 31, 2019. These increases in cash outflows were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07" w:lineRule="exact"/>
        <w:rPr>
          <w:sz w:val="20"/>
          <w:szCs w:val="20"/>
          <w:color w:val="auto"/>
        </w:rPr>
      </w:pPr>
    </w:p>
    <w:p>
      <w:pPr>
        <w:jc w:val="both"/>
        <w:ind w:left="620" w:hanging="308"/>
        <w:spacing w:after="0" w:line="290" w:lineRule="auto"/>
        <w:tabs>
          <w:tab w:leader="none" w:pos="616"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Interest paid in cash increased significantly from the year ended December 31, 2018 to the year ended December 31, 2019. This increase primarily related to the additional debt that we incurred to fund the acquisition of Pre-Acquisition ZI on February 1, 2019. We used a portion of the proceeds from the IPO to repay a portion of our indebtedness, which resulted in our future liquidity increasing due to decreased debt service commitments.</w:t>
      </w:r>
    </w:p>
    <w:p>
      <w:pPr>
        <w:spacing w:after="0" w:line="105" w:lineRule="exact"/>
        <w:rPr>
          <w:rFonts w:ascii="Arial" w:cs="Arial" w:eastAsia="Arial" w:hAnsi="Arial"/>
          <w:sz w:val="16"/>
          <w:szCs w:val="16"/>
          <w:color w:val="auto"/>
        </w:rPr>
      </w:pPr>
    </w:p>
    <w:p>
      <w:pPr>
        <w:jc w:val="both"/>
        <w:ind w:left="620" w:hanging="308"/>
        <w:spacing w:after="0" w:line="261" w:lineRule="auto"/>
        <w:tabs>
          <w:tab w:leader="none" w:pos="616"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Restructuring and transaction-related expenses increased significantly from the year ended December 31, 2018 to the year ended December 31, 2019. This increase primarily related to the costs incurred to pursue and complete the acquisition of Pre-Acquisition ZI and the related restructuring activities to align the combined organization, which were partially offset by the expenses incurred in 2018 to complete Carlyle’s investment in us, the NeverBounce acquisition, and restructuring activities related to the RainKing acquisition in 2017 that did not recur.</w:t>
      </w:r>
    </w:p>
    <w:p>
      <w:pPr>
        <w:spacing w:after="0" w:line="128"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Integration costs and transaction-related compensation increased significantly from the year ended December 31, 2018 to the year ended December 31, 2019. This increase primarily related to the costs incurred to integrate Pre-Acquisition ZI and ongoing costs related to the Cash Vesting Payment Program (see Note 4 to our audited financial statements included elsewhere in this prospectus). The portion of these expenditures relating to the Cash Vesting Payment Program will continue to recur through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58"/>
              <w:spacing w:after="0"/>
              <w:rPr>
                <w:sz w:val="20"/>
                <w:szCs w:val="20"/>
                <w:color w:val="auto"/>
              </w:rPr>
            </w:pPr>
            <w:r>
              <w:rPr>
                <w:rFonts w:ascii="Arial" w:cs="Arial" w:eastAsia="Arial" w:hAnsi="Arial"/>
                <w:sz w:val="14"/>
                <w:szCs w:val="14"/>
                <w:b w:val="1"/>
                <w:bCs w:val="1"/>
                <w:color w:val="auto"/>
              </w:rPr>
              <w:t>Year Ended December 31,</w:t>
            </w:r>
          </w:p>
        </w:tc>
      </w:tr>
      <w:tr>
        <w:trPr>
          <w:trHeight w:val="17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9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r>
      <w:tr>
        <w:trPr>
          <w:trHeight w:val="213"/>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interest expense</w:t>
            </w:r>
          </w:p>
        </w:tc>
        <w:tc>
          <w:tcPr>
            <w:tcW w:w="3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r>
      <w:tr>
        <w:trPr>
          <w:trHeight w:val="219"/>
        </w:trPr>
        <w:tc>
          <w:tcPr>
            <w:tcW w:w="5120" w:type="dxa"/>
            <w:vAlign w:val="bottom"/>
          </w:tcPr>
          <w:p>
            <w:pPr>
              <w:ind w:left="20"/>
              <w:spacing w:after="0" w:line="219" w:lineRule="exact"/>
              <w:rPr>
                <w:sz w:val="20"/>
                <w:szCs w:val="20"/>
                <w:color w:val="auto"/>
              </w:rPr>
            </w:pPr>
            <w:r>
              <w:rPr>
                <w:rFonts w:ascii="Arial" w:cs="Arial" w:eastAsia="Arial" w:hAnsi="Arial"/>
                <w:sz w:val="17"/>
                <w:szCs w:val="17"/>
                <w:color w:val="auto"/>
              </w:rPr>
              <w:t>Restructuring and transaction-related expenses paid in cash</w:t>
            </w:r>
            <w:r>
              <w:rPr>
                <w:rFonts w:ascii="Arial" w:cs="Arial" w:eastAsia="Arial" w:hAnsi="Arial"/>
                <w:sz w:val="22"/>
                <w:szCs w:val="22"/>
                <w:color w:val="auto"/>
                <w:vertAlign w:val="superscript"/>
              </w:rPr>
              <w:t>(a)</w:t>
            </w:r>
          </w:p>
        </w:tc>
        <w:tc>
          <w:tcPr>
            <w:tcW w:w="2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19"/>
        </w:trPr>
        <w:tc>
          <w:tcPr>
            <w:tcW w:w="51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w w:val="96"/>
              </w:rPr>
              <w:t>Integration costs and acquisition-related compensation paid in cash</w:t>
            </w:r>
            <w:r>
              <w:rPr>
                <w:rFonts w:ascii="Arial" w:cs="Arial" w:eastAsia="Arial" w:hAnsi="Arial"/>
                <w:sz w:val="22"/>
                <w:szCs w:val="22"/>
                <w:color w:val="auto"/>
                <w:w w:val="96"/>
                <w:vertAlign w:val="superscript"/>
              </w:rPr>
              <w:t>(b)</w:t>
            </w:r>
          </w:p>
        </w:tc>
        <w:tc>
          <w:tcPr>
            <w:tcW w:w="2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694"/>
        </w:trPr>
        <w:tc>
          <w:tcPr>
            <w:tcW w:w="5120" w:type="dxa"/>
            <w:vAlign w:val="bottom"/>
          </w:tcPr>
          <w:p>
            <w:pPr>
              <w:spacing w:after="0"/>
              <w:rPr>
                <w:sz w:val="24"/>
                <w:szCs w:val="24"/>
                <w:color w:val="auto"/>
              </w:rPr>
            </w:pPr>
          </w:p>
        </w:tc>
        <w:tc>
          <w:tcPr>
            <w:tcW w:w="2900" w:type="dxa"/>
            <w:vAlign w:val="bottom"/>
          </w:tcPr>
          <w:p>
            <w:pPr>
              <w:jc w:val="right"/>
              <w:ind w:right="2174"/>
              <w:spacing w:after="0"/>
              <w:rPr>
                <w:sz w:val="20"/>
                <w:szCs w:val="20"/>
                <w:color w:val="auto"/>
              </w:rPr>
            </w:pPr>
            <w:r>
              <w:rPr>
                <w:rFonts w:ascii="Arial" w:cs="Arial" w:eastAsia="Arial" w:hAnsi="Arial"/>
                <w:sz w:val="17"/>
                <w:szCs w:val="17"/>
                <w:color w:val="auto"/>
              </w:rPr>
              <w:t>126</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51"/>
        </w:trPr>
        <w:tc>
          <w:tcPr>
            <w:tcW w:w="51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color w:val="auto"/>
        </w:rPr>
        <w:t>__________________</w:t>
      </w:r>
    </w:p>
    <w:p>
      <w:pPr>
        <w:spacing w:after="0" w:line="6" w:lineRule="exact"/>
        <w:rPr>
          <w:sz w:val="20"/>
          <w:szCs w:val="20"/>
          <w:color w:val="auto"/>
        </w:rPr>
      </w:pPr>
    </w:p>
    <w:p>
      <w:pPr>
        <w:jc w:val="both"/>
        <w:ind w:left="320" w:hanging="317"/>
        <w:spacing w:after="0" w:line="248" w:lineRule="auto"/>
        <w:tabs>
          <w:tab w:leader="none" w:pos="318"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acquisition or disposal activities, including employee severance and termination benefits, contract termination fees and penalties, and other exit or disposal costs. For the year ended December 31, 2019, these payments related primarily to the acquisition of Pre-Acquisition ZI, including professional fees, severance and acceleration of payments for terminated employees, and deferred consideration. For the year ended December 31, 2018, these payments related primarily to Carlyle’s investment in us.</w:t>
      </w:r>
    </w:p>
    <w:p>
      <w:pPr>
        <w:jc w:val="both"/>
        <w:ind w:left="320" w:hanging="317"/>
        <w:spacing w:after="0" w:line="253" w:lineRule="auto"/>
        <w:tabs>
          <w:tab w:leader="none" w:pos="313"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integration activities for acquisitions and acquisition-related compensation, which includes transaction bonuses and retention awards. For the year ended December 31, 2019, these payments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payments of retention awards granted upon the Company’s acquisitions of RainKing and NeverBounce. For the year ended December 31, 2018, these payments related primarily to retention awards granted upon our acquisition of RainKing and transaction bonuses paid upon Carlyle’s investment in us.</w:t>
      </w:r>
    </w:p>
    <w:p>
      <w:pPr>
        <w:spacing w:after="0" w:line="133"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(used in) Investing Activities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Cash used in investing activities for the nine months ended September 30, 2020 was $11.8 million, consisting of purchases of property and equipment and other assets.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Cash used in investing activities for the nine months ended September 30, 2019 was $724.2 million, consisting of cash payments for the acquisition of Pre-Acquisition ZI of $714.9 million and purchases of property and equipment and other assets of $9.3 million.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Cash used in investing activities during the year ended December 31, 2019 was $736.7 million, primarily as a result of cash payments for the acquisition of Pre-Acquisition ZI of $723.1 million and purchases of property and equipment and other assets of $13.6 million.</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Cash used in investing activities during the year ended December 31, 2018 was $13.1 million, primarily as a result of cash payments for the acquisition of NeverBounce of $8.5 million and purchases of property and equipment and other assets of $4.6 million.</w:t>
      </w:r>
    </w:p>
    <w:p>
      <w:pPr>
        <w:spacing w:after="0" w:line="112" w:lineRule="exact"/>
        <w:rPr>
          <w:sz w:val="20"/>
          <w:szCs w:val="20"/>
          <w:color w:val="auto"/>
        </w:rPr>
      </w:pPr>
    </w:p>
    <w:p>
      <w:pPr>
        <w:ind w:right="500" w:firstLine="309"/>
        <w:spacing w:after="0" w:line="442" w:lineRule="auto"/>
        <w:rPr>
          <w:sz w:val="20"/>
          <w:szCs w:val="20"/>
          <w:color w:val="auto"/>
        </w:rPr>
      </w:pPr>
      <w:r>
        <w:rPr>
          <w:rFonts w:ascii="Arial" w:cs="Arial" w:eastAsia="Arial" w:hAnsi="Arial"/>
          <w:sz w:val="17"/>
          <w:szCs w:val="17"/>
          <w:color w:val="auto"/>
        </w:rPr>
        <w:t xml:space="preserve">As we continue to grow and invest in our business, we expect to continue to invest in property and equipment and opportunistically pursue acquisitions. </w:t>
      </w:r>
      <w:r>
        <w:rPr>
          <w:rFonts w:ascii="Arial" w:cs="Arial" w:eastAsia="Arial" w:hAnsi="Arial"/>
          <w:sz w:val="17"/>
          <w:szCs w:val="17"/>
          <w:i w:val="1"/>
          <w:iCs w:val="1"/>
          <w:color w:val="auto"/>
        </w:rPr>
        <w:t>Cash Flows from (used in) Financing Activities</w:t>
      </w:r>
    </w:p>
    <w:p>
      <w:pPr>
        <w:spacing w:after="0" w:line="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Cash provided from financing activities for the nine months ended September 30, 2020 was $172.6 million, consisting of the IPO proceeds, net of underwriter discount, of $1,023.7 million, partially offset by the redemption of Series A Preferred Units of $274.2 million, payments on long-term debt of $510.9 million, purchase of OpCo Units from Pre-IPO Unitholders for $47.2 million, payments of deferred consideration of $24.7 million, the payment of debt issuance costs of $7.2 million, and distributions to equity partners of $9.9 million.</w:t>
      </w:r>
    </w:p>
    <w:p>
      <w:pPr>
        <w:spacing w:after="0" w:line="128"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Cash provided from financing activities for the nine months ended September 30, 2019 was $728.0 million, consisting of the proceeds from long-term debt of $1,220.8 million, and equity offering, net of transaction costs of $200.2 million, partially offset by the payments on long-term debt of $647.6 million.</w:t>
      </w:r>
    </w:p>
    <w:p>
      <w:pPr>
        <w:spacing w:after="0" w:line="9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Cash provided from financing activities during the year ended December 31, 2019 was $725.8 million, primarily as a result of the issuance of new debt of $1,220.8 million and the Series A Preferred Unit issuance of $200.2 million, partially offset by payments on long-term debt of $649.8 million, the payment of debt issuance costs of $16.7 million, and distributions to equity partners of $16.5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33" w:name="page134"/>
    <w:bookmarkEnd w:id="133"/>
    <w:p>
      <w:pPr>
        <w:jc w:val="both"/>
        <w:ind w:firstLine="309"/>
        <w:spacing w:after="0" w:line="279" w:lineRule="auto"/>
        <w:rPr>
          <w:sz w:val="20"/>
          <w:szCs w:val="20"/>
          <w:color w:val="auto"/>
        </w:rPr>
      </w:pPr>
      <w:r>
        <w:rPr>
          <w:rFonts w:ascii="Arial" w:cs="Arial" w:eastAsia="Arial" w:hAnsi="Arial"/>
          <w:sz w:val="17"/>
          <w:szCs w:val="17"/>
          <w:color w:val="auto"/>
        </w:rPr>
        <w:t>Cash used in financing activities during the year ended December 31, 2018 was $29.9 million, primarily as a result of distributions to equity partners of $93.4 million, partially offset by the issuance of new debt of $67.3 million.</w:t>
      </w:r>
    </w:p>
    <w:p>
      <w:pPr>
        <w:spacing w:after="0" w:line="112" w:lineRule="exact"/>
        <w:rPr>
          <w:sz w:val="20"/>
          <w:szCs w:val="20"/>
          <w:color w:val="auto"/>
        </w:rPr>
      </w:pPr>
    </w:p>
    <w:p>
      <w:pPr>
        <w:ind w:right="280" w:firstLine="309"/>
        <w:spacing w:after="0" w:line="442" w:lineRule="auto"/>
        <w:rPr>
          <w:sz w:val="20"/>
          <w:szCs w:val="20"/>
          <w:color w:val="auto"/>
        </w:rPr>
      </w:pPr>
      <w:r>
        <w:rPr>
          <w:rFonts w:ascii="Arial" w:cs="Arial" w:eastAsia="Arial" w:hAnsi="Arial"/>
          <w:sz w:val="17"/>
          <w:szCs w:val="17"/>
          <w:color w:val="auto"/>
        </w:rPr>
        <w:t xml:space="preserve">Refer to Note 8 of our consolidated financial statements included elsewhere in this prospectus for additional information related to each of our borrowings. </w:t>
      </w:r>
      <w:r>
        <w:rPr>
          <w:rFonts w:ascii="Arial" w:cs="Arial" w:eastAsia="Arial" w:hAnsi="Arial"/>
          <w:sz w:val="17"/>
          <w:szCs w:val="17"/>
          <w:b w:val="1"/>
          <w:bCs w:val="1"/>
          <w:i w:val="1"/>
          <w:iCs w:val="1"/>
          <w:color w:val="auto"/>
        </w:rPr>
        <w:t>Debt Obligations</w:t>
      </w:r>
    </w:p>
    <w:p>
      <w:pPr>
        <w:spacing w:after="0" w:line="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of September 30, 2020, the aggregate remaining balance of $756.4 million of first lien term loans is due, in its entirety, at the contractual maturity date of February 1, 2026, which represents the only existing required future debt principal repayment obligations that will require future uses of our cash.</w:t>
      </w:r>
    </w:p>
    <w:p>
      <w:pPr>
        <w:spacing w:after="0" w:line="90" w:lineRule="exact"/>
        <w:rPr>
          <w:sz w:val="20"/>
          <w:szCs w:val="20"/>
          <w:color w:val="auto"/>
        </w:rPr>
      </w:pPr>
    </w:p>
    <w:p>
      <w:pPr>
        <w:jc w:val="both"/>
        <w:ind w:firstLine="309"/>
        <w:spacing w:after="0" w:line="289" w:lineRule="auto"/>
        <w:rPr>
          <w:sz w:val="20"/>
          <w:szCs w:val="20"/>
          <w:color w:val="auto"/>
        </w:rPr>
      </w:pPr>
      <w:r>
        <w:rPr>
          <w:rFonts w:ascii="Arial" w:cs="Arial" w:eastAsia="Arial" w:hAnsi="Arial"/>
          <w:sz w:val="15"/>
          <w:szCs w:val="15"/>
          <w:color w:val="auto"/>
        </w:rPr>
        <w:t>Our first lien term loans bear interest at a rate equal to, at our option, either (a) LIBOR (not less than 0%) plus 3.75% per annum or (b) 2.75% per annum plus the highest of (i) the Federal Funds Rate plus 0.5% , (ii) the Prime Rate or (iii) one-month LIBOR plus 1.0% . The interest rate margins above reflect reductions of 0.25% following the IPO. Should we draw down on the $100 million of available credit on the revolving credit facility, the outstanding balance would bear interest at a rate equal to, at our option, either (a) LIBOR (not less than 0%) plus 3.5% per annum or (b) 2.5% per annum plus the highest of (i) the Federal Funds Rate plus 0.5% , (ii) the Prime Rate or (iii) one-month LIBOR plus 1.0%. The interest rate margins above reflect reductions of 0.25% following the IPO and an additional</w:t>
      </w:r>
    </w:p>
    <w:p>
      <w:pPr>
        <w:spacing w:after="0" w:line="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0.25% due to our achievement of certain leverage criteria. The revolving credit facility is subject to customary fees for loan facilities of this type, including a commitment fee of 0.125%, reflecting 0.375% reductions due to our achievement of certain leverage criteria.</w:t>
      </w:r>
    </w:p>
    <w:p>
      <w:pPr>
        <w:spacing w:after="0" w:line="124"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September 30, 2020 was $256.6 million. Our consolidated first lien net leverage ratio as of September 30, 2020 was 1.8x.</w:t>
      </w:r>
    </w:p>
    <w:p>
      <w:pPr>
        <w:spacing w:after="0" w:line="12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addition, our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We may be able to incur substantial additional indebtedness in the future. The terms of the credit agreement governing our first lien term loan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71" w:lineRule="exact"/>
        <w:rPr>
          <w:sz w:val="20"/>
          <w:szCs w:val="20"/>
          <w:color w:val="auto"/>
        </w:rPr>
      </w:pPr>
    </w:p>
    <w:p>
      <w:pPr>
        <w:jc w:val="both"/>
        <w:ind w:firstLine="309"/>
        <w:spacing w:after="0" w:line="348" w:lineRule="auto"/>
        <w:rPr>
          <w:sz w:val="20"/>
          <w:szCs w:val="20"/>
          <w:color w:val="auto"/>
        </w:rPr>
      </w:pPr>
      <w:r>
        <w:rPr>
          <w:rFonts w:ascii="Arial" w:cs="Arial" w:eastAsia="Arial" w:hAnsi="Arial"/>
          <w:sz w:val="15"/>
          <w:szCs w:val="15"/>
          <w:color w:val="auto"/>
        </w:rPr>
        <w:t>Capital expenditures increased by 2.5 million, or 27%, to $11.8 million in the nine months ended September 30, 2020 compared to the nine months ended September 30, 2019. The increase reflects increased capital expenditures to support the larger company and greater capitalization of internal development costs.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Capital expenditures increased by $9.0 million, or 196%, to $13.6 million in the year ended December 31, 2019 compared to year ended December 31, 2018.</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increase reflects increased capital expenditures to support the larger company and greater capitalization of internal development costs.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connection with the Reorganization Transactions and the IPO, we entered into two tax receivable agreements. We entered into (i) the Exchange Tax Receivable Agreement with certain of our Pre-IPO OpCo Unitholders and (ii) the Reorganization Tax Receivable Agreement with the Pre-IPO Blocker Holders. These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4" w:name="page135"/>
    <w:bookmarkEnd w:id="134"/>
    <w:p>
      <w:pPr>
        <w:jc w:val="both"/>
        <w:spacing w:after="0" w:line="288" w:lineRule="auto"/>
        <w:rPr>
          <w:sz w:val="20"/>
          <w:szCs w:val="20"/>
          <w:color w:val="auto"/>
        </w:rPr>
      </w:pPr>
      <w:r>
        <w:rPr>
          <w:rFonts w:ascii="Arial" w:cs="Arial" w:eastAsia="Arial" w:hAnsi="Arial"/>
          <w:sz w:val="15"/>
          <w:szCs w:val="15"/>
          <w:color w:val="auto"/>
        </w:rPr>
        <w:t>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330"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5" w:name="page136"/>
    <w:bookmarkEnd w:id="135"/>
    <w:p>
      <w:pPr>
        <w:jc w:val="both"/>
        <w:spacing w:after="0" w:line="283" w:lineRule="auto"/>
        <w:rPr>
          <w:sz w:val="20"/>
          <w:szCs w:val="20"/>
          <w:color w:val="auto"/>
        </w:rPr>
      </w:pPr>
      <w:r>
        <w:rPr>
          <w:rFonts w:ascii="Arial" w:cs="Arial" w:eastAsia="Arial" w:hAnsi="Arial"/>
          <w:sz w:val="16"/>
          <w:szCs w:val="16"/>
          <w:color w:val="auto"/>
        </w:rPr>
        <w:t>(together with a corresponding number of shares of Class B common stock) for shares of Class A common stock on the date of this offering) is approximately $344.8 million (assuming a public offering price of $42.99 per share of Class A common stock, which is the last reported sale price of our Class A common stock on the Nasdaq on September 30, 2020). The payments under the tax receivable agreements are not conditioned upon continued ownership of us by the exchanging holders of OpCo Units. See “Certain Relationships and Related Person Transactions—Tax Receivable Agreements.”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material contractual obligations as of December 31, 2019 and the years in which these obligations are due: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Less than one year</w:t>
            </w:r>
          </w:p>
        </w:tc>
        <w:tc>
          <w:tcPr>
            <w:tcW w:w="12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One to three years</w:t>
            </w:r>
          </w:p>
        </w:tc>
        <w:tc>
          <w:tcPr>
            <w:tcW w:w="120" w:type="dxa"/>
            <w:vAlign w:val="bottom"/>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to five years</w:t>
            </w:r>
          </w:p>
        </w:tc>
        <w:tc>
          <w:tcPr>
            <w:tcW w:w="120" w:type="dxa"/>
            <w:vAlign w:val="bottom"/>
          </w:tcPr>
          <w:p>
            <w:pPr>
              <w:spacing w:after="0"/>
              <w:rPr>
                <w:sz w:val="11"/>
                <w:szCs w:val="11"/>
                <w:color w:val="auto"/>
              </w:rPr>
            </w:pPr>
          </w:p>
        </w:tc>
        <w:tc>
          <w:tcPr>
            <w:tcW w:w="1180" w:type="dxa"/>
            <w:vAlign w:val="bottom"/>
          </w:tcPr>
          <w:p>
            <w:pPr>
              <w:jc w:val="right"/>
              <w:ind w:right="60"/>
              <w:spacing w:after="0" w:line="127" w:lineRule="exact"/>
              <w:rPr>
                <w:sz w:val="20"/>
                <w:szCs w:val="20"/>
                <w:color w:val="auto"/>
              </w:rPr>
            </w:pPr>
            <w:r>
              <w:rPr>
                <w:rFonts w:ascii="Arial" w:cs="Arial" w:eastAsia="Arial" w:hAnsi="Arial"/>
                <w:sz w:val="14"/>
                <w:szCs w:val="14"/>
                <w:b w:val="1"/>
                <w:bCs w:val="1"/>
                <w:color w:val="auto"/>
                <w:w w:val="91"/>
              </w:rPr>
              <w:t>Greater than five</w:t>
            </w:r>
          </w:p>
        </w:tc>
        <w:tc>
          <w:tcPr>
            <w:tcW w:w="0" w:type="dxa"/>
            <w:vAlign w:val="bottom"/>
          </w:tcPr>
          <w:p>
            <w:pPr>
              <w:spacing w:after="0"/>
              <w:rPr>
                <w:sz w:val="1"/>
                <w:szCs w:val="1"/>
                <w:color w:val="auto"/>
              </w:rPr>
            </w:pPr>
          </w:p>
        </w:tc>
      </w:tr>
      <w:tr>
        <w:trPr>
          <w:trHeight w:val="179"/>
        </w:trPr>
        <w:tc>
          <w:tcPr>
            <w:tcW w:w="4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4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3"/>
        </w:trPr>
        <w:tc>
          <w:tcPr>
            <w:tcW w:w="4320" w:type="dxa"/>
            <w:vAlign w:val="bottom"/>
            <w:tcBorders>
              <w:top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Long-term indebtedness</w:t>
            </w:r>
            <w:r>
              <w:rPr>
                <w:rFonts w:ascii="Arial" w:cs="Arial" w:eastAsia="Arial" w:hAnsi="Arial"/>
                <w:sz w:val="22"/>
                <w:szCs w:val="22"/>
                <w:color w:val="auto"/>
                <w:vertAlign w:val="superscript"/>
              </w:rPr>
              <w:t>(1)</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1,185.0</w:t>
            </w:r>
          </w:p>
        </w:tc>
        <w:tc>
          <w:tcPr>
            <w:tcW w:w="0" w:type="dxa"/>
            <w:vAlign w:val="bottom"/>
          </w:tcPr>
          <w:p>
            <w:pPr>
              <w:spacing w:after="0"/>
              <w:rPr>
                <w:sz w:val="1"/>
                <w:szCs w:val="1"/>
                <w:color w:val="auto"/>
              </w:rPr>
            </w:pPr>
          </w:p>
        </w:tc>
      </w:tr>
      <w:tr>
        <w:trPr>
          <w:trHeight w:val="219"/>
        </w:trPr>
        <w:tc>
          <w:tcPr>
            <w:tcW w:w="4320" w:type="dxa"/>
            <w:vAlign w:val="bottom"/>
          </w:tcPr>
          <w:p>
            <w:pPr>
              <w:ind w:left="20"/>
              <w:spacing w:after="0" w:line="219" w:lineRule="exact"/>
              <w:rPr>
                <w:sz w:val="20"/>
                <w:szCs w:val="20"/>
                <w:color w:val="auto"/>
              </w:rPr>
            </w:pPr>
            <w:r>
              <w:rPr>
                <w:rFonts w:ascii="Arial" w:cs="Arial" w:eastAsia="Arial" w:hAnsi="Arial"/>
                <w:sz w:val="17"/>
                <w:szCs w:val="17"/>
                <w:color w:val="auto"/>
              </w:rPr>
              <w:t>Operating leases</w:t>
            </w:r>
            <w:r>
              <w:rPr>
                <w:rFonts w:ascii="Arial" w:cs="Arial" w:eastAsia="Arial" w:hAnsi="Arial"/>
                <w:sz w:val="22"/>
                <w:szCs w:val="22"/>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Deferred or contingent consideration</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320" w:type="dxa"/>
            <w:vAlign w:val="bottom"/>
          </w:tcPr>
          <w:p>
            <w:pPr>
              <w:ind w:left="20"/>
              <w:spacing w:after="0"/>
              <w:rPr>
                <w:sz w:val="20"/>
                <w:szCs w:val="20"/>
                <w:color w:val="auto"/>
              </w:rPr>
            </w:pPr>
            <w:r>
              <w:rPr>
                <w:rFonts w:ascii="Arial" w:cs="Arial" w:eastAsia="Arial" w:hAnsi="Arial"/>
                <w:sz w:val="17"/>
                <w:szCs w:val="17"/>
                <w:color w:val="auto"/>
              </w:rPr>
              <w:t>Total contractual obligations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1,322.7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1,207.7</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20" w:hanging="317"/>
        <w:spacing w:after="0" w:line="293" w:lineRule="auto"/>
        <w:tabs>
          <w:tab w:leader="none" w:pos="313" w:val="left"/>
        </w:tabs>
        <w:numPr>
          <w:ilvl w:val="0"/>
          <w:numId w:val="87"/>
        </w:numPr>
        <w:rPr>
          <w:rFonts w:ascii="Arial" w:cs="Arial" w:eastAsia="Arial" w:hAnsi="Arial"/>
          <w:sz w:val="11"/>
          <w:szCs w:val="11"/>
          <w:color w:val="auto"/>
        </w:rPr>
      </w:pPr>
      <w:r>
        <w:rPr>
          <w:rFonts w:ascii="Arial" w:cs="Arial" w:eastAsia="Arial" w:hAnsi="Arial"/>
          <w:sz w:val="11"/>
          <w:szCs w:val="11"/>
          <w:color w:val="auto"/>
        </w:rPr>
        <w:t>Includes future principal payments on long-term indebtedness through the scheduled maturity dates thereof. Indebtedness is discussed in Note 7 – Financing Arrangements to our consolidated financial statements included elsewhere in this prospectus.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ind w:left="300" w:hanging="297"/>
        <w:spacing w:after="0" w:line="230" w:lineRule="auto"/>
        <w:tabs>
          <w:tab w:leader="none" w:pos="3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future payments on existing operating leases through the scheduled expiration dates thereof.</w:t>
      </w:r>
    </w:p>
    <w:p>
      <w:pPr>
        <w:jc w:val="both"/>
        <w:ind w:left="320" w:hanging="317"/>
        <w:spacing w:after="0" w:line="258" w:lineRule="auto"/>
        <w:tabs>
          <w:tab w:leader="none" w:pos="313"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Includes deferred consideration related to the Zoom Information Acquisition and contingent consideration related to the NeverBounce and Komiko acquisitions at non-discounted, currently estimated payout amounts. Acquisitions and related deferred or contingent consideration are discussed in Note 4 – Business Combinations to our consolidated financial statements included elsewhere in this prospectus. Estimated contingent consideration is subject to change depending on results of factors each is based on.</w:t>
      </w:r>
    </w:p>
    <w:p>
      <w:pPr>
        <w:spacing w:after="0" w:line="13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30"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September 30, 2020, there were “no off-balance sheet arrangements,” as defined in Item 303(a)(4)(ii) of Regulation S-K.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prepare our financial statements in accordance with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GAAP with no need for the application of judgment.</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certain circumstances, however, the preparation of consolidated financial statements in conformity with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6" w:name="page137"/>
    <w:bookmarkEnd w:id="136"/>
    <w:p>
      <w:pPr>
        <w:jc w:val="both"/>
        <w:ind w:firstLine="309"/>
        <w:spacing w:after="0" w:line="266" w:lineRule="auto"/>
        <w:rPr>
          <w:sz w:val="20"/>
          <w:szCs w:val="20"/>
          <w:color w:val="auto"/>
        </w:rPr>
      </w:pPr>
      <w:r>
        <w:rPr>
          <w:rFonts w:ascii="Arial" w:cs="Arial" w:eastAsia="Arial" w:hAnsi="Arial"/>
          <w:sz w:val="17"/>
          <w:szCs w:val="17"/>
          <w:color w:val="auto"/>
        </w:rPr>
        <w:t>While our significant accounting policies are more fully described in Note 2 – Basis of Presentation and Summary of Significant Accounting Policies of our consolidated financial statements included elsewhere in this prospectus, we believe the following topics reflect our critical accounting policies and our more significant judgment and estimates used in the preparation of our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one to three years and are non-cancellable. We typically bill for services annually, semi-annually, or quarterly in advance of delivery.</w:t>
      </w:r>
    </w:p>
    <w:p>
      <w:pPr>
        <w:spacing w:after="0" w:line="12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analyze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0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generally recognize revenue for subscription contracts on a ratable basis over the contract term, beginning on the date that our service is made available to the customer. Unearned revenue results from amounts billed to customers in advance or cash received from customers in advance of the satisfaction of performance obligations.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Effective January 1, 2018, we adopted the requirements of Topic 606 using the full retrospective method of adoption.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65"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Equity instruments issued in exchange for services performed by officers, employees, and directors of the Company are accounted for using a fair-value based method, and the fair value of such equity instruments are recognized as expense in the consolidated statements of operations. Historically, the Company has issued profits interests to employees and officers with a return threshold that is set based on the fair value of the Company, as determined by the board of directors.</w:t>
      </w:r>
    </w:p>
    <w:p>
      <w:pPr>
        <w:spacing w:after="0" w:line="8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23" w:lineRule="exact"/>
        <w:rPr>
          <w:sz w:val="20"/>
          <w:szCs w:val="20"/>
          <w:color w:val="auto"/>
        </w:rPr>
      </w:pPr>
    </w:p>
    <w:p>
      <w:pPr>
        <w:ind w:left="620" w:hanging="308"/>
        <w:spacing w:after="0" w:line="279" w:lineRule="auto"/>
        <w:tabs>
          <w:tab w:leader="none" w:pos="616" w:val="left"/>
        </w:tabs>
        <w:numPr>
          <w:ilvl w:val="0"/>
          <w:numId w:val="88"/>
        </w:numPr>
        <w:rPr>
          <w:rFonts w:ascii="Arial" w:cs="Arial" w:eastAsia="Arial" w:hAnsi="Arial"/>
          <w:sz w:val="17"/>
          <w:szCs w:val="17"/>
          <w:color w:val="auto"/>
        </w:rPr>
      </w:pPr>
      <w:r>
        <w:rPr>
          <w:rFonts w:ascii="Arial" w:cs="Arial" w:eastAsia="Arial" w:hAnsi="Arial"/>
          <w:sz w:val="17"/>
          <w:szCs w:val="17"/>
          <w:color w:val="auto"/>
        </w:rPr>
        <w:t>Risk-free interest rate - The risk-free interest rate is based on the U.S. Treasury yield curve in effect at the date closest to the grant date for zero-coupon U.S. Treasury notes with maturities approximately equal to the expected life of the equity grants.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Expected life - The expected life represents the period of time that the equity-based awards are expected to remain outstanding, giving consideration to vesting schedules and forfeiture patterns.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88"/>
        </w:numPr>
        <w:rPr>
          <w:rFonts w:ascii="Arial" w:cs="Arial" w:eastAsia="Arial" w:hAnsi="Arial"/>
          <w:sz w:val="17"/>
          <w:szCs w:val="17"/>
          <w:color w:val="auto"/>
        </w:rPr>
      </w:pPr>
      <w:r>
        <w:rPr>
          <w:rFonts w:ascii="Arial" w:cs="Arial" w:eastAsia="Arial" w:hAnsi="Arial"/>
          <w:sz w:val="17"/>
          <w:szCs w:val="17"/>
          <w:color w:val="auto"/>
        </w:rPr>
        <w:t>Volatility - The volatility is based on the historical volatility of the stock prices for comparable companies with a look-back period consistent with the expected life.</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Dividend yield - The dividend yield is assumed to be zero.</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Equity-based compensation that vests based on a performance event, such as a liquidity event, begins to be recognized at the date that the performance event becomes probable, and compensation expense is recognized on a straight-line basis over any remaining service period. As of January 1, 2019, the Company adopted ASU 2018-07 and upon the adoption, the Company determined the fair value of outstanding non-vested, non-employee awards and will recognize expense in the same periods and in the same manner as if the Company were to pay cash to the recipient in lieu of the non-employee award. Performance vesting programs are primarily payable in cash from 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7" w:name="page138"/>
    <w:bookmarkEnd w:id="137"/>
    <w:p>
      <w:pPr>
        <w:jc w:val="both"/>
        <w:spacing w:after="0" w:line="261" w:lineRule="auto"/>
        <w:rPr>
          <w:sz w:val="20"/>
          <w:szCs w:val="20"/>
          <w:color w:val="auto"/>
        </w:rPr>
      </w:pPr>
      <w:r>
        <w:rPr>
          <w:rFonts w:ascii="Arial" w:cs="Arial" w:eastAsia="Arial" w:hAnsi="Arial"/>
          <w:sz w:val="17"/>
          <w:szCs w:val="17"/>
          <w:color w:val="auto"/>
        </w:rPr>
        <w:t>upper-tier holder of Company equity units based on the appreciation of such units. These awards were modified in December 2019 to add an alternative performance and time vesting condition and to also permit settlement through exchange into the Company’s shares in addition to the existing cash-settlement option. The Company re-determined the fair value of these outstanding non-vested, non-employee awards at the time of the modification in December 2019. The modified fair value of these incentive units is based on the Company’s underlying common unit equivalent.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Business Combinations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7"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Acquired technology, customer lists, trade names or brand portfolios, and other intangible assets are related to previous acquisitions. Acquired intangible assets are amortized on a straight-line basis over the estimated period over which we expect to realize economic value related to the intangible asset. The amortization periods range from two years to 15 years.</w:t>
      </w:r>
    </w:p>
    <w:p>
      <w:pPr>
        <w:spacing w:after="0" w:line="1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8" w:name="page139"/>
    <w:bookmarkEnd w:id="138"/>
    <w:p>
      <w:pPr>
        <w:jc w:val="both"/>
        <w:spacing w:after="0" w:line="279" w:lineRule="auto"/>
        <w:rPr>
          <w:sz w:val="20"/>
          <w:szCs w:val="20"/>
          <w:color w:val="auto"/>
        </w:rPr>
      </w:pPr>
      <w:r>
        <w:rPr>
          <w:rFonts w:ascii="Arial" w:cs="Arial" w:eastAsia="Arial" w:hAnsi="Arial"/>
          <w:sz w:val="17"/>
          <w:szCs w:val="17"/>
          <w:color w:val="auto"/>
        </w:rPr>
        <w:t>carrying value as a basis to determine whether further impairment testing under ASC 350 is necessary. No impairment charges were recorded for the three and nine month periods ended September 30, 2020 and 2019.</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ZoomInfo OpCo is comprised of two limited liability companies that are treated as partnerships for tax purposes, ten limited liability companies that are single member entities and disregarded for tax purposes, four corporations, and one foreign entity.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ZoomInfo OpCo is responsible for making payments directly to the relevant tax authority.</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3"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8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recognize the tax benefit from entity-level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After consummation of the IPO we became subject to U.S. federal income taxes with respect to our allocable share of any U.S. taxable income of ZoomInfo OpCo and are taxed at the prevailing U.S. corporate tax rates. We are treated as a U.S. corporation and a regarded entity for U.S. federal, state, and local income taxes. Accordingly, a provision will be recorded for the anticipated tax consequences of our reported results of operations for U.S. federal, state, and foreign 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7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Refer to Note 2 – Basis of Presentation and Summary of Significant Accounting Policies of our consolidated financial statements included elsewhere in this prospectus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operations in the United States and internationally, and we are exposed to market risk in the ordinary course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operating results are subject to market risk from interest rate fluctuations on our First Lien Term Loan, which bears a variable interest rate based on LIBOR. As of September 30, 2020, the total principal balance outstanding was $756.4 million. We have implemented a hedging strategy to mitigate the interest rate risk by entering into certain derivative instruments (refer to Note 8 of our consolidated financial statements included elsewhere in this prospectus). Based on the outstanding balances and interest rates of our debt as of September 30, 2020, a hypothetical 10% relative increase or decrease in LIBOR would cause an increase or decrease in interest expense of approximately $4.1 million over the next 12 months.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b w:val="1"/>
          <w:bCs w:val="1"/>
          <w:color w:val="auto"/>
        </w:rPr>
        <w:t>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mission is to unlock actionable business information and insights to make organizations more successful.</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Today, approximately 220,000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To enable this, our go-to-market intelligence platform delivers comprehensive and high-quality intelligence and analytics on approximately 14 million companies and over 119 million professionals. We combine that breadth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 Our intelligence is kept up to date in real time.</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By leveraging AI and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Our software, insights, and data enable over 17,000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41" w:name="page142"/>
    <w:bookmarkEnd w:id="141"/>
    <w:p>
      <w:pPr>
        <w:jc w:val="both"/>
        <w:spacing w:after="0" w:line="279" w:lineRule="auto"/>
        <w:rPr>
          <w:sz w:val="20"/>
          <w:szCs w:val="20"/>
          <w:color w:val="auto"/>
        </w:rPr>
      </w:pPr>
      <w:r>
        <w:rPr>
          <w:rFonts w:ascii="Arial" w:cs="Arial" w:eastAsia="Arial" w:hAnsi="Arial"/>
          <w:sz w:val="17"/>
          <w:szCs w:val="17"/>
          <w:color w:val="auto"/>
        </w:rPr>
        <w:t>such as prioritizing accounts, automating workflows and campaigns, crafting nuanced pitches, and monitoring deal momentum. Our robust suite of software and insights supports every step along that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79375</wp:posOffset>
            </wp:positionV>
            <wp:extent cx="5102225" cy="27965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02225" cy="279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Independent of size or industry, we believe our platform can make almost any sales and marketing team more effective and more efficient. This broad applicability drives our TAM of approximately $30 billion, according to our estimates. Using the ZoomInfo platform, we have identified over 750,000 global businesses that sell to other businesses and have more than ten employees, which represent our potential customers. Our current customer base of over 17,000 implies penetration of approximately 2%.</w:t>
      </w:r>
    </w:p>
    <w:p>
      <w:pPr>
        <w:spacing w:after="0" w:line="128"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September 30,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720 of our customers spend more than $100,000 in ACV, with 16 customers spending over $1,000,000 in ACV.</w:t>
      </w:r>
    </w:p>
    <w:p>
      <w:pPr>
        <w:spacing w:after="0" w:line="117"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$202.2 million and $336.5 million for the nine months ended September 30, 2019 and September 30, 2020, respectively. We and Pre-Acquisition ZI generated net income (loss) of $(28.6) million and $(27.5) million in 2018, respectively, and $(78.0) million in 2019 and $0.8 million for the one month ended January 31, 2019, respectively. We generated net income (loss) of $(72.5) million and $(72.7) million for the nine months ended September 30, 2019 and September 30, 2020, respectively. We generated Adjusted Operating Income of $83.7 million and $167.1 million in 2018 and 2019, respectively. We generated Adjusted Operating Income of $120.0 million and $162.6 million for the nine months ended September 30, 2019 and September 30, 2020,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is Fundamental to Every Business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For every company, sales and marketing is a fundamental function that defines its success. As a result, businesses—from the largest enterprises to the smallest companies—typically spend significantly on sales and marketing activities. For example, Forbes Global 2000 companies collectively spent over $2 trillion on sales and marketing activities alone in 2018 according to Capital IQ. These sales and marketing activities span numerous teams, including demand generation, sales development, account executives, sales engineers, sales operations, sales enablement, product marketing, account management, customer success, customer marketing, managers, and executives. Alignment of these teams, combined with platforms and content to execute effective strategies, is critical to their success.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Business-to-Business (“B2B”) Sales and Marketing has Changed</w:t>
      </w:r>
    </w:p>
    <w:p>
      <w:pPr>
        <w:spacing w:after="0" w:line="165"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Prior to the advent of sales and marketing technologies, businesses that sold to other businesses operated in an analog world, relying on field sales representatives to gather customer information and navigate sales processes. Sales representatives gathered data through in-person meetings and stored this information in their rolodexes. This process was manual, expensive, and inefficient. The data gathered was limited in depth, breadth, and accuracy, and began decaying as soon as it was captured. As a result, many sales representatives focused on existing customers, without effective methods to identify new accounts to target in a scalable, repeatable way. Additionally, information was often trapped inside the heads or spreadsheets of individual sales representatives and was often not shared with others in their organization. When sales representatives departed for another organization, they took their rolodexes and customer intelligence with them. Businesses lacked scalable systems to capture, disseminate, and leverage data and insights across their organizations.</w:t>
      </w:r>
    </w:p>
    <w:p>
      <w:pPr>
        <w:spacing w:after="0" w:line="103"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To address these problems, businesses invested in new technologies to digitally transform the way they sell and market. They adopted CRM systems, primarily to manage the sales process. These CRM systems also provided functionality to digitize sales representatives’ rolodexes and centralize information to be made available throughout an organization. Businesses also invested in marketing automation systems and new forms of customer engagement to automate different go-to-market tasks. As the recession hit in 2008, the focus on efficiency accelerated. The CRM market grew from $12 billion in 2009 to $42 billion in 2018, representing a nearly 250% increase, according to a 2019 Global Industry Analysts, Inc. report. In addition, the average percentage of full time sales employees allocated to inside sales representatives, the primary users of these CRM technologies, grew from 9% in 2014 to 16% in 2019 for B2B mid-sized organizations, and, for larger organizations, inside sales becomes a bigger component of the overall sales organization, according to SiriusDecisions.</w:t>
      </w:r>
    </w:p>
    <w:p>
      <w:pPr>
        <w:spacing w:after="0" w:line="12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 making these systems and their impact on the businesses suboptimal and less valuable.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is Still Inefficient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112" w:lineRule="exact"/>
        <w:rPr>
          <w:sz w:val="20"/>
          <w:szCs w:val="20"/>
          <w:color w:val="auto"/>
        </w:rPr>
      </w:pPr>
    </w:p>
    <w:p>
      <w:pPr>
        <w:jc w:val="both"/>
        <w:ind w:left="620" w:hanging="308"/>
        <w:spacing w:after="0" w:line="279" w:lineRule="auto"/>
        <w:tabs>
          <w:tab w:leader="none" w:pos="608"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It’s hard to find and engage with decision makers. </w:t>
      </w:r>
      <w:r>
        <w:rPr>
          <w:rFonts w:ascii="Arial" w:cs="Arial" w:eastAsia="Arial" w:hAnsi="Arial"/>
          <w:sz w:val="16"/>
          <w:szCs w:val="16"/>
          <w:color w:val="auto"/>
        </w:rPr>
        <w:t>Inaccurate or missing contact information plagues efforts to engage with a broad set of targets quickly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efficiently. 30% to 50% of data in customers’ CRM and enterprise resource planning systems is incorrect at any given time. A Forrester survey we commissioned in August 2019 reinforces these findings—only 8% of sales and marketing professionals said that their sales and marketing data is sufficiently accurate (greater than 90% accuracy). As a result, sales and marketing professionals find it difficult to connect with the right person in a specific organization, leading to countless manual one-off efforts to reach prospects, such as guessing email addresses or blindly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43" w:name="page144"/>
    <w:bookmarkEnd w:id="143"/>
    <w:p>
      <w:pPr>
        <w:ind w:left="620"/>
        <w:spacing w:after="0"/>
        <w:rPr>
          <w:sz w:val="20"/>
          <w:szCs w:val="20"/>
          <w:color w:val="auto"/>
        </w:rPr>
      </w:pPr>
      <w:r>
        <w:rPr>
          <w:rFonts w:ascii="Arial" w:cs="Arial" w:eastAsia="Arial" w:hAnsi="Arial"/>
          <w:sz w:val="16"/>
          <w:szCs w:val="16"/>
          <w:color w:val="auto"/>
        </w:rPr>
        <w:t>calling mainline telephone numbers, which often get blocked. Ultimately, once they find the correct information, the data immediately begins to decay.</w:t>
      </w:r>
    </w:p>
    <w:p>
      <w:pPr>
        <w:spacing w:after="0" w:line="177" w:lineRule="exact"/>
        <w:rPr>
          <w:sz w:val="20"/>
          <w:szCs w:val="20"/>
          <w:color w:val="auto"/>
        </w:rPr>
      </w:pPr>
    </w:p>
    <w:p>
      <w:pPr>
        <w:jc w:val="both"/>
        <w:ind w:left="620" w:hanging="308"/>
        <w:spacing w:after="0" w:line="283" w:lineRule="auto"/>
        <w:tabs>
          <w:tab w:leader="none" w:pos="608"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It’s hard to know when to engage. </w:t>
      </w:r>
      <w:r>
        <w:rPr>
          <w:rFonts w:ascii="Arial" w:cs="Arial" w:eastAsia="Arial" w:hAnsi="Arial"/>
          <w:sz w:val="16"/>
          <w:szCs w:val="16"/>
          <w:color w:val="auto"/>
        </w:rPr>
        <w:t>Sales and marketing professionals are much better positioned to land a sale when they have insights into when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intends to make a purchase. The earlier they know this, the better. Intent can be signaled by job postings, recent hires, press releases, technology usage, web activity, and buying behaviors. Manually gathering this information across a broad universe of prospects is not feasible, as it requires significant ongoing technology investment and innovation to gather the information at scale and ensure accuracy.</w:t>
      </w:r>
    </w:p>
    <w:p>
      <w:pPr>
        <w:spacing w:after="0" w:line="110" w:lineRule="exact"/>
        <w:rPr>
          <w:rFonts w:ascii="Arial" w:cs="Arial" w:eastAsia="Arial" w:hAnsi="Arial"/>
          <w:sz w:val="16"/>
          <w:szCs w:val="16"/>
          <w:color w:val="auto"/>
        </w:rPr>
      </w:pPr>
    </w:p>
    <w:p>
      <w:pPr>
        <w:jc w:val="both"/>
        <w:ind w:left="620" w:hanging="308"/>
        <w:spacing w:after="0" w:line="259" w:lineRule="auto"/>
        <w:tabs>
          <w:tab w:leader="none" w:pos="608"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 data-driven way to prioritize targets. </w:t>
      </w:r>
      <w:r>
        <w:rPr>
          <w:rFonts w:ascii="Arial" w:cs="Arial" w:eastAsia="Arial" w:hAnsi="Arial"/>
          <w:sz w:val="17"/>
          <w:szCs w:val="17"/>
          <w:color w:val="auto"/>
        </w:rPr>
        <w:t>Prioritization decisions for sales and marketing resources are often made based on intuition, random knowledge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gathering, and instinct, instead of data. When companies do use data, it tends to be static and siloed, and does not reflect changes that happen in businesses every day. In order to properly prioritize accounts, companies need data-driven models to define what an attractive customer looks like and real-time intelligence to assess these targets. High-quality intelligence needs to be programmatically ingested, merged, and evaluated each day to make the sales and marketing process effective.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a Need for a Comprehensive Go-to-Market Intelligence Solution</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 This 360-degree view enables sales and marketing professionals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Today, point solutions exist to aid in go-to-market intelligence efforts, but they only address a fraction of the 360-degree view of the customer, and often lack the accuracy required to be effective. These solutions may include contact lists, company databases, technology surveillance providers, buying intent monitors, and news aggregators.</w:t>
      </w:r>
    </w:p>
    <w:p>
      <w:pPr>
        <w:spacing w:after="0" w:line="123"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Companies that have implemented some B2B intelligence practices and technology, even at limited levels of maturity, have realized 35% more leads and 45% higher-quality leads, leading to higher revenue and faster growth, according to a Forrester survey we commissioned. The same report found that only 1.2% of companies have mature B2B intelligence practices and technology, indicating that today the market is still in the very early days for adoption of these solutions.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ZoomInfo Platform</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ZoomInfo is the go-to-market intelligence platform for over 17,000 sales and marketing teams worldwide as of September 30, 2020. Our cloud-based platform gives sales and marketing professionals highly accurate and comprehensive information and insights on the organizations and professionals they target. This 360-degree view provides detailed understanding, and coupled with our analytics, shortens sales cycles and increases win rates by enabling sellers and marketers to deliver the right message, to the right person, at the right time, to hit their number.</w:t>
      </w:r>
    </w:p>
    <w:p>
      <w:pPr>
        <w:spacing w:after="0" w:line="128"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We had approximately 220,000 paid users using our paid platform as of September 30, 2020 with additional free users on our Community Edition product.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users work in our platform on a daily basis. Our insights are also integrated into their workflows and CRM and sales &amp; marketing automation systems, including Salesforce, Marketo, HubSpot, Microsoft Dynamics, Oracle Sales Cloud, Bullhorn, Act-On, and a variety of other commonly used tools.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i w:val="1"/>
          <w:iCs w:val="1"/>
          <w:color w:val="auto"/>
        </w:rPr>
        <w:t>Our 360-Degree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112395</wp:posOffset>
            </wp:positionV>
            <wp:extent cx="5102225" cy="27476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02225" cy="274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of September 30, 2020, our go-to-market platform delivered comprehensive intelligence and analytics on approximately 14 million companies and over 119 million professionals. We enhance these records with curated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intelligence is kept up to date in real time. This enables us to provide our customers with a contractual guarantee that at least 95% of the employment information they access will be current. This is accomplished through a combination of robust systems and processes leveraging AI, ML and our proprietary human-in-the-loop approach.</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Furthermore, we also integrate our customer’s first-party data with our platform to deliver unique insights. As an example, customers can upload their historic win/loss data into our platform and determine which of our 50,000+ attributes best predicts success for future opportunities. Our go-to-market intelligence platform then identifies the highest-ranked targets across the 14 million companies in our platform.</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With ZoomInfo, the sales and marketing process becomes more streamlined and efficient, as demonstrated through the following examples:</w:t>
      </w:r>
    </w:p>
    <w:p>
      <w:pPr>
        <w:spacing w:after="0" w:line="165" w:lineRule="exact"/>
        <w:rPr>
          <w:sz w:val="20"/>
          <w:szCs w:val="20"/>
          <w:color w:val="auto"/>
        </w:rPr>
      </w:pPr>
    </w:p>
    <w:p>
      <w:pPr>
        <w:ind w:left="620" w:hanging="308"/>
        <w:spacing w:after="0" w:line="279" w:lineRule="auto"/>
        <w:tabs>
          <w:tab w:leader="none" w:pos="616" w:val="left"/>
        </w:tabs>
        <w:numPr>
          <w:ilvl w:val="0"/>
          <w:numId w:val="91"/>
        </w:numPr>
        <w:rPr>
          <w:rFonts w:ascii="Arial" w:cs="Arial" w:eastAsia="Arial" w:hAnsi="Arial"/>
          <w:sz w:val="17"/>
          <w:szCs w:val="17"/>
          <w:color w:val="auto"/>
        </w:rPr>
      </w:pPr>
      <w:r>
        <w:rPr>
          <w:rFonts w:ascii="Arial" w:cs="Arial" w:eastAsia="Arial" w:hAnsi="Arial"/>
          <w:sz w:val="17"/>
          <w:szCs w:val="17"/>
          <w:color w:val="auto"/>
        </w:rPr>
        <w:t>One of the world’s largest banks uses ZoomInfo to provide their newly hired financial advisors a global network of senior professionals to target from which they can build their books of business.</w:t>
      </w:r>
    </w:p>
    <w:p>
      <w:pPr>
        <w:spacing w:after="0" w:line="106" w:lineRule="exact"/>
        <w:rPr>
          <w:rFonts w:ascii="Arial" w:cs="Arial" w:eastAsia="Arial" w:hAnsi="Arial"/>
          <w:sz w:val="17"/>
          <w:szCs w:val="17"/>
          <w:color w:val="auto"/>
        </w:rPr>
      </w:pPr>
    </w:p>
    <w:p>
      <w:pPr>
        <w:jc w:val="both"/>
        <w:ind w:left="620" w:hanging="308"/>
        <w:spacing w:after="0" w:line="269" w:lineRule="auto"/>
        <w:tabs>
          <w:tab w:leader="none" w:pos="61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telecom giant</w:t>
      </w:r>
      <w:r>
        <w:rPr>
          <w:rFonts w:ascii="Arial" w:cs="Arial" w:eastAsia="Arial" w:hAnsi="Arial"/>
          <w:sz w:val="17"/>
          <w:szCs w:val="17"/>
          <w:color w:val="auto"/>
        </w:rPr>
        <w:t xml:space="preserve"> uses the ZoomInfo application programming interface (“API”) to import all of our intelligence into its data lake—combining insights, such as tenants at a particular location and competitor technologies installed, with first-party insights, such as buildings with fiber—to enable their team of thousands of sellers.</w:t>
      </w:r>
    </w:p>
    <w:p>
      <w:pPr>
        <w:spacing w:after="0" w:line="115" w:lineRule="exact"/>
        <w:rPr>
          <w:rFonts w:ascii="Arial" w:cs="Arial" w:eastAsia="Arial" w:hAnsi="Arial"/>
          <w:sz w:val="17"/>
          <w:szCs w:val="17"/>
          <w:color w:val="auto"/>
        </w:rPr>
      </w:pPr>
    </w:p>
    <w:p>
      <w:pPr>
        <w:ind w:left="620" w:hanging="308"/>
        <w:spacing w:after="0" w:line="319" w:lineRule="auto"/>
        <w:tabs>
          <w:tab w:leader="none" w:pos="61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enterprise software</w:t>
      </w:r>
      <w:r>
        <w:rPr>
          <w:rFonts w:ascii="Arial" w:cs="Arial" w:eastAsia="Arial" w:hAnsi="Arial"/>
          <w:sz w:val="16"/>
          <w:szCs w:val="16"/>
          <w:color w:val="auto"/>
        </w:rPr>
        <w:t xml:space="preserve"> company uses ZoomInfo insights, such as the number of cyber security professionals employed and security technologies used at an organization, to conduct third-party vendor risk assessments for its customers, enabling them to make informed selection decisions.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5" w:name="page146"/>
    <w:bookmarkEnd w:id="145"/>
    <w:p>
      <w:pPr>
        <w:ind w:left="620" w:hanging="308"/>
        <w:spacing w:after="0" w:line="286" w:lineRule="auto"/>
        <w:tabs>
          <w:tab w:leader="none" w:pos="6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 Fortune 500 </w:t>
      </w:r>
      <w:r>
        <w:rPr>
          <w:rFonts w:ascii="Arial" w:cs="Arial" w:eastAsia="Arial" w:hAnsi="Arial"/>
          <w:sz w:val="17"/>
          <w:szCs w:val="17"/>
          <w:b w:val="1"/>
          <w:bCs w:val="1"/>
          <w:color w:val="auto"/>
        </w:rPr>
        <w:t>transportation and logistics</w:t>
      </w:r>
      <w:r>
        <w:rPr>
          <w:rFonts w:ascii="Arial" w:cs="Arial" w:eastAsia="Arial" w:hAnsi="Arial"/>
          <w:sz w:val="17"/>
          <w:szCs w:val="17"/>
          <w:color w:val="auto"/>
        </w:rPr>
        <w:t xml:space="preserve"> company uses ZoomInfo predictive intent data to identify potential prospects who are conducting online research on “high-volume printing” and “commercial printing solutions.”</w:t>
      </w:r>
    </w:p>
    <w:p>
      <w:pPr>
        <w:spacing w:after="0" w:line="100" w:lineRule="exact"/>
        <w:rPr>
          <w:rFonts w:ascii="Arial" w:cs="Arial" w:eastAsia="Arial" w:hAnsi="Arial"/>
          <w:sz w:val="17"/>
          <w:szCs w:val="17"/>
          <w:color w:val="auto"/>
        </w:rPr>
      </w:pPr>
    </w:p>
    <w:p>
      <w:pPr>
        <w:ind w:left="620" w:hanging="308"/>
        <w:spacing w:after="0" w:line="286" w:lineRule="auto"/>
        <w:tabs>
          <w:tab w:leader="none" w:pos="6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healthcare company</w:t>
      </w:r>
      <w:r>
        <w:rPr>
          <w:rFonts w:ascii="Arial" w:cs="Arial" w:eastAsia="Arial" w:hAnsi="Arial"/>
          <w:sz w:val="17"/>
          <w:szCs w:val="17"/>
          <w:color w:val="auto"/>
        </w:rPr>
        <w:t xml:space="preserve"> combats diabetes, hypertension, and high cholesterol by using ZoomInfo organizational charts to identify the top human resources contacts at large employers able to roll out programs companywide and better lives quickly and efficiently.</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One of the largest </w:t>
      </w:r>
      <w:r>
        <w:rPr>
          <w:rFonts w:ascii="Arial" w:cs="Arial" w:eastAsia="Arial" w:hAnsi="Arial"/>
          <w:sz w:val="17"/>
          <w:szCs w:val="17"/>
          <w:b w:val="1"/>
          <w:bCs w:val="1"/>
          <w:color w:val="auto"/>
        </w:rPr>
        <w:t>management consulting</w:t>
      </w:r>
      <w:r>
        <w:rPr>
          <w:rFonts w:ascii="Arial" w:cs="Arial" w:eastAsia="Arial" w:hAnsi="Arial"/>
          <w:sz w:val="17"/>
          <w:szCs w:val="17"/>
          <w:color w:val="auto"/>
        </w:rPr>
        <w:t xml:space="preserve"> firms uses ZoomInfo to conduct targeted market research on behalf of its clients.</w:t>
      </w:r>
    </w:p>
    <w:p>
      <w:pPr>
        <w:spacing w:after="0" w:line="165" w:lineRule="exact"/>
        <w:rPr>
          <w:rFonts w:ascii="Arial" w:cs="Arial" w:eastAsia="Arial" w:hAnsi="Arial"/>
          <w:sz w:val="17"/>
          <w:szCs w:val="17"/>
          <w:color w:val="auto"/>
        </w:rPr>
      </w:pPr>
    </w:p>
    <w:p>
      <w:pPr>
        <w:ind w:left="620" w:hanging="308"/>
        <w:spacing w:after="0" w:line="286" w:lineRule="auto"/>
        <w:tabs>
          <w:tab w:leader="none" w:pos="6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 championship-winning </w:t>
      </w:r>
      <w:r>
        <w:rPr>
          <w:rFonts w:ascii="Arial" w:cs="Arial" w:eastAsia="Arial" w:hAnsi="Arial"/>
          <w:sz w:val="17"/>
          <w:szCs w:val="17"/>
          <w:b w:val="1"/>
          <w:bCs w:val="1"/>
          <w:color w:val="auto"/>
        </w:rPr>
        <w:t>professional basketball franchise</w:t>
      </w:r>
      <w:r>
        <w:rPr>
          <w:rFonts w:ascii="Arial" w:cs="Arial" w:eastAsia="Arial" w:hAnsi="Arial"/>
          <w:sz w:val="17"/>
          <w:szCs w:val="17"/>
          <w:color w:val="auto"/>
        </w:rPr>
        <w:t xml:space="preserve"> uses ZoomInfo to identify local businesses to purchase suites and human resources executives to develop employee engagement and perks programs.</w:t>
      </w:r>
    </w:p>
    <w:p>
      <w:pPr>
        <w:spacing w:after="0" w:line="100" w:lineRule="exact"/>
        <w:rPr>
          <w:rFonts w:ascii="Arial" w:cs="Arial" w:eastAsia="Arial" w:hAnsi="Arial"/>
          <w:sz w:val="17"/>
          <w:szCs w:val="17"/>
          <w:color w:val="auto"/>
        </w:rPr>
      </w:pPr>
    </w:p>
    <w:p>
      <w:pPr>
        <w:ind w:left="620" w:hanging="308"/>
        <w:spacing w:after="0" w:line="286" w:lineRule="auto"/>
        <w:tabs>
          <w:tab w:leader="none" w:pos="616"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An </w:t>
      </w:r>
      <w:r>
        <w:rPr>
          <w:rFonts w:ascii="Arial" w:cs="Arial" w:eastAsia="Arial" w:hAnsi="Arial"/>
          <w:sz w:val="17"/>
          <w:szCs w:val="17"/>
          <w:b w:val="1"/>
          <w:bCs w:val="1"/>
          <w:color w:val="auto"/>
        </w:rPr>
        <w:t>HVAC and electrical company</w:t>
      </w:r>
      <w:r>
        <w:rPr>
          <w:rFonts w:ascii="Arial" w:cs="Arial" w:eastAsia="Arial" w:hAnsi="Arial"/>
          <w:sz w:val="17"/>
          <w:szCs w:val="17"/>
          <w:color w:val="auto"/>
        </w:rPr>
        <w:t xml:space="preserve"> uses ZoomInfo for address and location data so its sellers no longer have to drive around downtown areas looking for potential customers.</w:t>
      </w:r>
    </w:p>
    <w:p>
      <w:pPr>
        <w:spacing w:after="0" w:line="100" w:lineRule="exact"/>
        <w:rPr>
          <w:rFonts w:ascii="Arial" w:cs="Arial" w:eastAsia="Arial" w:hAnsi="Arial"/>
          <w:sz w:val="17"/>
          <w:szCs w:val="17"/>
          <w:color w:val="auto"/>
        </w:rPr>
      </w:pPr>
    </w:p>
    <w:p>
      <w:pPr>
        <w:ind w:left="620" w:hanging="308"/>
        <w:spacing w:after="0"/>
        <w:tabs>
          <w:tab w:leader="none" w:pos="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One of the world’s largest </w:t>
      </w:r>
      <w:r>
        <w:rPr>
          <w:rFonts w:ascii="Arial" w:cs="Arial" w:eastAsia="Arial" w:hAnsi="Arial"/>
          <w:sz w:val="17"/>
          <w:szCs w:val="17"/>
          <w:b w:val="1"/>
          <w:bCs w:val="1"/>
          <w:color w:val="auto"/>
        </w:rPr>
        <w:t>beauty product retailers</w:t>
      </w:r>
      <w:r>
        <w:rPr>
          <w:rFonts w:ascii="Arial" w:cs="Arial" w:eastAsia="Arial" w:hAnsi="Arial"/>
          <w:sz w:val="17"/>
          <w:szCs w:val="17"/>
          <w:color w:val="auto"/>
        </w:rPr>
        <w:t xml:space="preserve"> uses ZoomInfo to power its recruiting efforts by identifying and sourcing talent.</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Data Engine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Machine Learning and Artificial Intelligence Technologies</w:t>
      </w:r>
    </w:p>
    <w:p>
      <w:pPr>
        <w:spacing w:after="0" w:line="165"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To do this, we aggregate and extract distinct types of data, such as revenue, locations, technologies, keywords, contact information, including email addresses, titles, and phone numbers, and many others, from millions of public and proprietary sources, as detailed below. Our evidence-based ML algorithm scores, ranks, and makes determinations about these billions of data points each day. To help train our AI and ML technologies and augment our contributory network, we have a team of 300 research analysts and 40 data scientists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Examples of how the data engine works include:</w:t>
      </w:r>
    </w:p>
    <w:p>
      <w:pPr>
        <w:spacing w:after="0" w:line="165" w:lineRule="exact"/>
        <w:rPr>
          <w:sz w:val="20"/>
          <w:szCs w:val="20"/>
          <w:color w:val="auto"/>
        </w:rPr>
      </w:pPr>
    </w:p>
    <w:p>
      <w:pPr>
        <w:jc w:val="both"/>
        <w:ind w:left="620" w:hanging="308"/>
        <w:spacing w:after="0" w:line="266" w:lineRule="auto"/>
        <w:tabs>
          <w:tab w:leader="none" w:pos="616"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collected 72 pieces of data related to a professional’s contact information over a three-year period, including seven unique email addresses and four unique phone numbers. Our algorithm factors in source count, source reliability, recency, and other attributes to accurately identify the professional’s contact information and publish that information in our platform.</w:t>
      </w:r>
    </w:p>
    <w:p>
      <w:pPr>
        <w:spacing w:after="0" w:line="12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receive an email signature from Jane Doe through the contributory network, indicating her role is VP of Application Security at Alpha Corp., we compare that to prior data indicating her job title was Senior Director, and we publish her promotion to our platform.</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VP of Marketing at a retail company responds to one of our automated surveys, indicating he plans to hire a new digital advertising agency within the next 12 months, which is published as a scoop on our platform.</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93"/>
        </w:numPr>
        <w:rPr>
          <w:rFonts w:ascii="Arial" w:cs="Arial" w:eastAsia="Arial" w:hAnsi="Arial"/>
          <w:sz w:val="17"/>
          <w:szCs w:val="17"/>
          <w:color w:val="auto"/>
        </w:rPr>
      </w:pPr>
      <w:r>
        <w:rPr>
          <w:rFonts w:ascii="Arial" w:cs="Arial" w:eastAsia="Arial" w:hAnsi="Arial"/>
          <w:sz w:val="17"/>
          <w:szCs w:val="17"/>
          <w:color w:val="auto"/>
        </w:rPr>
        <w:t>Our AI technology reads an agenda for a software company’s conference and identifies that the CEO of Omega Corp. is a keynote speaker at the conference, creating a piece of evidence that Omega Corp. is likely a customer.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46" w:name="page147"/>
    <w:bookmarkEnd w:id="146"/>
    <w:p>
      <w:pPr>
        <w:ind w:left="620" w:hanging="308"/>
        <w:spacing w:after="0" w:line="311" w:lineRule="auto"/>
        <w:tabs>
          <w:tab w:leader="none" w:pos="616" w:val="left"/>
        </w:tabs>
        <w:numPr>
          <w:ilvl w:val="0"/>
          <w:numId w:val="94"/>
        </w:numPr>
        <w:rPr>
          <w:rFonts w:ascii="Arial" w:cs="Arial" w:eastAsia="Arial" w:hAnsi="Arial"/>
          <w:sz w:val="16"/>
          <w:szCs w:val="16"/>
          <w:color w:val="auto"/>
        </w:rPr>
      </w:pPr>
      <w:r>
        <w:rPr>
          <w:rFonts w:ascii="Arial" w:cs="Arial" w:eastAsia="Arial" w:hAnsi="Arial"/>
          <w:sz w:val="16"/>
          <w:szCs w:val="16"/>
          <w:color w:val="auto"/>
        </w:rPr>
        <w:t>Our human-in-the-loop AI system detects potentially new C-Level hires and surfaces them to research analysts for acceptance or rejection in a review queue. The aggregated feedback from human researchers is used to make decisions about automatically rejecting or accepting future cases.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Data Sources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 number of data sources, including proprietary sources, that enrich our platform as detailed below.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Contributory Network</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Our free users and many of our paying customers contribute data that enhances our platform. Many of our paying customers participate in our contributory network to improve the quality of the data within their CRM and sales &amp; marketing automation systems. Similarly, all of our free Community Edition users participate in our contributory network to get access to data. Our contributory network captures data on approximately 50 million email signatures, email deliverability and contact update records daily. We obtain email signatures, which are rich sources of data, through integrations with email systems, and also obtain unattributed data through integrations with our customers’ CRM and sales &amp; marketing automation systems. This gives us visibility into hundreds of millions of confirmatory and disqualifying signals each month, allowing us to keep our data and our customers’ data cleaned in real time and create accuracy scores for the content. In addition to enriching our existing data, these types of records often provide us with additional data and actionable insights, such as professionals getting promoted, changing jobs or leaving companies.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Unstructured Public Information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patented and proprietary technologies extract and parse unstructured information found on webpages, newsfeeds, blogs, and other public sources, and then match that information with entities that we have previously identified. The conversion of unstructured data to actionable insights at massive scale is highly valuable to our customers. We monitor over 50 million web domains.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Training Lab</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have developed hundreds of processes, largely automated, to gather information from sources, such as PBX directories, website traffic and source code, and proprietary surveys. Our researchers develop proprietary libraries that map raw data points to additional information to generate useful insights. For example, we enhance technology to gather a telephone number extension at a particular company and location by leveraging our library to generate a full direct dial phone number, by appending the correct area code and prefix. Combining these libraries with the wealth of information we gather from our contributory network and unstructured public and generally available information allows us to provide proprietary data points for customers.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Generally Available Information</w:t>
      </w:r>
    </w:p>
    <w:p>
      <w:pPr>
        <w:spacing w:after="0" w:line="165"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We purchase a limited amount of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to be used in our platform. Our technology typically adds value to this data by combining it with our proprietary insights. In 2019, we spent less than $3 million on such data, with spend decreasing year over year.</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of Our Platform</w:t>
      </w:r>
    </w:p>
    <w:p>
      <w:pPr>
        <w:spacing w:after="0" w:line="171" w:lineRule="exact"/>
        <w:rPr>
          <w:sz w:val="20"/>
          <w:szCs w:val="20"/>
          <w:color w:val="auto"/>
        </w:rPr>
      </w:pPr>
    </w:p>
    <w:p>
      <w:pPr>
        <w:jc w:val="both"/>
        <w:ind w:left="620" w:hanging="308"/>
        <w:spacing w:after="0" w:line="256" w:lineRule="auto"/>
        <w:tabs>
          <w:tab w:leader="none" w:pos="616"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Measurable Revenue Improvement. </w:t>
      </w:r>
      <w:r>
        <w:rPr>
          <w:rFonts w:ascii="Arial" w:cs="Arial" w:eastAsia="Arial" w:hAnsi="Arial"/>
          <w:sz w:val="17"/>
          <w:szCs w:val="17"/>
          <w:color w:val="auto"/>
        </w:rPr>
        <w:t>The highly accurate and deep intelligence on existing and prospective customers, coupled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prioritization engines that we provide, increases revenue for our customers. Proving this to our customers is easy, because we integrate with the systems that they use to attribute revenue at the end of each month, quarter, and year. In some cases, the ROI that we generate can exceed 100 times the annual spend on the ZoomInfo platform. For example, a tier 1 global bank with initial spend of approximately $17,000 in 2006, expanded to approximately 1,000 licenses and increased spend to approximately $1.4 million annually as of September 30, 2020 after thirteen of their top users generated approximately $46 million in net new money in the first 12 months of use. Similarly, a telecom giant that uses the ZoomInfo platform to empower its salesforce with attribute insights had initial spend of approximately $6,000 in 2017, grew to spend of approximately $1.1 million as of September 30,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7" w:name="page148"/>
    <w:bookmarkEnd w:id="147"/>
    <w:p>
      <w:pPr>
        <w:ind w:left="620"/>
        <w:spacing w:after="0"/>
        <w:rPr>
          <w:sz w:val="20"/>
          <w:szCs w:val="20"/>
          <w:color w:val="auto"/>
        </w:rPr>
      </w:pPr>
      <w:r>
        <w:rPr>
          <w:rFonts w:ascii="Arial" w:cs="Arial" w:eastAsia="Arial" w:hAnsi="Arial"/>
          <w:sz w:val="17"/>
          <w:szCs w:val="17"/>
          <w:color w:val="auto"/>
        </w:rPr>
        <w:t>2020 and used the ZoomInfo platform to drive approximately $43 million in closed business attributable to ZoomInfo in 24 months.</w:t>
      </w:r>
    </w:p>
    <w:p>
      <w:pPr>
        <w:spacing w:after="0" w:line="165" w:lineRule="exact"/>
        <w:rPr>
          <w:sz w:val="20"/>
          <w:szCs w:val="20"/>
          <w:color w:val="auto"/>
        </w:rPr>
      </w:pPr>
    </w:p>
    <w:p>
      <w:pPr>
        <w:jc w:val="both"/>
        <w:ind w:left="620" w:hanging="308"/>
        <w:spacing w:after="0" w:line="259" w:lineRule="auto"/>
        <w:tabs>
          <w:tab w:leader="none" w:pos="616"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Unmatched Accuracy, Depth, and Coverage of Data. </w:t>
      </w:r>
      <w:r>
        <w:rPr>
          <w:rFonts w:ascii="Arial" w:cs="Arial" w:eastAsia="Arial" w:hAnsi="Arial"/>
          <w:sz w:val="17"/>
          <w:szCs w:val="17"/>
          <w:color w:val="auto"/>
        </w:rPr>
        <w:t>We gather data from millions of sources to power our AI- and ML-driven platform. We are 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a guarantee of 95%+ accuracy as a result of our focus on quality, coupled with proprietary methods to extract, parse, match, and clean data. Our data accuracy also allows sales and marketing professionals to realize the value promised by their CRM and sales &amp; marketing automation systems. We do not believe that any other solution provides the depth and breadth of data that we provide on approximately 14 million companies and over 119 million professionals.</w:t>
      </w:r>
    </w:p>
    <w:p>
      <w:pPr>
        <w:spacing w:after="0" w:line="129" w:lineRule="exact"/>
        <w:rPr>
          <w:rFonts w:ascii="Arial" w:cs="Arial" w:eastAsia="Arial" w:hAnsi="Arial"/>
          <w:sz w:val="17"/>
          <w:szCs w:val="17"/>
          <w:color w:val="auto"/>
        </w:rPr>
      </w:pPr>
    </w:p>
    <w:p>
      <w:pPr>
        <w:jc w:val="both"/>
        <w:ind w:left="620" w:hanging="308"/>
        <w:spacing w:after="0" w:line="259" w:lineRule="auto"/>
        <w:tabs>
          <w:tab w:leader="none" w:pos="616"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Leveraging our unique data asset, we are able to provide sales and marketing professionals with a 360-degree view of their target customers. We integrate unique data points that are proprietary to ZoomInfo with our customers’ data to enrich their information and develop unique insights. An example of this is our ability to shorten online inbound marketing forms to increase the probability of their completion. We do this by taking only a single data point provided by a prospect, such as an email address, and we enrich the record with additional relevant information that we have such as title, job function, size of organization and more.</w:t>
      </w:r>
    </w:p>
    <w:p>
      <w:pPr>
        <w:spacing w:after="0" w:line="123"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and Automated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cloud-based platform is available to our customers wherever needed and can be accessed from any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anywhere in the world, in a secure manner. Our insights can also be delivered directly into our customers’ workflows and supporting infrastructure, including Salesforce, Marketo, HubSpot, Microsoft Dynamics, Oracle Sales Cloud, and a variety of other commonly used platforms. The vast majority of our customers integrate ZoomInfo with their most-used CRM or sales &amp; marketing automation system. We make all of these systems better because of the accurate data and insights that we provide.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171" w:lineRule="exact"/>
        <w:rPr>
          <w:sz w:val="20"/>
          <w:szCs w:val="20"/>
          <w:color w:val="auto"/>
        </w:rPr>
      </w:pPr>
    </w:p>
    <w:p>
      <w:pPr>
        <w:jc w:val="both"/>
        <w:ind w:left="620" w:hanging="308"/>
        <w:spacing w:after="0" w:line="277" w:lineRule="auto"/>
        <w:tabs>
          <w:tab w:leader="none" w:pos="616"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Leader with a Comprehensive Go-to-Market Intelligence Platform. </w:t>
      </w:r>
      <w:r>
        <w:rPr>
          <w:rFonts w:ascii="Arial" w:cs="Arial" w:eastAsia="Arial" w:hAnsi="Arial"/>
          <w:sz w:val="16"/>
          <w:szCs w:val="16"/>
          <w:color w:val="auto"/>
        </w:rPr>
        <w:t>We provide the most accurate and comprehensive go-to-market intelligence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available. Customers leverage our complete view of their target customers and prospects to drive effectiveness and efficiency. Our platform covered approximately 4.6 million U.S. companies with at least one employee (compared to 5.28 million U.S. companies with at least one employee identified by the U.S. Bureau of Labor Statistics) with a contractual guarantee that at least 95% of the employment information they access will be current. We do all these things at scale and in real time, and integrate into our customers’ workflows and systems. Our market leadership enables us to drive greater customer adoption based on our leading reputation, users that move among companies, and word of mouth.</w:t>
      </w:r>
    </w:p>
    <w:p>
      <w:pPr>
        <w:spacing w:after="0" w:line="116" w:lineRule="exact"/>
        <w:rPr>
          <w:rFonts w:ascii="Arial" w:cs="Arial" w:eastAsia="Arial" w:hAnsi="Arial"/>
          <w:sz w:val="16"/>
          <w:szCs w:val="16"/>
          <w:color w:val="auto"/>
        </w:rPr>
      </w:pPr>
    </w:p>
    <w:p>
      <w:pPr>
        <w:jc w:val="both"/>
        <w:ind w:left="620" w:hanging="308"/>
        <w:spacing w:after="0" w:line="279" w:lineRule="auto"/>
        <w:tabs>
          <w:tab w:leader="none" w:pos="616"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Finely Tuned Go-to-Market Model. </w:t>
      </w:r>
      <w:r>
        <w:rPr>
          <w:rFonts w:ascii="Arial" w:cs="Arial" w:eastAsia="Arial" w:hAnsi="Arial"/>
          <w:sz w:val="16"/>
          <w:szCs w:val="16"/>
          <w:color w:val="auto"/>
        </w:rPr>
        <w:t>We utilize the ZoomInfo platform to power our efficient go-to-market motion. Our median new business sales cycle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opportunity creation to close was less than 30 days for the year ended December 31, 2019. For the same period, our average LTV to average CAC was over 10x. We achieve this efficiency while sourcing 40% of our sales from our outbound sales motions, meaning that we generate sales from customers that did not proactively ask for a demo or fill out a form on our website. The ZoomInfo platform, with its accurate insights combined with a predominantly inside-sales model that is efficient and scalable, has capacity to sell additional products and services.</w:t>
      </w:r>
    </w:p>
    <w:p>
      <w:pPr>
        <w:spacing w:after="0" w:line="115" w:lineRule="exact"/>
        <w:rPr>
          <w:rFonts w:ascii="Arial" w:cs="Arial" w:eastAsia="Arial" w:hAnsi="Arial"/>
          <w:sz w:val="16"/>
          <w:szCs w:val="16"/>
          <w:color w:val="auto"/>
        </w:rPr>
      </w:pPr>
    </w:p>
    <w:p>
      <w:pPr>
        <w:jc w:val="both"/>
        <w:ind w:left="620" w:hanging="308"/>
        <w:spacing w:after="0" w:line="302" w:lineRule="auto"/>
        <w:tabs>
          <w:tab w:leader="none" w:pos="616" w:val="left"/>
        </w:tabs>
        <w:numPr>
          <w:ilvl w:val="0"/>
          <w:numId w:val="9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High-Velocity Software Development. </w:t>
      </w:r>
      <w:r>
        <w:rPr>
          <w:rFonts w:ascii="Arial" w:cs="Arial" w:eastAsia="Arial" w:hAnsi="Arial"/>
          <w:sz w:val="15"/>
          <w:szCs w:val="15"/>
          <w:color w:val="auto"/>
        </w:rPr>
        <w:t>We foster an innovative, fast-paced engineering culture that enabled the development, launch, and adoption of 112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features and services in 2019, including a new platform bringing together the best features and intelligence of DiscoverOrg and Pre-Acquisition ZI into a single offering. Our own go-to-market engine relies on our platform and serves as a laboratory environment to continually experiment and test new approaches to drive sales effectiveness, and innovate our product. Our team delivers new features in less than two weeks and fixes many deficiencies in our platform in under an hour. We deliver this speed by relentlessly focusing on the visibility, efficiency and predictability of our engineering team.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8" w:name="page149"/>
    <w:bookmarkEnd w:id="148"/>
    <w:p>
      <w:pPr>
        <w:jc w:val="both"/>
        <w:ind w:left="620" w:hanging="308"/>
        <w:spacing w:after="0" w:line="261" w:lineRule="auto"/>
        <w:tabs>
          <w:tab w:leader="none" w:pos="616"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and Significant Network Effects. </w:t>
      </w:r>
      <w:r>
        <w:rPr>
          <w:rFonts w:ascii="Arial" w:cs="Arial" w:eastAsia="Arial" w:hAnsi="Arial"/>
          <w:sz w:val="17"/>
          <w:szCs w:val="17"/>
          <w:color w:val="auto"/>
        </w:rPr>
        <w:t>Driven by growth in our contributory network, the number of records we receive from our network has grown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approximately 50 million per day. As our contributory network grows, so does the data we receive, which drives the accuracy and coverage of the intelligence we provide. This growth in data, and thus go-to-market intelligence, provides greater value to our customers, who benefit with the addition of each incremental user.</w:t>
      </w:r>
    </w:p>
    <w:p>
      <w:pPr>
        <w:spacing w:after="0" w:line="128"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co-founder and CEO, Henry Schuck, pioneered the category of go-to-market intelligence and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driving force behind our vision, mission, and culture. Our highly talented, customer-centric senior leadership enables us to rapidly develop new products, move more quickly than our competition, and build our fast-paced, execution-oriented culture.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 Opportunity</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believe that companies of all sizes and across all industries will invest in go-to-market intelligence systems given the critical role sales and marketing play for all companies, the high ROI that successful adoption can bring, and the requirement for all businesses to keep up with their competitors. As such, we estimate the TAM for our platform to be approximately $30 billion, including an approximately $6 billion market for sales engagement and an approximately $1 billion opportunity with our existing enterprise customers, based on data as of September 30, 2020.</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The aggregate calculated value represents our estimated TAM. Data for numbers of companies by employee count is from our ZoomInfo platform that we have identified as relevant prospects for our platform.</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ACV applied to the specifically identified number of companies by employee size is calculated by leveraging internal company data on current customer spend, which is concentrated on sales and marketing use cases today. For our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65" w:lineRule="exact"/>
        <w:rPr>
          <w:sz w:val="20"/>
          <w:szCs w:val="20"/>
          <w:color w:val="auto"/>
        </w:rPr>
      </w:pPr>
    </w:p>
    <w:p>
      <w:pPr>
        <w:jc w:val="both"/>
        <w:ind w:left="620" w:hanging="308"/>
        <w:spacing w:after="0" w:line="261" w:lineRule="auto"/>
        <w:tabs>
          <w:tab w:leader="none" w:pos="616"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Acquire New Customers. </w:t>
      </w:r>
      <w:r>
        <w:rPr>
          <w:rFonts w:ascii="Arial" w:cs="Arial" w:eastAsia="Arial" w:hAnsi="Arial"/>
          <w:sz w:val="17"/>
          <w:szCs w:val="17"/>
          <w:color w:val="auto"/>
        </w:rPr>
        <w:t>Using the ZoomInfo platform, we have identified over 740,000 global businesses that sell to other businesses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more than 10 employees, which represent our potential customers. Our current customer base of over 17,000 implies penetration of approximately 2%. We won approximately $101 million of ACV across approximately 5,500 new customers in the year ended December 31, 2019. We plan to continue to acquire new customers with our efficient and scalable go-to-market engine.</w:t>
      </w:r>
    </w:p>
    <w:p>
      <w:pPr>
        <w:spacing w:after="0" w:line="128"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 Additional High-Value Solutions to Our Existing Customers. </w:t>
      </w:r>
      <w:r>
        <w:rPr>
          <w:rFonts w:ascii="Arial" w:cs="Arial" w:eastAsia="Arial" w:hAnsi="Arial"/>
          <w:sz w:val="17"/>
          <w:szCs w:val="17"/>
          <w:color w:val="auto"/>
        </w:rPr>
        <w:t>We often expand within existing customers as they realize the value of using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and identify opportunities to drive more sales in two ways: customers upgrade their platform or purchase additional services. In the year ended December 31, 2019, customers upgraded their platform or purchased additional services almost 6,000 times.</w:t>
      </w:r>
    </w:p>
    <w:p>
      <w:pPr>
        <w:spacing w:after="0" w:line="122"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Incremental Penetration Within Enterprises. </w:t>
      </w:r>
      <w:r>
        <w:rPr>
          <w:rFonts w:ascii="Arial" w:cs="Arial" w:eastAsia="Arial" w:hAnsi="Arial"/>
          <w:sz w:val="17"/>
          <w:szCs w:val="17"/>
          <w:color w:val="auto"/>
        </w:rPr>
        <w:t>We believe we are underpenetrated in the enterprise market and that, within many of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enterprise customers, we have significant room to expand use cases and users. We will expand our dedicated enterprise-focused inside sales team to focus our efforts on this opportunity. We already have traction expanding within our larger accounts: our segment of customers with over $100,000 of ACV as of December 31, 2019 experienced 65% ACV growth during the prior 12 months.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49" w:name="page150"/>
    <w:bookmarkEnd w:id="149"/>
    <w:p>
      <w:pPr>
        <w:jc w:val="both"/>
        <w:ind w:left="620" w:hanging="308"/>
        <w:spacing w:after="0" w:line="283" w:lineRule="auto"/>
        <w:tabs>
          <w:tab w:leader="none" w:pos="616"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Platform for Adjacent Use Cases such as Recruiting. </w:t>
      </w:r>
      <w:r>
        <w:rPr>
          <w:rFonts w:ascii="Arial" w:cs="Arial" w:eastAsia="Arial" w:hAnsi="Arial"/>
          <w:sz w:val="16"/>
          <w:szCs w:val="16"/>
          <w:color w:val="auto"/>
        </w:rPr>
        <w:t>Customers are organically adopting our existing platform for new use cases,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recruiting, investing, market research, compliance and collections. We have a significant opportunity to tune the front end of our platform to create new offerings that squarely meet the needs of these new use cases and expand our TAM. For example, we intend to build our recruiting offering by developing recruiting-specific features, analytics and front-end tools that leverage our existing data, insights and platform.</w:t>
      </w:r>
    </w:p>
    <w:p>
      <w:pPr>
        <w:spacing w:after="0" w:line="110" w:lineRule="exact"/>
        <w:rPr>
          <w:rFonts w:ascii="Arial" w:cs="Arial" w:eastAsia="Arial" w:hAnsi="Arial"/>
          <w:sz w:val="16"/>
          <w:szCs w:val="16"/>
          <w:color w:val="auto"/>
        </w:rPr>
      </w:pPr>
    </w:p>
    <w:p>
      <w:pPr>
        <w:jc w:val="both"/>
        <w:ind w:left="620" w:hanging="308"/>
        <w:spacing w:after="0" w:line="283" w:lineRule="auto"/>
        <w:tabs>
          <w:tab w:leader="none" w:pos="616"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to International Markets. </w:t>
      </w:r>
      <w:r>
        <w:rPr>
          <w:rFonts w:ascii="Arial" w:cs="Arial" w:eastAsia="Arial" w:hAnsi="Arial"/>
          <w:sz w:val="16"/>
          <w:szCs w:val="16"/>
          <w:color w:val="auto"/>
        </w:rPr>
        <w:t>We believe adoption of sales and marketing intelligence in international markets is still nascent. Our go-to-market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efforts are currently focused on the U.S. market with less than 10% of our revenue generated from international customers. We currently profile international businesses; approximately half of the 14 million companies on our platform are headquartered outside the United States. We believe there is a compelling opportunity to bring our offering to more English-speaking countries with minimal platform investment.</w:t>
      </w:r>
    </w:p>
    <w:p>
      <w:pPr>
        <w:spacing w:after="0" w:line="110" w:lineRule="exact"/>
        <w:rPr>
          <w:rFonts w:ascii="Arial" w:cs="Arial" w:eastAsia="Arial" w:hAnsi="Arial"/>
          <w:sz w:val="16"/>
          <w:szCs w:val="16"/>
          <w:color w:val="auto"/>
        </w:rPr>
      </w:pPr>
    </w:p>
    <w:p>
      <w:pPr>
        <w:jc w:val="both"/>
        <w:ind w:left="620" w:hanging="308"/>
        <w:spacing w:after="0" w:line="275" w:lineRule="auto"/>
        <w:tabs>
          <w:tab w:leader="none" w:pos="616"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 Acquisitions to Complement Our Platform. </w:t>
      </w:r>
      <w:r>
        <w:rPr>
          <w:rFonts w:ascii="Arial" w:cs="Arial" w:eastAsia="Arial" w:hAnsi="Arial"/>
          <w:sz w:val="16"/>
          <w:szCs w:val="16"/>
          <w:color w:val="auto"/>
        </w:rPr>
        <w:t>We will continue to evaluate opportunities to make acquisitions that expand our platform and solve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use cases for customers. We believe we can add significant value to businesses we acquire in three ways: integrating our high-quality data, leveraging our go-to-market infrastructure and selling into our large customer base, which is hungry to further improve their go-to-market motions with additional data-driven technologies. Our management team has deep experience successfully integrating acquisitions, having successfully acquired and integrated six acquisitions, including technology tuck-ins like NeverBounce, which provides email delivery confirmation technology, and Komiko, which provides a unique relationship mapping technology, as well as executing larger-scale transactions, such as DiscoverOrg’s acquisition of RainKing in August 2017 and Pre-Acquisition ZI in February 2019.</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Today, we sell our ZoomInfo platform. We developed this new platform by combining the best features from the original DiscoverOrg platform and the acquired Pre-Acquisition ZI platform. Certain existing customers continue to renew their subscriptions to the original Pre-Acquisition ZI or DiscoverOrg platform, which we continue to support.</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original DiscoverOrg platform provides depth on a limited number of companies, while the Pre-Acquisition ZI platform provides more limited information on a broader set of companies. The combined platform capitalizes on a greater depth of data across a broader set of companies, complemented by additional features and insights not available on the prior platforms.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Functionality</w:t>
      </w:r>
    </w:p>
    <w:p>
      <w:pPr>
        <w:spacing w:after="0" w:line="165" w:lineRule="exact"/>
        <w:rPr>
          <w:sz w:val="20"/>
          <w:szCs w:val="20"/>
          <w:color w:val="auto"/>
        </w:rPr>
      </w:pPr>
    </w:p>
    <w:p>
      <w:pPr>
        <w:ind w:left="620" w:hanging="308"/>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Company and Contact Profiles. </w:t>
      </w:r>
      <w:r>
        <w:rPr>
          <w:rFonts w:ascii="Arial" w:cs="Arial" w:eastAsia="Arial" w:hAnsi="Arial"/>
          <w:sz w:val="17"/>
          <w:szCs w:val="17"/>
          <w:color w:val="auto"/>
        </w:rPr>
        <w:t>View consolidated go-to-market intelligence available on companies and contacts.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Dashboard. </w:t>
      </w:r>
      <w:r>
        <w:rPr>
          <w:rFonts w:ascii="Arial" w:cs="Arial" w:eastAsia="Arial" w:hAnsi="Arial"/>
          <w:sz w:val="17"/>
          <w:szCs w:val="17"/>
          <w:color w:val="auto"/>
        </w:rPr>
        <w:t>Customizable landing pages to help users organize workflow around actionable insights.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Search. </w:t>
      </w:r>
      <w:r>
        <w:rPr>
          <w:rFonts w:ascii="Arial" w:cs="Arial" w:eastAsia="Arial" w:hAnsi="Arial"/>
          <w:sz w:val="17"/>
          <w:szCs w:val="17"/>
          <w:color w:val="auto"/>
        </w:rPr>
        <w:t>Use 60+ filters and thousands of keywords and attributes to build hyper-targeted lists of companies, contacts, scoops and intent, or to look up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 record.</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Enhance. </w:t>
      </w:r>
      <w:r>
        <w:rPr>
          <w:rFonts w:ascii="Arial" w:cs="Arial" w:eastAsia="Arial" w:hAnsi="Arial"/>
          <w:sz w:val="17"/>
          <w:szCs w:val="17"/>
          <w:color w:val="auto"/>
        </w:rPr>
        <w:t>Upload first-party company and contact lists, match to our records and fill in data gaps.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Alerts. </w:t>
      </w:r>
      <w:r>
        <w:rPr>
          <w:rFonts w:ascii="Arial" w:cs="Arial" w:eastAsia="Arial" w:hAnsi="Arial"/>
          <w:sz w:val="17"/>
          <w:szCs w:val="17"/>
          <w:color w:val="auto"/>
        </w:rPr>
        <w:t>Get notifications when actionable intel surfaces on a company or contact that a user follows.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Prioritize. </w:t>
      </w:r>
      <w:r>
        <w:rPr>
          <w:rFonts w:ascii="Arial" w:cs="Arial" w:eastAsia="Arial" w:hAnsi="Arial"/>
          <w:sz w:val="17"/>
          <w:szCs w:val="17"/>
          <w:color w:val="auto"/>
        </w:rPr>
        <w:t>Score records on fit, context, and actionable intel based on target profiles.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Orchestrate. </w:t>
      </w:r>
      <w:r>
        <w:rPr>
          <w:rFonts w:ascii="Arial" w:cs="Arial" w:eastAsia="Arial" w:hAnsi="Arial"/>
          <w:sz w:val="17"/>
          <w:szCs w:val="17"/>
          <w:color w:val="auto"/>
        </w:rPr>
        <w:t>Create custom rules driven by intelligence to automate workflows.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Integrate. </w:t>
      </w:r>
      <w:r>
        <w:rPr>
          <w:rFonts w:ascii="Arial" w:cs="Arial" w:eastAsia="Arial" w:hAnsi="Arial"/>
          <w:sz w:val="15"/>
          <w:szCs w:val="15"/>
          <w:color w:val="auto"/>
        </w:rPr>
        <w:t>Connect and export directly to CRM and sales &amp; marketing automation systems and continually update exported records on an ongoing basis.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0" w:name="page151"/>
    <w:bookmarkEnd w:id="150"/>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Identity Resolution. </w:t>
      </w:r>
      <w:r>
        <w:rPr>
          <w:rFonts w:ascii="Arial" w:cs="Arial" w:eastAsia="Arial" w:hAnsi="Arial"/>
          <w:sz w:val="17"/>
          <w:szCs w:val="17"/>
          <w:color w:val="auto"/>
        </w:rPr>
        <w:t>Identify the companies represented by anonymous website visitors.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Email Verification. </w:t>
      </w:r>
      <w:r>
        <w:rPr>
          <w:rFonts w:ascii="Arial" w:cs="Arial" w:eastAsia="Arial" w:hAnsi="Arial"/>
          <w:sz w:val="17"/>
          <w:szCs w:val="17"/>
          <w:color w:val="auto"/>
        </w:rPr>
        <w:t>Verify email addresses before running a campaign to lower bounce rates.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Browser Intelligence. </w:t>
      </w:r>
      <w:r>
        <w:rPr>
          <w:rFonts w:ascii="Arial" w:cs="Arial" w:eastAsia="Arial" w:hAnsi="Arial"/>
          <w:sz w:val="17"/>
          <w:szCs w:val="17"/>
          <w:color w:val="auto"/>
        </w:rPr>
        <w:t>ZoomInfo’s Google Chrome Extension, ReachOut, delivers company and contact intelligence on screen as users view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and LinkedIn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78740</wp:posOffset>
            </wp:positionV>
            <wp:extent cx="5102225" cy="26168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02225" cy="261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Go-to-Market Intelligence</w:t>
      </w:r>
    </w:p>
    <w:p>
      <w:pPr>
        <w:spacing w:after="0" w:line="165" w:lineRule="exact"/>
        <w:rPr>
          <w:sz w:val="20"/>
          <w:szCs w:val="20"/>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14 Million Companies. </w:t>
      </w:r>
      <w:r>
        <w:rPr>
          <w:rFonts w:ascii="Arial" w:cs="Arial" w:eastAsia="Arial" w:hAnsi="Arial"/>
          <w:sz w:val="17"/>
          <w:szCs w:val="17"/>
          <w:color w:val="auto"/>
        </w:rPr>
        <w:t>Includes description, location, industry, revenue and employees.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 119 Million Contacts. </w:t>
      </w:r>
      <w:r>
        <w:rPr>
          <w:rFonts w:ascii="Arial" w:cs="Arial" w:eastAsia="Arial" w:hAnsi="Arial"/>
          <w:sz w:val="17"/>
          <w:szCs w:val="17"/>
          <w:color w:val="auto"/>
        </w:rPr>
        <w:t>Includes role, location, verified email and direct dial phone numbers.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Scoops. </w:t>
      </w:r>
      <w:r>
        <w:rPr>
          <w:rFonts w:ascii="Arial" w:cs="Arial" w:eastAsia="Arial" w:hAnsi="Arial"/>
          <w:sz w:val="17"/>
          <w:szCs w:val="17"/>
          <w:color w:val="auto"/>
        </w:rPr>
        <w:t>Curated insights, such as personnel moves, pain points or planned investments.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Technologies. </w:t>
      </w:r>
      <w:r>
        <w:rPr>
          <w:rFonts w:ascii="Arial" w:cs="Arial" w:eastAsia="Arial" w:hAnsi="Arial"/>
          <w:sz w:val="17"/>
          <w:szCs w:val="17"/>
          <w:color w:val="auto"/>
        </w:rPr>
        <w:t>The stack of technologies used by companies.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Intent. </w:t>
      </w:r>
      <w:r>
        <w:rPr>
          <w:rFonts w:ascii="Arial" w:cs="Arial" w:eastAsia="Arial" w:hAnsi="Arial"/>
          <w:sz w:val="17"/>
          <w:szCs w:val="17"/>
          <w:color w:val="auto"/>
        </w:rPr>
        <w:t>Reveals companies signaling intent to buy through research on products or related topics.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Attributes. </w:t>
      </w:r>
      <w:r>
        <w:rPr>
          <w:rFonts w:ascii="Arial" w:cs="Arial" w:eastAsia="Arial" w:hAnsi="Arial"/>
          <w:sz w:val="17"/>
          <w:szCs w:val="17"/>
          <w:color w:val="auto"/>
        </w:rPr>
        <w:t>Enables granular targeting on categories of attributes, such as location, job function and company rankings. Examples include: “Has a call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 “Has a mobile application,” “Has 100+ locations,” and “Has a data scientist.”</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Organizational Charts. </w:t>
      </w:r>
      <w:r>
        <w:rPr>
          <w:rFonts w:ascii="Arial" w:cs="Arial" w:eastAsia="Arial" w:hAnsi="Arial"/>
          <w:sz w:val="17"/>
          <w:szCs w:val="17"/>
          <w:color w:val="auto"/>
        </w:rPr>
        <w:t>Displays the organizational hierarchy of a company and helps identify decision makers.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News &amp; Events. </w:t>
      </w:r>
      <w:r>
        <w:rPr>
          <w:rFonts w:ascii="Arial" w:cs="Arial" w:eastAsia="Arial" w:hAnsi="Arial"/>
          <w:sz w:val="17"/>
          <w:szCs w:val="17"/>
          <w:color w:val="auto"/>
        </w:rPr>
        <w:t>Links to relevant news articles and events including press releases.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Corporate Structure and Hierarchy. </w:t>
      </w:r>
      <w:r>
        <w:rPr>
          <w:rFonts w:ascii="Arial" w:cs="Arial" w:eastAsia="Arial" w:hAnsi="Arial"/>
          <w:sz w:val="17"/>
          <w:szCs w:val="17"/>
          <w:color w:val="auto"/>
        </w:rPr>
        <w:t>Illustrates the relationships between parent companies, subsidiaries, and acquisitions.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Locations. </w:t>
      </w:r>
      <w:r>
        <w:rPr>
          <w:rFonts w:ascii="Arial" w:cs="Arial" w:eastAsia="Arial" w:hAnsi="Arial"/>
          <w:sz w:val="17"/>
          <w:szCs w:val="17"/>
          <w:color w:val="auto"/>
        </w:rPr>
        <w:t>Identifies all known company sites and contacts located at each location.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Funding and Acquisition Announcements. </w:t>
      </w:r>
      <w:r>
        <w:rPr>
          <w:rFonts w:ascii="Arial" w:cs="Arial" w:eastAsia="Arial" w:hAnsi="Arial"/>
          <w:sz w:val="17"/>
          <w:szCs w:val="17"/>
          <w:color w:val="auto"/>
        </w:rPr>
        <w:t>Timely alerts on funding rounds and merger and acquisition activities.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1" w:name="page152"/>
    <w:bookmarkEnd w:id="151"/>
    <w:p>
      <w:pPr>
        <w:ind w:left="320"/>
        <w:spacing w:after="0"/>
        <w:rPr>
          <w:sz w:val="20"/>
          <w:szCs w:val="20"/>
          <w:color w:val="auto"/>
        </w:rPr>
      </w:pPr>
      <w:r>
        <w:rPr>
          <w:rFonts w:ascii="Arial" w:cs="Arial" w:eastAsia="Arial" w:hAnsi="Arial"/>
          <w:sz w:val="17"/>
          <w:szCs w:val="17"/>
          <w:color w:val="auto"/>
        </w:rPr>
        <w:t>We offer four editions: Elite, Advance, Professional, and Community, ranging from the most complete functionality to the least.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Incremental to these editions, customers can benefit from additional functionality through add-ons or standalone products that serve a specific business need.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Select examples of these include:</w:t>
      </w:r>
    </w:p>
    <w:p>
      <w:pPr>
        <w:spacing w:after="0" w:line="154" w:lineRule="exact"/>
        <w:rPr>
          <w:sz w:val="20"/>
          <w:szCs w:val="20"/>
          <w:color w:val="auto"/>
        </w:rPr>
      </w:pPr>
    </w:p>
    <w:p>
      <w:pPr>
        <w:jc w:val="both"/>
        <w:ind w:left="620" w:hanging="308"/>
        <w:spacing w:after="0" w:line="290" w:lineRule="auto"/>
        <w:tabs>
          <w:tab w:leader="none" w:pos="616"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Record Subscriptions. </w:t>
      </w:r>
      <w:r>
        <w:rPr>
          <w:rFonts w:ascii="Arial" w:cs="Arial" w:eastAsia="Arial" w:hAnsi="Arial"/>
          <w:sz w:val="16"/>
          <w:szCs w:val="16"/>
          <w:color w:val="auto"/>
        </w:rPr>
        <w:t>Each product edition comes with an allowable number of records per user sufficient for typical sales use cases. Records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contact or company information that is exported from the ZoomInfo platform via an integration or to Excel. When a customer is using the platform for more data-intensive use cases, the customer can purchase additional record subscriptions typically sold on a 12-month term.</w:t>
      </w:r>
    </w:p>
    <w:p>
      <w:pPr>
        <w:spacing w:after="0" w:line="105" w:lineRule="exact"/>
        <w:rPr>
          <w:rFonts w:ascii="Arial" w:cs="Arial" w:eastAsia="Arial" w:hAnsi="Arial"/>
          <w:sz w:val="16"/>
          <w:szCs w:val="16"/>
          <w:color w:val="auto"/>
        </w:rPr>
      </w:pPr>
    </w:p>
    <w:p>
      <w:pPr>
        <w:ind w:left="620" w:hanging="308"/>
        <w:spacing w:after="0"/>
        <w:tabs>
          <w:tab w:leader="none" w:pos="62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European Dataset. </w:t>
      </w:r>
      <w:r>
        <w:rPr>
          <w:rFonts w:ascii="Arial" w:cs="Arial" w:eastAsia="Arial" w:hAnsi="Arial"/>
          <w:sz w:val="17"/>
          <w:szCs w:val="17"/>
          <w:color w:val="auto"/>
        </w:rPr>
        <w:t>Gain access to contact and other data for businesses throughout Europe.</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Enrich. </w:t>
      </w:r>
      <w:r>
        <w:rPr>
          <w:rFonts w:ascii="Arial" w:cs="Arial" w:eastAsia="Arial" w:hAnsi="Arial"/>
          <w:sz w:val="17"/>
          <w:szCs w:val="17"/>
          <w:color w:val="auto"/>
        </w:rPr>
        <w:t>Fills in data gaps and maintains the accuracy and completeness of data in customers’ go-to-market systems. Automatically cleans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appends new records generated in these go-to-market systems, in real time.</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Engage. </w:t>
      </w:r>
      <w:r>
        <w:rPr>
          <w:rFonts w:ascii="Arial" w:cs="Arial" w:eastAsia="Arial" w:hAnsi="Arial"/>
          <w:sz w:val="17"/>
          <w:szCs w:val="17"/>
          <w:color w:val="auto"/>
        </w:rPr>
        <w:t>A sales engagement solution that enables direct outreach to prospects and customers. Functionality includes a dialer, email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orchestration and templates, chat, custom multi-touch engagement sequences and activity syncing with go-to-market systems.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InboxAI. </w:t>
      </w:r>
      <w:r>
        <w:rPr>
          <w:rFonts w:ascii="Arial" w:cs="Arial" w:eastAsia="Arial" w:hAnsi="Arial"/>
          <w:sz w:val="17"/>
          <w:szCs w:val="17"/>
          <w:color w:val="auto"/>
        </w:rPr>
        <w:t>Mines email and calendar systems for contacts and activity, automatically synchronizing them with Salesforce. It also generates AI-powered insights and recommendations to help teams manage opportunities and renewals.</w:t>
      </w:r>
    </w:p>
    <w:p>
      <w:pPr>
        <w:spacing w:after="0" w:line="112" w:lineRule="exact"/>
        <w:rPr>
          <w:rFonts w:ascii="Arial" w:cs="Arial" w:eastAsia="Arial" w:hAnsi="Arial"/>
          <w:sz w:val="17"/>
          <w:szCs w:val="17"/>
          <w:color w:val="auto"/>
        </w:rPr>
      </w:pPr>
    </w:p>
    <w:p>
      <w:pPr>
        <w:ind w:left="320" w:right="360" w:hanging="8"/>
        <w:spacing w:after="0" w:line="439" w:lineRule="auto"/>
        <w:tabs>
          <w:tab w:leader="none" w:pos="625"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Compliance </w:t>
      </w:r>
      <w:r>
        <w:rPr>
          <w:rFonts w:ascii="Arial" w:cs="Arial" w:eastAsia="Arial" w:hAnsi="Arial"/>
          <w:sz w:val="17"/>
          <w:szCs w:val="17"/>
          <w:color w:val="auto"/>
        </w:rPr>
        <w:t>API. Helps customers identify pertinent information, such as physical locations and other known aliases, for opt-out requests.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pricing is based on the edition, number of users and add-on functionality of our platform that is purchased.</w:t>
      </w:r>
    </w:p>
    <w:p>
      <w:pPr>
        <w:spacing w:after="0"/>
        <w:rPr>
          <w:sz w:val="20"/>
          <w:szCs w:val="20"/>
          <w:color w:val="auto"/>
        </w:rPr>
      </w:pPr>
      <w:r>
        <w:rPr>
          <w:rFonts w:ascii="Arial" w:cs="Arial" w:eastAsia="Arial" w:hAnsi="Arial"/>
          <w:sz w:val="17"/>
          <w:szCs w:val="17"/>
          <w:b w:val="1"/>
          <w:bCs w:val="1"/>
          <w:color w:val="auto"/>
        </w:rPr>
        <w:t>Our Technology</w:t>
      </w:r>
    </w:p>
    <w:p>
      <w:pPr>
        <w:spacing w:after="0" w:line="171" w:lineRule="exact"/>
        <w:rPr>
          <w:sz w:val="20"/>
          <w:szCs w:val="20"/>
          <w:color w:val="auto"/>
        </w:rPr>
      </w:pPr>
    </w:p>
    <w:p>
      <w:pPr>
        <w:jc w:val="both"/>
        <w:ind w:firstLine="309"/>
        <w:spacing w:after="0" w:line="348" w:lineRule="auto"/>
        <w:rPr>
          <w:sz w:val="20"/>
          <w:szCs w:val="20"/>
          <w:color w:val="auto"/>
        </w:rPr>
      </w:pPr>
      <w:r>
        <w:rPr>
          <w:rFonts w:ascii="Arial" w:cs="Arial" w:eastAsia="Arial" w:hAnsi="Arial"/>
          <w:sz w:val="15"/>
          <w:szCs w:val="15"/>
          <w:color w:val="auto"/>
        </w:rPr>
        <w:t>Our platform is architected and built to be innovative, scalable, reliable and secure. Our platform is a multi-tenant, single code-based, globally available SaaS delivered through web browsers or mobile applications. The architecture, design, deployment and management of our platform are centered on the following areas:</w:t>
      </w:r>
    </w:p>
    <w:p>
      <w:pPr>
        <w:spacing w:after="0" w:line="66" w:lineRule="exact"/>
        <w:rPr>
          <w:sz w:val="20"/>
          <w:szCs w:val="20"/>
          <w:color w:val="auto"/>
        </w:rPr>
      </w:pPr>
    </w:p>
    <w:p>
      <w:pPr>
        <w:jc w:val="both"/>
        <w:ind w:left="620" w:hanging="308"/>
        <w:spacing w:after="0" w:line="261" w:lineRule="auto"/>
        <w:tabs>
          <w:tab w:leader="none" w:pos="616"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w:t>
      </w:r>
      <w:r>
        <w:rPr>
          <w:rFonts w:ascii="Arial" w:cs="Arial" w:eastAsia="Arial" w:hAnsi="Arial"/>
          <w:sz w:val="17"/>
          <w:szCs w:val="17"/>
          <w:color w:val="auto"/>
        </w:rPr>
        <w:t>We foster an innovative, fast-paced engineering culture that enabled the release of 112 product features and services in 2019, including a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bringing together the best features and intelligence of DiscoverOrg and Pre-Acquisition ZI into a single offering. Our team often delivers new features in less than two weeks and fixes many deficiencies in our platform in under an hour. We deliver this speed by relentlessly focusing on the visibility, efficiency and predictability of our engineering team.</w:t>
      </w:r>
    </w:p>
    <w:p>
      <w:pPr>
        <w:spacing w:after="0" w:line="128"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By leveraging leading cloud infrastructure providers, including the Google Cloud Platform, Amazon Web Services and Microsoft Azure,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along with our automated technology stack, we are able to scale workloads of varying sizes at any time. This allows us to process billions of data points each day from millions of data sources in our proprietary data engine.</w:t>
      </w:r>
    </w:p>
    <w:p>
      <w:pPr>
        <w:spacing w:after="0" w:line="122" w:lineRule="exact"/>
        <w:rPr>
          <w:rFonts w:ascii="Arial" w:cs="Arial" w:eastAsia="Arial" w:hAnsi="Arial"/>
          <w:sz w:val="17"/>
          <w:szCs w:val="17"/>
          <w:color w:val="auto"/>
        </w:rPr>
      </w:pPr>
    </w:p>
    <w:p>
      <w:pPr>
        <w:jc w:val="both"/>
        <w:ind w:left="620" w:hanging="308"/>
        <w:spacing w:after="0" w:line="261" w:lineRule="auto"/>
        <w:tabs>
          <w:tab w:leader="none" w:pos="616"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Reliability. </w:t>
      </w:r>
      <w:r>
        <w:rPr>
          <w:rFonts w:ascii="Arial" w:cs="Arial" w:eastAsia="Arial" w:hAnsi="Arial"/>
          <w:sz w:val="17"/>
          <w:szCs w:val="17"/>
          <w:color w:val="auto"/>
        </w:rPr>
        <w:t>Each of our application components is deployed redundantly across multiple data centers, and most of our software today runs on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infrastructure platform that provides automatic recovery from failures and auto-scaling to handle load spikes. We have also taken the first steps toward providing redundancy for cloud provider failures across our most critical applications. Employing these and many other strategies, we have achieved 99.99% uptime for the ZoomInfo platform from its launch to September 30, 2020.</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2" w:name="page153"/>
    <w:bookmarkEnd w:id="152"/>
    <w:p>
      <w:pPr>
        <w:ind w:left="620" w:hanging="308"/>
        <w:spacing w:after="0" w:line="279" w:lineRule="auto"/>
        <w:tabs>
          <w:tab w:leader="none" w:pos="616"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Security. </w:t>
      </w:r>
      <w:r>
        <w:rPr>
          <w:rFonts w:ascii="Arial" w:cs="Arial" w:eastAsia="Arial" w:hAnsi="Arial"/>
          <w:sz w:val="17"/>
          <w:szCs w:val="17"/>
          <w:color w:val="auto"/>
        </w:rPr>
        <w:t>We encrypt all traffic, employ Zero Trust authentication wherever feasible, scan our code and dependencies for vulnerabilities and undergo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regular pen-testing. In addition, all user passwords are centrally managed.</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Finally, our integrations with our customers’ CRM and sales &amp; marketing automation systems are enabled by 11 out-of-the-box integrations, along with webhooks and custom code-run so any customer can build their own export functionality. In addition, customers can use the ZoomInfo API to build customized solutions within their existing workflows. The combination of the out-of-the-box features and integrations, enterprise-level API and webhooks give our customers the ability to build any logic, in any place.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Our large and diversified customer base consists of over 17,000 customers spanning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As of September 30, 2020, we had over 720 customers with more than $100,000 of ACV, with 18 customers spending over $1,000,000 in ACV annually. No single customer contributed more than 1% of revenue.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Go-to-Market Strategy</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have built an extremely efficient go-to-market engine. We have integrated our insights and data into an automated engine with defined processes and specialized roles in order to market and sell our services.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go-to-market motion starts with our high-velocity marketing engine driven by the marketing team. From development to execution and to measurement, we use the ZoomInfo platform as the foundation for our entire marketing strategy, and we utilize data and intelligence from our platform to generate high lead volumes and maximize effectiveness of our marketing programs.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When a new lead comes in, it is first passed through our proprietary algorithms and scored before being passed to our inbound team. Only high-quality leads, determined by the fit, the likelihood of a win, and the dollar amount associated with the win are passed onto the sales development representatives (“SDRs”). SDRs typically follow up with inbound leads in three minutes or less to set up a demo.</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Once a prospect agrees to a demo, we use our proprietary algorithms to select the account executive (“AE”), who is most likely to close a deal with that particular prospect based on attributes such as company size, industry, number of sales professionals, and the go-to-market technologies the prospect uses. We empower our AEs with the ZoomInfo platform by giving them a 360-degree view on the prospect so AEs know what and how to pitch.</w:t>
      </w:r>
    </w:p>
    <w:p>
      <w:pPr>
        <w:spacing w:after="0" w:line="10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our outbound motion, we leverage our AI Ideal Customer Profile feature to identify companies that have similar characteristics to our best customers. We also feed actionable insights into our data lake and use these insights to prioritize targets for outbound team. In 2019, nearly 40% of all attributable new sales were generated from outbound sales motions.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unique hiring strategy and sales development plan support these inbound and outbound sales teams and allow us to achieve high velocity to value. We have dedicated onboarding, role specialization, goal setting and performance tracking systems, and as a result, we empower our employees right out of college to generate value under three weeks, and enable them to grow into more complex, high-value roles.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a result of all of our go-to-market processes, we have achieved a median sales cycle of less than 30 days from opportunity creation to close and an average LTV to CAC of over 10x in the year ended December 31, 2019. We are also able to drive same-day close on many opportunities.</w:t>
      </w:r>
    </w:p>
    <w:p>
      <w:pPr>
        <w:spacing w:after="0" w:line="11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Once an AE closes business, the account gets passed to the learning and development team, who is responsible for onboarding and training new customers. Once on board, the customer success team is responsible for maintaining the account health score, which we define based on the usage of the platform. Finally, our team of account managers is responsible for ACV expansion and renewal. Using our platform, account managers expand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3" w:name="page154"/>
    <w:bookmarkEnd w:id="153"/>
    <w:p>
      <w:pPr>
        <w:spacing w:after="0" w:line="279" w:lineRule="auto"/>
        <w:rPr>
          <w:sz w:val="20"/>
          <w:szCs w:val="20"/>
          <w:color w:val="auto"/>
        </w:rPr>
      </w:pPr>
      <w:r>
        <w:rPr>
          <w:rFonts w:ascii="Arial" w:cs="Arial" w:eastAsia="Arial" w:hAnsi="Arial"/>
          <w:sz w:val="17"/>
          <w:szCs w:val="17"/>
          <w:color w:val="auto"/>
        </w:rPr>
        <w:t>their footprint within existing customers that have significant potential to grow their relationship with us. In 2019 our net annual retention rate increased to 109% from 102% in 2018.</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People, Culture, and Values</w:t>
      </w:r>
    </w:p>
    <w:p>
      <w:pPr>
        <w:spacing w:after="0" w:line="17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Our mission is to unlock actionable business information and insights to make organizations more successful. The values we live and work by build the foundation for our award-winning culture.</w:t>
      </w:r>
    </w:p>
    <w:p>
      <w:pPr>
        <w:spacing w:after="0" w:line="112" w:lineRule="exact"/>
        <w:rPr>
          <w:sz w:val="20"/>
          <w:szCs w:val="20"/>
          <w:color w:val="auto"/>
        </w:rPr>
      </w:pPr>
    </w:p>
    <w:p>
      <w:pPr>
        <w:ind w:left="620" w:hanging="308"/>
        <w:spacing w:after="0"/>
        <w:tabs>
          <w:tab w:leader="none" w:pos="62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Winning…Is What Drives Us. </w:t>
      </w:r>
      <w:r>
        <w:rPr>
          <w:rFonts w:ascii="Arial" w:cs="Arial" w:eastAsia="Arial" w:hAnsi="Arial"/>
          <w:sz w:val="16"/>
          <w:szCs w:val="16"/>
          <w:color w:val="auto"/>
        </w:rPr>
        <w:t>We’re focused on stretch goals that we feel good about, and are laser-focused to blow those marks out of the water.</w:t>
      </w:r>
    </w:p>
    <w:p>
      <w:pPr>
        <w:spacing w:after="0" w:line="176"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Rapidly Innovate. </w:t>
      </w:r>
      <w:r>
        <w:rPr>
          <w:rFonts w:ascii="Arial" w:cs="Arial" w:eastAsia="Arial" w:hAnsi="Arial"/>
          <w:sz w:val="17"/>
          <w:szCs w:val="17"/>
          <w:color w:val="auto"/>
        </w:rPr>
        <w:t>We believe in challenging the status quo and refuse to stand by the words “that’s the way it has always been done.” We look beyond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see what is the most innovative, efficient, and effective way each and every day.</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100% Results Driven. </w:t>
      </w:r>
      <w:r>
        <w:rPr>
          <w:rFonts w:ascii="Arial" w:cs="Arial" w:eastAsia="Arial" w:hAnsi="Arial"/>
          <w:sz w:val="17"/>
          <w:szCs w:val="17"/>
          <w:color w:val="auto"/>
        </w:rPr>
        <w:t>We face obstacles head on and collaborate to overcome them.</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Like to Feel Uncomfortable. </w:t>
      </w:r>
      <w:r>
        <w:rPr>
          <w:rFonts w:ascii="Arial" w:cs="Arial" w:eastAsia="Arial" w:hAnsi="Arial"/>
          <w:sz w:val="17"/>
          <w:szCs w:val="17"/>
          <w:color w:val="auto"/>
        </w:rPr>
        <w:t>If we’re not uncomfortable, we’re not getting better. Discomfort is key to change, change is key to progress and progress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key to winning.</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Define New Possibles. </w:t>
      </w:r>
      <w:r>
        <w:rPr>
          <w:rFonts w:ascii="Arial" w:cs="Arial" w:eastAsia="Arial" w:hAnsi="Arial"/>
          <w:sz w:val="17"/>
          <w:szCs w:val="17"/>
          <w:color w:val="auto"/>
        </w:rPr>
        <w:t>We don’t just meet our goals, we take pride in going above and beyond whatever the goal may be. And we are always raising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bar.</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believe wholeheartedly that our employees love working here and like coming to work because they feel that they’re working towards a larger mission.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Our employee culture is showcased by the following notable distinctions:</w:t>
      </w:r>
    </w:p>
    <w:p>
      <w:pPr>
        <w:spacing w:after="0" w:line="154" w:lineRule="exact"/>
        <w:rPr>
          <w:sz w:val="20"/>
          <w:szCs w:val="20"/>
          <w:color w:val="auto"/>
        </w:rPr>
      </w:pPr>
    </w:p>
    <w:p>
      <w:pPr>
        <w:ind w:left="620" w:hanging="308"/>
        <w:spacing w:after="0" w:line="279" w:lineRule="auto"/>
        <w:tabs>
          <w:tab w:leader="none" w:pos="616"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Workplace Awards. </w:t>
      </w:r>
      <w:r>
        <w:rPr>
          <w:rFonts w:ascii="Arial" w:cs="Arial" w:eastAsia="Arial" w:hAnsi="Arial"/>
          <w:sz w:val="17"/>
          <w:szCs w:val="17"/>
          <w:color w:val="auto"/>
        </w:rPr>
        <w:t>Our strong culture is celebrated by our distinctions in the 2017 Inc. Magazine’s Top Companies to Work for, 2019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Magazine’s Best Workplaces, 2017 Fortune Best Small &amp; Medium Workplaces, and 2019 Fortune 100 Best Medium Workplaces.</w:t>
      </w:r>
    </w:p>
    <w:p>
      <w:pPr>
        <w:spacing w:after="0" w:line="112"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and Recognized Quality Brand. </w:t>
      </w:r>
      <w:r>
        <w:rPr>
          <w:rFonts w:ascii="Arial" w:cs="Arial" w:eastAsia="Arial" w:hAnsi="Arial"/>
          <w:sz w:val="17"/>
          <w:szCs w:val="17"/>
          <w:color w:val="auto"/>
        </w:rPr>
        <w:t>We were awarded the 2018 G2Crowd’s Top 100 best software companies, 2018 Inc. 5000’s Fastest-Growing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Companies, and 2015, 2016, 2017, and 2018 Deloitte’s Technology Fast 500. Our renowned brand has helped us garner exceptional talent to help us further our mission of revolutionizing the sales and marketing industry.</w:t>
      </w:r>
    </w:p>
    <w:p>
      <w:pPr>
        <w:spacing w:after="0" w:line="123"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As of September 30, 2020, we had 1,490 employees, consisting of 641 in engineering, product development, research, and customer operations, 560 in sales, 135 in marketing and operations, and 154 in general and administrative.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7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We believe there are currently no competitors who offer a sales &amp; marketing intelligence platform as comprehensive as ours. Our competitors focus on specific use cases, end markets and/or types of data sets and they can be categorized as follows:</w:t>
      </w:r>
    </w:p>
    <w:p>
      <w:pPr>
        <w:spacing w:after="0" w:line="112" w:lineRule="exact"/>
        <w:rPr>
          <w:sz w:val="20"/>
          <w:szCs w:val="20"/>
          <w:color w:val="auto"/>
        </w:rPr>
      </w:pPr>
    </w:p>
    <w:p>
      <w:pPr>
        <w:ind w:left="620" w:hanging="308"/>
        <w:spacing w:after="0" w:line="279" w:lineRule="auto"/>
        <w:tabs>
          <w:tab w:leader="none" w:pos="61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LinkedIn Sales Navigator, which provides professional information and relationship data but has limited depth of data and limited ability to integrate with customers’ workflow and CRM and sales &amp; marketing automation systems;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legacy data providers, such as D&amp;B Hoovers, which focus on specific types of data sets (e.g., companies, attributes, or intent) but lack the combination of quality, depth, and coverage;</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niche data providers, such as TechTarget, which focus on specific types of data sets but lack scale, quality, and coverage of data;</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list providers, such as Infogroup, which focus on company profile and business contact information, but lack technology attributes and intent coverage;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4" w:name="page155"/>
    <w:bookmarkEnd w:id="154"/>
    <w:p>
      <w:pPr>
        <w:ind w:left="620" w:hanging="308"/>
        <w:spacing w:after="0" w:line="279" w:lineRule="auto"/>
        <w:tabs>
          <w:tab w:leader="none" w:pos="61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startups or less mature competitors who lack the investment, expertise, and resources to manage quality at scale and keep up with the pace of technological advancement.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the principal factors that drive competition between vendors in the market include:</w:t>
      </w:r>
    </w:p>
    <w:p>
      <w:pPr>
        <w:spacing w:after="0" w:line="165" w:lineRule="exact"/>
        <w:rPr>
          <w:sz w:val="20"/>
          <w:szCs w:val="20"/>
          <w:color w:val="auto"/>
        </w:rPr>
      </w:pPr>
    </w:p>
    <w:p>
      <w:pPr>
        <w:ind w:left="620" w:hanging="308"/>
        <w:spacing w:after="0"/>
        <w:tabs>
          <w:tab w:leader="none" w:pos="6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comprehensive platform offering;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quality and accuracy of data;</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breadth and depth of data;</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ease of use and deployment;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tangible benefits and ROI for customers;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data privacy and security;</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ability to integrate with customers’ CRM and sales &amp; marketing automation systems;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sophistication of solutions used to manage, maintain and combine intelligence.</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We believe we compete favorably across these factors. For additional information, see the section titled “Risk Factors—Risks Related to Our Business and Industry—We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 and “Risk Factors—Risks Related to our Business and Industry—Larger and more well-funded companies with access to significant resources, large amounts of data or data collection methods, and sophisticated technologies may shift their business model to become competitive with us.”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Privacy and Protection</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The business contact information and other personal data we collect and process are an integral part of our products and services. Our respect for laws and regulations regarding the collection and processing of personal data underlies our strategy to improve our customer experience and build trust.</w:t>
      </w:r>
    </w:p>
    <w:p>
      <w:pPr>
        <w:spacing w:after="0" w:line="90"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Regulators around the world have adopted or proposed requirements regarding the collection, use, transfer, security, storage, destruction, and other processing of personal data. These laws are increasing in number and complexity, resulting in higher risk of enforcement, fines, and other penalties.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certain jurisdictions, including the European Union and California, which we plan to expand to our entire database. In addition, we honor opt-out requests across our entire database.</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privacy and legal teams are highly focused on any applicable privacy laws and regulations and constantly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5" w:name="page156"/>
    <w:bookmarkEnd w:id="155"/>
    <w:p>
      <w:pPr>
        <w:jc w:val="both"/>
        <w:ind w:firstLine="309"/>
        <w:spacing w:after="0" w:line="261" w:lineRule="auto"/>
        <w:rPr>
          <w:sz w:val="20"/>
          <w:szCs w:val="20"/>
          <w:color w:val="auto"/>
        </w:rPr>
      </w:pPr>
      <w:r>
        <w:rPr>
          <w:rFonts w:ascii="Arial" w:cs="Arial" w:eastAsia="Arial" w:hAnsi="Arial"/>
          <w:sz w:val="17"/>
          <w:szCs w:val="17"/>
          <w:color w:val="auto"/>
        </w:rPr>
        <w:t>We own a number of patents, registered trademarks (including ZOOMINFO and DISCOVERORG, among others) and copyrights in the United States. We also have a portfolio of registered domain names (including zoominfo.com) for websites that we use in our business. In addition, we generally enter into confidentiality agreements and invention or work product assignment agreements with employees and contractors involved in the development of our proprietary intellectual property.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 effective.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corporate headquarters is located in Vancouver, Washington and consists of 57,576 square feet under a lease agreement that expires on August 31, 2025.</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maintain additional offices in the United States, including in Bethesda, Maryland and Waltham, Massachusetts, as well as in Israel.</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lease all of our facilities and do not own any real property. Our infrastructure operates out of third-party data centers hosted by Google and Amazon Web Services.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7"/>
          <w:szCs w:val="17"/>
          <w:b w:val="1"/>
          <w:bCs w:val="1"/>
          <w:color w:val="auto"/>
        </w:rPr>
        <w:t>MANAGEMENT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names, ages, and positions of the directors and executive officers of ZoomInfo Technologies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120" w:type="dxa"/>
            <w:vAlign w:val="bottom"/>
            <w:tcBorders>
              <w:bottom w:val="single" w:sz="8" w:color="CCEEFF"/>
            </w:tcBorders>
          </w:tcPr>
          <w:p>
            <w:pPr>
              <w:spacing w:after="0"/>
              <w:rPr>
                <w:sz w:val="16"/>
                <w:szCs w:val="16"/>
                <w:color w:val="auto"/>
              </w:rPr>
            </w:pPr>
          </w:p>
        </w:tc>
        <w:tc>
          <w:tcPr>
            <w:tcW w:w="656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218"/>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Henry Schuck</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37</w:t>
            </w:r>
          </w:p>
        </w:tc>
        <w:tc>
          <w:tcPr>
            <w:tcW w:w="120" w:type="dxa"/>
            <w:vAlign w:val="bottom"/>
            <w:shd w:val="clear" w:color="auto" w:fill="CCEEFF"/>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Executive Officer and Chairman of the Board of Directors</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Cameron Hyzer</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 Hays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Revenue Officer</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Nir Keren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35</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Todd Crockett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Mitesh Dhruv</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Keith Enright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45</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Ashley Evans</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Mark Mader</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8"/>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Patrick McCarter</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Jason Mironov</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37</w:t>
            </w:r>
          </w:p>
        </w:tc>
        <w:tc>
          <w:tcPr>
            <w:tcW w:w="12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7"/>
        </w:trPr>
        <w:tc>
          <w:tcPr>
            <w:tcW w:w="3900" w:type="dxa"/>
            <w:vAlign w:val="bottom"/>
            <w:gridSpan w:val="2"/>
          </w:tcPr>
          <w:p>
            <w:pPr>
              <w:ind w:left="20"/>
              <w:spacing w:after="0"/>
              <w:rPr>
                <w:sz w:val="20"/>
                <w:szCs w:val="20"/>
                <w:color w:val="auto"/>
              </w:rPr>
            </w:pPr>
            <w:r>
              <w:rPr>
                <w:rFonts w:ascii="Arial" w:cs="Arial" w:eastAsia="Arial" w:hAnsi="Arial"/>
                <w:sz w:val="17"/>
                <w:szCs w:val="17"/>
                <w:color w:val="auto"/>
              </w:rPr>
              <w:t>D. Randall Winn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120" w:type="dxa"/>
            <w:vAlign w:val="bottom"/>
          </w:tcPr>
          <w:p>
            <w:pPr>
              <w:spacing w:after="0"/>
              <w:rPr>
                <w:sz w:val="18"/>
                <w:szCs w:val="18"/>
                <w:color w:val="auto"/>
              </w:rPr>
            </w:pPr>
          </w:p>
        </w:tc>
        <w:tc>
          <w:tcPr>
            <w:tcW w:w="6560" w:type="dxa"/>
            <w:vAlign w:val="bottom"/>
          </w:tcPr>
          <w:p>
            <w:pPr>
              <w:ind w:left="20"/>
              <w:spacing w:after="0"/>
              <w:rPr>
                <w:sz w:val="20"/>
                <w:szCs w:val="20"/>
                <w:color w:val="auto"/>
              </w:rPr>
            </w:pPr>
            <w:r>
              <w:rPr>
                <w:rFonts w:ascii="Arial" w:cs="Arial" w:eastAsia="Arial" w:hAnsi="Arial"/>
                <w:sz w:val="17"/>
                <w:szCs w:val="17"/>
                <w:color w:val="auto"/>
              </w:rPr>
              <w:t>Director</w:t>
            </w:r>
          </w:p>
        </w:tc>
      </w:tr>
    </w:tbl>
    <w:p>
      <w:pPr>
        <w:spacing w:after="0" w:line="14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b w:val="1"/>
          <w:bCs w:val="1"/>
          <w:i w:val="1"/>
          <w:iCs w:val="1"/>
          <w:color w:val="auto"/>
        </w:rPr>
        <w:t xml:space="preserve">Henry Schuck </w:t>
      </w:r>
      <w:r>
        <w:rPr>
          <w:rFonts w:ascii="Arial" w:cs="Arial" w:eastAsia="Arial" w:hAnsi="Arial"/>
          <w:sz w:val="17"/>
          <w:szCs w:val="17"/>
          <w:color w:val="auto"/>
        </w:rPr>
        <w:t>has served as Chief Executive Officer and a director of ZoomInfo Holdings LLC (formerly known as DiscoverOrg Holdings, LLC)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founding it in 2007 and as Chief Executive Officer and a director of ZoomInfo Technologies Inc. since its formation in November 2019. Prior to founding ZoomInfo Holdings LLC, Mr. Schuck was VP of Research &amp; Marketing at iProfile, a sales intelligence firm focused on the IT market. Mr. Schuck is a </w:t>
      </w:r>
      <w:r>
        <w:rPr>
          <w:rFonts w:ascii="Arial" w:cs="Arial" w:eastAsia="Arial" w:hAnsi="Arial"/>
          <w:sz w:val="17"/>
          <w:szCs w:val="17"/>
          <w:i w:val="1"/>
          <w:iCs w:val="1"/>
          <w:color w:val="auto"/>
        </w:rPr>
        <w:t>cum laude</w:t>
      </w:r>
      <w:r>
        <w:rPr>
          <w:rFonts w:ascii="Arial" w:cs="Arial" w:eastAsia="Arial" w:hAnsi="Arial"/>
          <w:sz w:val="17"/>
          <w:szCs w:val="17"/>
          <w:color w:val="auto"/>
        </w:rPr>
        <w:t xml:space="preserve"> graduate of the University of Nevada, Las Vegas with a B.S. in Business Administration and a B.S. in Hospitality Management and holds a J.D., </w:t>
      </w:r>
      <w:r>
        <w:rPr>
          <w:rFonts w:ascii="Arial" w:cs="Arial" w:eastAsia="Arial" w:hAnsi="Arial"/>
          <w:sz w:val="17"/>
          <w:szCs w:val="17"/>
          <w:i w:val="1"/>
          <w:iCs w:val="1"/>
          <w:color w:val="auto"/>
        </w:rPr>
        <w:t>cum laude</w:t>
      </w:r>
      <w:r>
        <w:rPr>
          <w:rFonts w:ascii="Arial" w:cs="Arial" w:eastAsia="Arial" w:hAnsi="Arial"/>
          <w:sz w:val="17"/>
          <w:szCs w:val="17"/>
          <w:color w:val="auto"/>
        </w:rPr>
        <w:t>, from The Ohio State University Moritz College of Law.</w:t>
      </w:r>
    </w:p>
    <w:p>
      <w:pPr>
        <w:spacing w:after="0" w:line="130"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b w:val="1"/>
          <w:bCs w:val="1"/>
          <w:i w:val="1"/>
          <w:iCs w:val="1"/>
          <w:color w:val="auto"/>
        </w:rPr>
        <w:t xml:space="preserve">Cameron Hyzer </w:t>
      </w:r>
      <w:r>
        <w:rPr>
          <w:rFonts w:ascii="Arial" w:cs="Arial" w:eastAsia="Arial" w:hAnsi="Arial"/>
          <w:sz w:val="16"/>
          <w:szCs w:val="16"/>
          <w:color w:val="auto"/>
        </w:rPr>
        <w:t>has served as Chief Financial Officer of ZoomInfo Holdings LLC since 2018 and as Chief Financial Officer of ZoomInfo Technologies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its formation in November 2019. Prior to joining ZoomInfo Holdings LLC,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CFA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charterholder.</w:t>
      </w:r>
    </w:p>
    <w:p>
      <w:pPr>
        <w:spacing w:after="0" w:line="5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b w:val="1"/>
          <w:bCs w:val="1"/>
          <w:i w:val="1"/>
          <w:iCs w:val="1"/>
          <w:color w:val="auto"/>
        </w:rPr>
        <w:t xml:space="preserve">Chris Hays </w:t>
      </w:r>
      <w:r>
        <w:rPr>
          <w:rFonts w:ascii="Arial" w:cs="Arial" w:eastAsia="Arial" w:hAnsi="Arial"/>
          <w:sz w:val="16"/>
          <w:szCs w:val="16"/>
          <w:color w:val="auto"/>
        </w:rPr>
        <w:t>has served as Chief Revenue Officer of ZoomInfo Holdings LLC since February 2019 and as Chief Marketing Officer of ZoomInfo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since its formation in November 2019. From 2016 to 2019, Mr. Hays served as Senior Director of Sales &amp; Marketing Operations, VP of Sales Operations and Chief Operating Officer of ZoomInfo Holdings LLC.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b w:val="1"/>
          <w:bCs w:val="1"/>
          <w:i w:val="1"/>
          <w:iCs w:val="1"/>
          <w:color w:val="auto"/>
        </w:rPr>
        <w:t xml:space="preserve">Nir Keren </w:t>
      </w:r>
      <w:r>
        <w:rPr>
          <w:rFonts w:ascii="Arial" w:cs="Arial" w:eastAsia="Arial" w:hAnsi="Arial"/>
          <w:sz w:val="17"/>
          <w:szCs w:val="17"/>
          <w:color w:val="auto"/>
        </w:rPr>
        <w:t>has served as Chief Technology Officer of ZoomInfo Technologies Inc. since 2020, ZoomInfo Holdings LLC since 2019, and at Pre-Acquisition ZI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2015. Prior to joining Pre-Acquisition ZI, Mr. Keren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57" w:name="page158"/>
    <w:bookmarkEnd w:id="157"/>
    <w:p>
      <w:pPr>
        <w:jc w:val="both"/>
        <w:spacing w:after="0" w:line="261" w:lineRule="auto"/>
        <w:rPr>
          <w:sz w:val="20"/>
          <w:szCs w:val="20"/>
          <w:color w:val="auto"/>
        </w:rPr>
      </w:pPr>
      <w:r>
        <w:rPr>
          <w:rFonts w:ascii="Arial" w:cs="Arial" w:eastAsia="Arial" w:hAnsi="Arial"/>
          <w:sz w:val="17"/>
          <w:szCs w:val="17"/>
          <w:color w:val="auto"/>
        </w:rPr>
        <w:t>founded and 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b w:val="1"/>
          <w:bCs w:val="1"/>
          <w:i w:val="1"/>
          <w:iCs w:val="1"/>
          <w:color w:val="auto"/>
        </w:rPr>
        <w:t xml:space="preserve">Todd Crockett </w:t>
      </w:r>
      <w:r>
        <w:rPr>
          <w:rFonts w:ascii="Arial" w:cs="Arial" w:eastAsia="Arial" w:hAnsi="Arial"/>
          <w:sz w:val="16"/>
          <w:szCs w:val="16"/>
          <w:color w:val="auto"/>
        </w:rPr>
        <w:t>has served as a director of ZoomInfo Holdings LLC since 2014 and as a member of the board of directors of ZoomInfo Technologies Inc.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2020. Mr. Crockett currently serves as a Managing Director of TA Associates, a private equity firm and an affiliate of the Company, which he joined in 1994, and is a member of TA Associates’ Management Committee and Core Investment Committee. Mr. Crockett also currently serves on the boards of several private companies, including MAO Corporation, Orion Adviser Solutions, Procare Software, LLC, Russell Investments, and Wealth Enhancement Group. Mr. Crockett holds a B.A. from Princeton University and a MBA from Harvard Business School.</w:t>
      </w:r>
    </w:p>
    <w:p>
      <w:pPr>
        <w:spacing w:after="0" w:line="115" w:lineRule="exact"/>
        <w:rPr>
          <w:sz w:val="20"/>
          <w:szCs w:val="20"/>
          <w:color w:val="auto"/>
        </w:rPr>
      </w:pPr>
    </w:p>
    <w:p>
      <w:pPr>
        <w:jc w:val="both"/>
        <w:ind w:firstLine="309"/>
        <w:spacing w:after="0" w:line="282" w:lineRule="auto"/>
        <w:rPr>
          <w:sz w:val="20"/>
          <w:szCs w:val="20"/>
          <w:color w:val="auto"/>
        </w:rPr>
      </w:pPr>
      <w:r>
        <w:rPr>
          <w:rFonts w:ascii="Arial" w:cs="Arial" w:eastAsia="Arial" w:hAnsi="Arial"/>
          <w:sz w:val="16"/>
          <w:szCs w:val="16"/>
          <w:b w:val="1"/>
          <w:bCs w:val="1"/>
          <w:i w:val="1"/>
          <w:iCs w:val="1"/>
          <w:color w:val="auto"/>
        </w:rPr>
        <w:t xml:space="preserve">Mitesh Dhruv </w:t>
      </w:r>
      <w:r>
        <w:rPr>
          <w:rFonts w:ascii="Arial" w:cs="Arial" w:eastAsia="Arial" w:hAnsi="Arial"/>
          <w:sz w:val="16"/>
          <w:szCs w:val="16"/>
          <w:color w:val="auto"/>
        </w:rPr>
        <w:t>has served as a director of ZoomInfo Holdings LLC and as a member of the board of directors of ZoomInfo Technologies Inc.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Mr. Dhruv currently serves as Chief Financial Officer of RingCentral, Inc., a cloud-based communications and collaboration solutions provider. Prior to joining RingCentral, Inc. in 2012, Mr. Dhruv worked at Bank of America Merrill Lynch as an equity research analyst and at PricewaterhouseCoopers. Mr. Dhruv is a CPA, Chartered Accountant, and CFA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charterholder, and holds an undergraduate degree in accounting from the University of Mumbai, India.</w:t>
      </w:r>
    </w:p>
    <w:p>
      <w:pPr>
        <w:spacing w:after="0" w:line="4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b w:val="1"/>
          <w:bCs w:val="1"/>
          <w:i w:val="1"/>
          <w:iCs w:val="1"/>
          <w:color w:val="auto"/>
        </w:rPr>
        <w:t xml:space="preserve">Keith Enright </w:t>
      </w:r>
      <w:r>
        <w:rPr>
          <w:rFonts w:ascii="Arial" w:cs="Arial" w:eastAsia="Arial" w:hAnsi="Arial"/>
          <w:sz w:val="17"/>
          <w:szCs w:val="17"/>
          <w:color w:val="auto"/>
        </w:rPr>
        <w:t>has served as a director of ZoomInfo Holdings LLC and as a member of the board of directors of ZoomInfo Technologies Inc. since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Mr. Enright currently serves 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spacing w:after="0" w:line="130"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b w:val="1"/>
          <w:bCs w:val="1"/>
          <w:i w:val="1"/>
          <w:iCs w:val="1"/>
          <w:color w:val="auto"/>
        </w:rPr>
        <w:t xml:space="preserve">Ashley Evans </w:t>
      </w:r>
      <w:r>
        <w:rPr>
          <w:rFonts w:ascii="Arial" w:cs="Arial" w:eastAsia="Arial" w:hAnsi="Arial"/>
          <w:sz w:val="16"/>
          <w:szCs w:val="16"/>
          <w:color w:val="auto"/>
        </w:rPr>
        <w:t>has served as a director of ZoomInfo Holdings LLC since 2018 and as a member of the board of directors of ZoomInfo Technologies Inc.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2020. Ms. Evans is a Principal with the U.S. Buyout fund of The Carlyle Group, a private equity firm and an affiliate of the Company, which she joined in 2006. Ms. Evans also currently serves on the board of private companies, including HireVue, Inc. and Veritas Technologies Corporation. Ms. Evans holds an A.B. from Harvard College, a M.Phil from the University of Cambridge, and a MBA from Stanford University.</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b w:val="1"/>
          <w:bCs w:val="1"/>
          <w:i w:val="1"/>
          <w:iCs w:val="1"/>
          <w:color w:val="auto"/>
        </w:rPr>
        <w:t xml:space="preserve">Mark Mader </w:t>
      </w:r>
      <w:r>
        <w:rPr>
          <w:rFonts w:ascii="Arial" w:cs="Arial" w:eastAsia="Arial" w:hAnsi="Arial"/>
          <w:sz w:val="16"/>
          <w:szCs w:val="16"/>
          <w:color w:val="auto"/>
        </w:rPr>
        <w:t>has served as a director of ZoomInfo Holdings LLC and as a member of the board of directors of ZoomInfo Technologies Inc.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Mr. Mader currently serves as President, Chief Executive Officer and director of Smartsheet Inc., a SaaS collaboration and work management provider. Prior to joining Smartsheet Inc. in 2006, Mr. Mader served in 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spacing w:after="0" w:line="11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b w:val="1"/>
          <w:bCs w:val="1"/>
          <w:i w:val="1"/>
          <w:iCs w:val="1"/>
          <w:color w:val="auto"/>
        </w:rPr>
        <w:t xml:space="preserve">Patrick McCarter </w:t>
      </w:r>
      <w:r>
        <w:rPr>
          <w:rFonts w:ascii="Arial" w:cs="Arial" w:eastAsia="Arial" w:hAnsi="Arial"/>
          <w:sz w:val="17"/>
          <w:szCs w:val="17"/>
          <w:color w:val="auto"/>
        </w:rPr>
        <w:t>has served as a director of ZoomInfo Holdings LLC since 2018 and as a member of the board of directors of ZoomInfo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2020. Mr. McCarter currently serves as a Managing Director and the head of the Global Technology, Media and Telecommunications group for The Carlyle Group, a private equity firm and an affiliate of the Company, which he joined in 2001. Mr. McCarter serves as a director of CommScope Holding Company, Inc. In addition, Mr. McCarter currently serves on the board of several private companies, including HireVue, Inc., Veritas Technologies Corporation, and Ampere Computing. Mr. McCarter holds a B.S. in Industrial Engineering and Economics from Northwestern University and an MBA from Harvard Business School.</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b w:val="1"/>
          <w:bCs w:val="1"/>
          <w:i w:val="1"/>
          <w:iCs w:val="1"/>
          <w:color w:val="auto"/>
        </w:rPr>
        <w:t xml:space="preserve">Jason Mironov </w:t>
      </w:r>
      <w:r>
        <w:rPr>
          <w:rFonts w:ascii="Arial" w:cs="Arial" w:eastAsia="Arial" w:hAnsi="Arial"/>
          <w:sz w:val="17"/>
          <w:szCs w:val="17"/>
          <w:color w:val="auto"/>
        </w:rPr>
        <w:t>has served as a director of ZoomInfo Holdings LLC since 2014 and as a member of the board of directors of ZoomInfo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2020. Mr. Mironov currently serves as a Director at 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58" w:name="page159"/>
    <w:bookmarkEnd w:id="158"/>
    <w:p>
      <w:pPr>
        <w:jc w:val="both"/>
        <w:spacing w:after="0" w:line="266" w:lineRule="auto"/>
        <w:rPr>
          <w:sz w:val="20"/>
          <w:szCs w:val="20"/>
          <w:color w:val="auto"/>
        </w:rPr>
      </w:pPr>
      <w:r>
        <w:rPr>
          <w:rFonts w:ascii="Arial" w:cs="Arial" w:eastAsia="Arial" w:hAnsi="Arial"/>
          <w:sz w:val="17"/>
          <w:szCs w:val="17"/>
          <w:color w:val="auto"/>
        </w:rPr>
        <w:t>Associates, a private equity firm and an affiliate of the Company, which he joined in 2012. In addition, Mr. Mironov currently serves on the boards of several private companies, including Procare Software, LLC, and Conservice. Mr. Mironov holds a B.B.A. from the University of Michigan Ross School of Business and a MBA from Harvard Business School.</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b w:val="1"/>
          <w:bCs w:val="1"/>
          <w:i w:val="1"/>
          <w:iCs w:val="1"/>
          <w:color w:val="auto"/>
        </w:rPr>
        <w:t xml:space="preserve">D. Randall Winn </w:t>
      </w:r>
      <w:r>
        <w:rPr>
          <w:rFonts w:ascii="Arial" w:cs="Arial" w:eastAsia="Arial" w:hAnsi="Arial"/>
          <w:sz w:val="17"/>
          <w:szCs w:val="17"/>
          <w:color w:val="auto"/>
        </w:rPr>
        <w:t>has served as a director of ZoomInfo Holdings LLC since 2014 and as a member of the board of directors of ZoomInfo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2020. Mr. Winn currently serves as a Managing Member of 22C Capital, a principal investment firm and an affiliate of the Company, which he founded in 2017. In addition to serving on our board, Mr. Winn currently serves on the boards of private companies, including Definitive Healthcare and Canoe Software.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Our business and affairs are managed under the direction of our board of directors. Our board of directors consists of nine directors, of whom Messrs. Dhruv, Enright, Mader, and Winn are independent, including for purposes of committee service. The authorized number of directors may be changed by resolution of our board of directors, subject to the terms of the stockholders agreement described in “Certain Relationships and Related Person Transactions—Stockholders Agreement.” In connection with the IPO, we amended and restated our certificate of incorporation to provide for a classified board of directors consisting of three classes of directors, each serving staggered three-year terms, as follows:</w:t>
      </w:r>
    </w:p>
    <w:p>
      <w:pPr>
        <w:spacing w:after="0" w:line="130" w:lineRule="exact"/>
        <w:rPr>
          <w:sz w:val="20"/>
          <w:szCs w:val="20"/>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Our Class I directors are Messrs. Dhruv, Enright, and Schuck with their terms expiring at the first annual meeting of stockholders following the date of this prospectus.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Our Class II directors are Messrs. Mader, McCarter, and Mironov with their terms expiring at the second annual meeting of stockholders following the date of this prospectus.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Our Class III directors are Mr. Crockett, Ms. Evans, and Mr. Winn with their terms expiring at the third annual meeting of stockholders following the date of this prospectus.</w:t>
      </w:r>
    </w:p>
    <w:p>
      <w:pPr>
        <w:spacing w:after="0" w:line="11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Vacancies on our board of directors can be filled by resolution of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Effects of Our Amended and Restated Certificate of Incorporation and Amended and Restated Bylaws and Certain Provisions of Delaware Law—Classified Board of Directors.”</w:t>
      </w:r>
    </w:p>
    <w:p>
      <w:pPr>
        <w:spacing w:after="0" w:line="10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addition, we entered into a stockholders agreement with certain affiliates of TA Associates, Carlyle, and our Founders in connection with the IPO. This agreement granted certain affiliates of TA Associates, Carlyle, and our Founders the right to designate nominees to our board of directors subject to the maintenance of certain ownership requirements in us. Ms. Evans and Mr. McCarter are director nominees of Carlyle, Messrs. Crockett and Mironov are director nominees of TA Associates, and Mr. Schuck is a director nominee of the Founders, in each case pursuant to the stockholders agreement entered into among us and certain affiliates of TA Associates, Carlyle, and our Founders in connection with the IPO. The stockholders agreement provides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59" w:name="page160"/>
    <w:bookmarkEnd w:id="159"/>
    <w:p>
      <w:pPr>
        <w:ind w:right="220"/>
        <w:spacing w:after="0" w:line="442" w:lineRule="auto"/>
        <w:rPr>
          <w:sz w:val="20"/>
          <w:szCs w:val="20"/>
          <w:color w:val="auto"/>
        </w:rPr>
      </w:pPr>
      <w:r>
        <w:rPr>
          <w:rFonts w:ascii="Arial" w:cs="Arial" w:eastAsia="Arial" w:hAnsi="Arial"/>
          <w:sz w:val="17"/>
          <w:szCs w:val="17"/>
          <w:color w:val="auto"/>
        </w:rPr>
        <w:t xml:space="preserve">accordingly decreased upon the resignation of the applicable designee. See “Certain Relationships and Related Person Transactions—Stockholders Agreement.” </w:t>
      </w:r>
      <w:r>
        <w:rPr>
          <w:rFonts w:ascii="Arial" w:cs="Arial" w:eastAsia="Arial" w:hAnsi="Arial"/>
          <w:sz w:val="17"/>
          <w:szCs w:val="17"/>
          <w:b w:val="1"/>
          <w:bCs w:val="1"/>
          <w:color w:val="auto"/>
        </w:rPr>
        <w:t>Background and Experience of Directors</w:t>
      </w:r>
    </w:p>
    <w:p>
      <w:pPr>
        <w:spacing w:after="0" w:line="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130" w:lineRule="exact"/>
        <w:rPr>
          <w:sz w:val="20"/>
          <w:szCs w:val="20"/>
          <w:color w:val="auto"/>
        </w:rPr>
      </w:pPr>
    </w:p>
    <w:p>
      <w:pPr>
        <w:ind w:left="620" w:hanging="308"/>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Mr. Schuck – our board of directors considered Mr. Schuck’s perspective and the experience he brings as our co-founder and CEO.</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Mr. Crockett – our board of directors considered Mr. Crockett’s extensive core business and leadership skills, including financial and strategic planning, and his significant management experience, including his involvement with TA Associates.</w:t>
      </w:r>
    </w:p>
    <w:p>
      <w:pPr>
        <w:spacing w:after="0" w:line="112"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Mr. Dhruv – our board of directors considered Mr. Dhruv’s extensive financial and accounting experience, including as the Chief Financial Officer of RingCentral and his accounting and financial certifications, his knowledge and experience in our industry and with SaaS companies, and his experience in management of a public company.</w:t>
      </w:r>
    </w:p>
    <w:p>
      <w:pPr>
        <w:spacing w:after="0" w:line="12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Mr. Enright – our board of directors considered Mr. Enright’s extensive experience with data privacy, including as Chief Privacy Officer for Google LLC, and his significant core business skills.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Ms. Evans – our board of directors considered Ms. Evans’ significant core business skills, including financial and strategic planning, and her extensive management experience, including her involvement with Carlyle.</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Mr. McCarter – our board of directors considered Mr. McCarter’s extensive core business skills, including financial and strategic planning, and many years of management experience at portfolio companies through his involvement with Carlyle.</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Mr. Mironov – our board of directors considered Mr. Mironov’s extensive core business skills, including financial and strategic planning, and his extensive management experience with financial services and technology companies, including his involvement with TA Associates.</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Mr. Mader – our board of directors considered Mr. Mader’s extensive knowledge and experience in our industry and with SaaS companies, and his experience leading a public company as President, Chief Executive Officer and Director of Smartsheet.</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Mr. Winn – our board of directors considered Mr. Winn’s deep knowledge of our industry, extensive financial and business skills, including strategic planning, and his significant management and leadership experience, including with CapitalIQ.</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Exception</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After the completion of this offering, the parties to our stockholders agreement, described in “Certain Relationships and Related Person Transactions— Stockholders Agreement,” will beneficially own approximately 88.7% of the combined voting power of our Class A, Class B, and Class C common stock (or 88.6% if the underwriters exercise in full their option to purchase additional shares of Class A common stock). As a result, we will continue to be a “controlled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our board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60" w:name="page161"/>
    <w:bookmarkEnd w:id="160"/>
    <w:p>
      <w:pPr>
        <w:jc w:val="both"/>
        <w:spacing w:after="0" w:line="277" w:lineRule="auto"/>
        <w:rPr>
          <w:sz w:val="20"/>
          <w:szCs w:val="20"/>
          <w:color w:val="auto"/>
        </w:rPr>
      </w:pPr>
      <w:r>
        <w:rPr>
          <w:rFonts w:ascii="Arial" w:cs="Arial" w:eastAsia="Arial" w:hAnsi="Arial"/>
          <w:sz w:val="16"/>
          <w:szCs w:val="16"/>
          <w:color w:val="auto"/>
        </w:rPr>
        <w:t>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Accordingly, you will not have the same protections afforded to stockholders of companies that are subject to these corporate governance requirements. In the event that we cease to be a “controlled company” and our shares continue to be listed on the Nasdaq, we will be required to comply with these provisions within the applicable transition periods.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71"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Our board of directors has established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Each of TA Associates and Carlyle has the right to designate certain members of the committees so long as it has the right to designate at least one director pursuant to the stockholders agreement, subject to certain exceptions. See “Certain Relationships and Related Person Transactions—Stockholders Agreement.”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audit committee consists of Messrs. Dhruv, Mader, and Winn, with Mr. Dhruv serving as chair. Our audit committee is responsible for, among other things:</w:t>
      </w:r>
    </w:p>
    <w:p>
      <w:pPr>
        <w:spacing w:after="0" w:line="112" w:lineRule="exact"/>
        <w:rPr>
          <w:sz w:val="20"/>
          <w:szCs w:val="20"/>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selecting and hiring our independent auditors and approving the audit and non-audit services to be performed by our independent auditors;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assisting the board of directors in evaluating the qualifications, performance, and independence of our independent auditors;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assisting the board of directors in monitoring the quality and integrity of our financial statements and our accounting and financial reporting;</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assisting the board of directors in monitoring our compliance with legal and regulatory requirements;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reviewing the adequacy and effectiveness of our internal control over financial reporting processes;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assisting the board of directors in monitoring the performance of our internal audit function;</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reviewing with management and our independent auditors our annual and quarterly financial statements;</w:t>
      </w:r>
    </w:p>
    <w:p>
      <w:pPr>
        <w:spacing w:after="0" w:line="165" w:lineRule="exact"/>
        <w:rPr>
          <w:rFonts w:ascii="Arial" w:cs="Arial" w:eastAsia="Arial" w:hAnsi="Arial"/>
          <w:sz w:val="17"/>
          <w:szCs w:val="17"/>
          <w:color w:val="auto"/>
        </w:rPr>
      </w:pPr>
    </w:p>
    <w:p>
      <w:pPr>
        <w:ind w:left="620" w:hanging="308"/>
        <w:spacing w:after="0" w:line="348" w:lineRule="auto"/>
        <w:tabs>
          <w:tab w:leader="none" w:pos="616" w:val="left"/>
        </w:tabs>
        <w:numPr>
          <w:ilvl w:val="0"/>
          <w:numId w:val="114"/>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66" w:lineRule="exact"/>
        <w:rPr>
          <w:rFonts w:ascii="Arial" w:cs="Arial" w:eastAsia="Arial" w:hAnsi="Arial"/>
          <w:sz w:val="15"/>
          <w:szCs w:val="15"/>
          <w:color w:val="auto"/>
        </w:rPr>
      </w:pPr>
    </w:p>
    <w:p>
      <w:pPr>
        <w:ind w:left="620" w:hanging="308"/>
        <w:spacing w:after="0"/>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preparing the audit committee report that the rules and regulations of the SEC require to be included in our annual proxy statement.</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SEC rules and the Nasdaq rules require us to have one independent audit committee member upon the listing of our Class A common stock on the Nasdaq, a majority of independent directors within 90 days of the effective date of the registration statement, and all independent audit committee members within one year of the effective date of the registration statement. Messrs. Dhruv, Mader, and Winn qualify as independent directors under the Nasdaq listing standards and the independence standards of Rule 10A-3 of the Exchange Act.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Our compensation committee consists of Messrs. Crockett, McCarter and Winn, with Mr. Winn serving as chair. Our compensation committee is responsible for, among other things:</w:t>
      </w:r>
    </w:p>
    <w:p>
      <w:pPr>
        <w:spacing w:after="0" w:line="112" w:lineRule="exact"/>
        <w:rPr>
          <w:sz w:val="20"/>
          <w:szCs w:val="20"/>
          <w:color w:val="auto"/>
        </w:rPr>
      </w:pPr>
    </w:p>
    <w:p>
      <w:pPr>
        <w:jc w:val="both"/>
        <w:ind w:left="620" w:hanging="308"/>
        <w:spacing w:after="0" w:line="290" w:lineRule="auto"/>
        <w:tabs>
          <w:tab w:leader="none" w:pos="61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05"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reviewing and recommending the compensation of our directors;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reviewing and discussing with management our “Compensation Discussion and Analysis” disclosure when such disclosure is required by SEC rules;</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preparing the compensation committee report to be included in our annual proxy statement when such report is required by SEC rules;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reviewing and making recommendations with respect to our equity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Our nominating and corporate governance committee consists of Mr. Crockett and Ms. Evans, with Ms. Evans serving as chair. The nominating and corporate governance committee is responsible for, among other things:</w:t>
      </w:r>
    </w:p>
    <w:p>
      <w:pPr>
        <w:spacing w:after="0" w:line="112" w:lineRule="exact"/>
        <w:rPr>
          <w:sz w:val="20"/>
          <w:szCs w:val="20"/>
          <w:color w:val="auto"/>
        </w:rPr>
      </w:pPr>
    </w:p>
    <w:p>
      <w:pPr>
        <w:ind w:left="620" w:hanging="308"/>
        <w:spacing w:after="0"/>
        <w:tabs>
          <w:tab w:leader="none" w:pos="6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assisting our board of directors in identifying prospective director nominees and recommending nominees to the board of directors;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overseeing the evaluation of the board of directors and management;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reviewing developments in corporate governance practices and developing and recommending a set of corporate governance guidelines; and</w:t>
      </w:r>
    </w:p>
    <w:p>
      <w:pPr>
        <w:spacing w:after="0" w:line="176" w:lineRule="exact"/>
        <w:rPr>
          <w:rFonts w:ascii="Arial" w:cs="Arial" w:eastAsia="Arial" w:hAnsi="Arial"/>
          <w:sz w:val="16"/>
          <w:szCs w:val="16"/>
          <w:color w:val="auto"/>
        </w:rPr>
      </w:pPr>
    </w:p>
    <w:p>
      <w:pPr>
        <w:ind w:left="620" w:hanging="308"/>
        <w:spacing w:after="0"/>
        <w:tabs>
          <w:tab w:leader="none" w:pos="6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recommending members for each committee of our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prospectus by reference or otherwise.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following table provides summary information concerning compensation awarded to, earned by, or paid to our principal executive officer and our two other most highly compensated executive officers as of December 31, 2019 (our “named executive officers” or “NEOs”) for services rendered for the fiscal years indicated below. These individuals are referred to as our named executive officers.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Stock Awards</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Non-Equity Incentive</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All 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1"/>
                <w:szCs w:val="11"/>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1"/>
                <w:szCs w:val="11"/>
                <w:color w:val="auto"/>
              </w:rPr>
            </w:pP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17"/>
                <w:szCs w:val="17"/>
                <w:b w:val="1"/>
                <w:bCs w:val="1"/>
                <w:color w:val="auto"/>
                <w:vertAlign w:val="superscript"/>
              </w:rPr>
              <w:t>(1)</w:t>
            </w:r>
          </w:p>
        </w:tc>
        <w:tc>
          <w:tcPr>
            <w:tcW w:w="100" w:type="dxa"/>
            <w:vAlign w:val="bottom"/>
            <w:vMerge w:val="restart"/>
          </w:tcPr>
          <w:p>
            <w:pPr>
              <w:spacing w:after="0"/>
              <w:rPr>
                <w:sz w:val="11"/>
                <w:szCs w:val="11"/>
                <w:color w:val="auto"/>
              </w:rPr>
            </w:pP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7"/>
                <w:szCs w:val="17"/>
                <w:b w:val="1"/>
                <w:bCs w:val="1"/>
                <w:color w:val="auto"/>
                <w:vertAlign w:val="superscript"/>
              </w:rPr>
              <w:t>(2)</w:t>
            </w:r>
          </w:p>
        </w:tc>
        <w:tc>
          <w:tcPr>
            <w:tcW w:w="100" w:type="dxa"/>
            <w:vAlign w:val="bottom"/>
            <w:vMerge w:val="restart"/>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Plan Compensation ($)</w:t>
            </w:r>
          </w:p>
        </w:tc>
        <w:tc>
          <w:tcPr>
            <w:tcW w:w="1540" w:type="dxa"/>
            <w:vAlign w:val="bottom"/>
            <w:gridSpan w:val="2"/>
            <w:vMerge w:val="continue"/>
          </w:tcPr>
          <w:p>
            <w:pPr>
              <w:spacing w:after="0"/>
              <w:rPr>
                <w:sz w:val="11"/>
                <w:szCs w:val="11"/>
                <w:color w:val="auto"/>
              </w:rPr>
            </w:pPr>
          </w:p>
        </w:tc>
        <w:tc>
          <w:tcPr>
            <w:tcW w:w="9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9"/>
        </w:trPr>
        <w:tc>
          <w:tcPr>
            <w:tcW w:w="29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4"/>
                <w:szCs w:val="14"/>
                <w:b w:val="1"/>
                <w:bCs w:val="1"/>
                <w:color w:val="auto"/>
                <w:vertAlign w:val="superscript"/>
              </w:rPr>
              <w:t>(3)</w:t>
            </w: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(4)</w:t>
            </w:r>
          </w:p>
        </w:tc>
        <w:tc>
          <w:tcPr>
            <w:tcW w:w="10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1"/>
                <w:szCs w:val="11"/>
                <w:b w:val="1"/>
                <w:bCs w:val="1"/>
                <w:color w:val="auto"/>
              </w:rPr>
              <w:t>Compensation ($)</w:t>
            </w:r>
            <w:r>
              <w:rPr>
                <w:rFonts w:ascii="Arial" w:cs="Arial" w:eastAsia="Arial" w:hAnsi="Arial"/>
                <w:sz w:val="14"/>
                <w:szCs w:val="14"/>
                <w:b w:val="1"/>
                <w:bCs w:val="1"/>
                <w:color w:val="auto"/>
                <w:vertAlign w:val="superscript"/>
              </w:rPr>
              <w:t>(5)</w:t>
            </w: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60" w:type="dxa"/>
            <w:vAlign w:val="bottom"/>
            <w:shd w:val="clear" w:color="auto" w:fill="CCEEFF"/>
          </w:tcPr>
          <w:p>
            <w:pPr>
              <w:ind w:left="120"/>
              <w:spacing w:after="0" w:line="122" w:lineRule="exact"/>
              <w:rPr>
                <w:sz w:val="20"/>
                <w:szCs w:val="20"/>
                <w:color w:val="auto"/>
              </w:rPr>
            </w:pPr>
            <w:r>
              <w:rPr>
                <w:rFonts w:ascii="Arial" w:cs="Arial" w:eastAsia="Arial" w:hAnsi="Arial"/>
                <w:sz w:val="14"/>
                <w:szCs w:val="14"/>
                <w:color w:val="auto"/>
              </w:rPr>
              <w:t>Henry Schuck</w:t>
            </w: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371,539</w:t>
            </w:r>
          </w:p>
        </w:tc>
        <w:tc>
          <w:tcPr>
            <w:tcW w:w="10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350,000</w:t>
            </w:r>
          </w:p>
        </w:tc>
        <w:tc>
          <w:tcPr>
            <w:tcW w:w="10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3,780,583</w:t>
            </w:r>
          </w:p>
        </w:tc>
        <w:tc>
          <w:tcPr>
            <w:tcW w:w="80" w:type="dxa"/>
            <w:vAlign w:val="bottom"/>
            <w:shd w:val="clear" w:color="auto" w:fill="CCEEFF"/>
          </w:tcPr>
          <w:p>
            <w:pPr>
              <w:spacing w:after="0"/>
              <w:rPr>
                <w:sz w:val="10"/>
                <w:szCs w:val="10"/>
                <w:color w:val="auto"/>
              </w:rPr>
            </w:pPr>
          </w:p>
        </w:tc>
        <w:tc>
          <w:tcPr>
            <w:tcW w:w="1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3"/>
              </w:rPr>
              <w:t>65,880</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4,568,002</w:t>
            </w:r>
          </w:p>
        </w:tc>
        <w:tc>
          <w:tcPr>
            <w:tcW w:w="0" w:type="dxa"/>
            <w:vAlign w:val="bottom"/>
          </w:tcPr>
          <w:p>
            <w:pPr>
              <w:spacing w:after="0"/>
              <w:rPr>
                <w:sz w:val="1"/>
                <w:szCs w:val="1"/>
                <w:color w:val="auto"/>
              </w:rPr>
            </w:pPr>
          </w:p>
        </w:tc>
      </w:tr>
      <w:tr>
        <w:trPr>
          <w:trHeight w:val="174"/>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Chief Executive Officer</w:t>
            </w: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350,000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175,000</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5,775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530,775</w:t>
            </w:r>
          </w:p>
        </w:tc>
        <w:tc>
          <w:tcPr>
            <w:tcW w:w="0" w:type="dxa"/>
            <w:vAlign w:val="bottom"/>
          </w:tcPr>
          <w:p>
            <w:pPr>
              <w:spacing w:after="0"/>
              <w:rPr>
                <w:sz w:val="1"/>
                <w:szCs w:val="1"/>
                <w:color w:val="auto"/>
              </w:rPr>
            </w:pPr>
          </w:p>
        </w:tc>
      </w:tr>
      <w:tr>
        <w:trPr>
          <w:trHeight w:val="129"/>
        </w:trPr>
        <w:tc>
          <w:tcPr>
            <w:tcW w:w="2960" w:type="dxa"/>
            <w:vAlign w:val="bottom"/>
          </w:tcPr>
          <w:p>
            <w:pPr>
              <w:ind w:left="120"/>
              <w:spacing w:after="0" w:line="129" w:lineRule="exact"/>
              <w:rPr>
                <w:sz w:val="20"/>
                <w:szCs w:val="20"/>
                <w:color w:val="auto"/>
              </w:rPr>
            </w:pPr>
            <w:r>
              <w:rPr>
                <w:rFonts w:ascii="Arial" w:cs="Arial" w:eastAsia="Arial" w:hAnsi="Arial"/>
                <w:sz w:val="14"/>
                <w:szCs w:val="14"/>
                <w:color w:val="auto"/>
              </w:rPr>
              <w:t>Cameron Hyzer</w:t>
            </w:r>
          </w:p>
        </w:tc>
        <w:tc>
          <w:tcPr>
            <w:tcW w:w="680" w:type="dxa"/>
            <w:vAlign w:val="bottom"/>
            <w:gridSpan w:val="2"/>
            <w:vMerge w:val="restart"/>
          </w:tcPr>
          <w:p>
            <w:pPr>
              <w:ind w:left="24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86"/>
              </w:rPr>
              <w:t>402,885</w:t>
            </w:r>
          </w:p>
        </w:tc>
        <w:tc>
          <w:tcPr>
            <w:tcW w:w="10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8"/>
              </w:rPr>
              <w:t>43,750</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0"/>
              </w:rPr>
              <w:t>600,000</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83"/>
              </w:rPr>
              <w:t>12,600</w:t>
            </w:r>
          </w:p>
        </w:tc>
        <w:tc>
          <w:tcPr>
            <w:tcW w:w="1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w w:val="86"/>
              </w:rPr>
              <w:t>1,059,235</w:t>
            </w:r>
          </w:p>
        </w:tc>
        <w:tc>
          <w:tcPr>
            <w:tcW w:w="0" w:type="dxa"/>
            <w:vAlign w:val="bottom"/>
          </w:tcPr>
          <w:p>
            <w:pPr>
              <w:spacing w:after="0"/>
              <w:rPr>
                <w:sz w:val="1"/>
                <w:szCs w:val="1"/>
                <w:color w:val="auto"/>
              </w:rPr>
            </w:pPr>
          </w:p>
        </w:tc>
      </w:tr>
      <w:tr>
        <w:trPr>
          <w:trHeight w:val="174"/>
        </w:trPr>
        <w:tc>
          <w:tcPr>
            <w:tcW w:w="2960" w:type="dxa"/>
            <w:vAlign w:val="bottom"/>
          </w:tcPr>
          <w:p>
            <w:pPr>
              <w:ind w:left="32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60" w:type="dxa"/>
            <w:vAlign w:val="bottom"/>
          </w:tcPr>
          <w:p>
            <w:pPr>
              <w:spacing w:after="0"/>
              <w:rPr>
                <w:sz w:val="15"/>
                <w:szCs w:val="15"/>
                <w:color w:val="auto"/>
              </w:rPr>
            </w:pP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8"/>
              </w:rPr>
              <w:t>50,000</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3,436,894</w:t>
            </w:r>
          </w:p>
        </w:tc>
        <w:tc>
          <w:tcPr>
            <w:tcW w:w="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3"/>
              </w:rPr>
              <w:t>43,000</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6"/>
              </w:rPr>
              <w:t>3,529,894</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Chris Hays</w:t>
            </w: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362,901</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112,500</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3,958,003</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1,000,000</w:t>
            </w:r>
          </w:p>
        </w:tc>
        <w:tc>
          <w:tcPr>
            <w:tcW w:w="10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1,973</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6"/>
              </w:rPr>
              <w:t>5,435,377</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i w:val="1"/>
                <w:iCs w:val="1"/>
                <w:color w:val="auto"/>
              </w:rPr>
              <w:t>Chief Revenue Officer</w:t>
            </w: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6"/>
              </w:rPr>
              <w:t>197,705</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1,307,937</w:t>
            </w: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60,000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2,603</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6"/>
              </w:rPr>
              <w:t>1,568,245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7138670" cy="3105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8670" cy="310515"/>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4"/>
          <w:szCs w:val="14"/>
          <w:color w:val="auto"/>
        </w:rPr>
        <w:t>________________</w:t>
      </w:r>
    </w:p>
    <w:p>
      <w:pPr>
        <w:jc w:val="both"/>
        <w:ind w:left="320" w:hanging="317"/>
        <w:spacing w:after="0" w:line="230" w:lineRule="auto"/>
        <w:tabs>
          <w:tab w:leader="none" w:pos="313"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 In the case of Mr. Schuck, the amount reported for 2019 includes $21,539 paid in lieu of accrued but unused vacation. In the case of Mr. Hays, the amount reported for 2019 represents an increase in base salary from $305,000 to $360,000, effective May 2019, and the amounts reported for 2018 and 2019 include $11,595 and $27,693 paid in lieu of accrued but unused vacation, respectively. Mr. Hyzer commenced employment as our Chief Financial Officer on November 12, 2018, and the amount reported in this column for Mr. Hyzer for 2018 reflects the portion of his annual base salary earned in 2018 from such date. For Mr. Hyzer, the amount reported for 2019 includes $2,885 paid in lieu of accrued but unused vacation.</w:t>
      </w:r>
    </w:p>
    <w:p>
      <w:pPr>
        <w:spacing w:after="0" w:line="1" w:lineRule="exact"/>
        <w:rPr>
          <w:rFonts w:ascii="Arial" w:cs="Arial" w:eastAsia="Arial" w:hAnsi="Arial"/>
          <w:sz w:val="14"/>
          <w:szCs w:val="14"/>
          <w:color w:val="auto"/>
        </w:rPr>
      </w:pPr>
    </w:p>
    <w:p>
      <w:pPr>
        <w:jc w:val="both"/>
        <w:ind w:left="320" w:hanging="317"/>
        <w:spacing w:after="0" w:line="248" w:lineRule="auto"/>
        <w:tabs>
          <w:tab w:leader="none" w:pos="31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amount reported for 2019 for Mr. Hyzer represents the guaranteed bonus to which he was entitled under his employment agreement. For a description of the terms of Mr. Hyzer’s employment agreement, see “—Narrative Disclosure to Summary Compensation Table—Employment Agreements.” The amount reported for Mr. Hays represents a special discretionary bonus paid to him in 2019. See “—Narrative Disclosure to Summary Compensation Table—Special Bonus.” The amounts reported for Mr. Schuck represent his annual discretionary bonus paid to him in 2018 and 2019. See “—Narrative Disclosure to Summary Compensation Table—Annual Bonus/Non-Equity Incentive Plan Compensation—Annual Bonus—Mr. Schuck.”</w:t>
      </w:r>
    </w:p>
    <w:p>
      <w:pPr>
        <w:jc w:val="both"/>
        <w:ind w:left="320" w:hanging="317"/>
        <w:spacing w:after="0" w:line="230" w:lineRule="auto"/>
        <w:tabs>
          <w:tab w:leader="none" w:pos="313"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amounts reported for 2019 represent the aggregate grant date fair value of the Class P Units awarded to Messrs. Schuck and Hays, the aggregate grant date fair value of the common units of HSKB Funds, LLC awarded to Mr. Hays (the “HSKB Units”) and the aggregate grant date fair value of the HSKB Phantom Units, each representing the economic value of one common unit of ZoomInfo OpCo, awarded to Mr. Hays (the “HSKB Phantom Units”), each calculated in accordance with FASB ASC Topic 718, Compensation—Stock Compensation (“ASC Topic 718”). The assumptions used in calculating the grant date fair value of these Class P Units, HSKB Units and HSKB Phantom Units reported in this column are set forth in Note 15 - Equity-Based Compensation to our audited consolidated financial statements included elsewhere in this prospectus.</w:t>
      </w:r>
    </w:p>
    <w:p>
      <w:pPr>
        <w:spacing w:after="0" w:line="1" w:lineRule="exact"/>
        <w:rPr>
          <w:rFonts w:ascii="Arial" w:cs="Arial" w:eastAsia="Arial" w:hAnsi="Arial"/>
          <w:sz w:val="14"/>
          <w:szCs w:val="14"/>
          <w:color w:val="auto"/>
        </w:rPr>
      </w:pPr>
    </w:p>
    <w:p>
      <w:pPr>
        <w:jc w:val="both"/>
        <w:ind w:left="320"/>
        <w:spacing w:after="0" w:line="248" w:lineRule="auto"/>
        <w:rPr>
          <w:rFonts w:ascii="Arial" w:cs="Arial" w:eastAsia="Arial" w:hAnsi="Arial"/>
          <w:sz w:val="14"/>
          <w:szCs w:val="14"/>
          <w:color w:val="auto"/>
        </w:rPr>
      </w:pPr>
      <w:r>
        <w:rPr>
          <w:rFonts w:ascii="Arial" w:cs="Arial" w:eastAsia="Arial" w:hAnsi="Arial"/>
          <w:sz w:val="13"/>
          <w:szCs w:val="13"/>
          <w:color w:val="auto"/>
        </w:rPr>
        <w:t>The grant date fair values of the HSKB Units and the HSKB Phantom Units were computed based upon the probable outcomes of the performance conditions as of the grant dates in accordance with ASC Topic 718 as non-employee awards. Achievement of the performance conditions for the HSKB Units and HSKB Phantom Units granted to Mr. Hays in 2019 was not deemed probable on the grant date and, accordingly, no value is included in the table for these awards pursuant to the SEC’s disclosure rules. Assuming achievement of the performance conditions, the grant date fair values of the HSKB Units and HSKB Phantom Units that were granted in to Mr. Hays in 2019 were $835,144 and $323,100, respectively.</w:t>
      </w:r>
    </w:p>
    <w:p>
      <w:pPr>
        <w:jc w:val="both"/>
        <w:ind w:left="320"/>
        <w:spacing w:after="0" w:line="248" w:lineRule="auto"/>
        <w:rPr>
          <w:rFonts w:ascii="Arial" w:cs="Arial" w:eastAsia="Arial" w:hAnsi="Arial"/>
          <w:sz w:val="14"/>
          <w:szCs w:val="14"/>
          <w:color w:val="auto"/>
        </w:rPr>
      </w:pPr>
      <w:r>
        <w:rPr>
          <w:rFonts w:ascii="Arial" w:cs="Arial" w:eastAsia="Arial" w:hAnsi="Arial"/>
          <w:sz w:val="13"/>
          <w:szCs w:val="13"/>
          <w:color w:val="auto"/>
        </w:rPr>
        <w:t>The amounts reported for 2018 represent the aggregate grant date fair value of the Class P Units awarded to Messrs. Hyzer and Hays calculated in accordance with ASC Topic 718 and the aggregate estimated fair value of the HSKB Units awarded to Mr. Hays calculated in accordance with FASB ASC Topic 505-50, Equity-Based Payments to Non-Employees (“ASC Topic 505”). In 2019, the HSKB Units and the HSKB Phantom Units are accounted for under ASC Topic 718 as non-employee awards. The assumptions used in calculating the grant date fair value of these Class P Units and the estimated fair value of these HSKB Units reported in this column are set forth in Note 15 - Equity-Based Compensation to our audited consolidated financial statements included elsewhere in this prospectus. The estimated fair value of the HSKB Units was computed based upon the probable outcome of the performance conditions as of the grant date. Achievement of the performance conditions for the HSKB Units granted to Mr. Hays in 2018 was not deemed probable on the grant date and, accordingly, no value is included in the table for these awards pursuant to the SEC’s disclosure rules. Assuming achievement of the performance conditions, the estimated fair value of the HSKB Units that were granted to Mr. Hays in 2018 was $713,044. In addition, the amount reported for 2018 for Mr. Hays includes the incremental fair value of $746,812 associated with the special cash distribution with respect to his outstanding HSKB Units. As described in “Narrative Disclosure to Summary Compensation Table—Equity Awards—Special Distribution on HSKB Units,” this distribution is accounted for as a modification to the HSKB Units with incremental fair value equal to the amount of the distribution.</w:t>
      </w:r>
    </w:p>
    <w:p>
      <w:pPr>
        <w:ind w:left="320" w:hanging="317"/>
        <w:spacing w:after="0" w:line="236" w:lineRule="auto"/>
        <w:tabs>
          <w:tab w:leader="none" w:pos="313"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amounts reported represent the dollar value of the annual cash incentive award earned by Messrs. Hyzer and Hays for 2018 and 2019. See “—Narrative Disclosure to Summary Compensation Table—Annual Bonus/Non-Equity Incentive Plan Compensation.”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63" w:name="page164"/>
    <w:bookmarkEnd w:id="163"/>
    <w:p>
      <w:pPr>
        <w:jc w:val="both"/>
        <w:ind w:left="320" w:hanging="317"/>
        <w:spacing w:after="0" w:line="236" w:lineRule="auto"/>
        <w:tabs>
          <w:tab w:leader="none" w:pos="313"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amounts reported for 2019 represent our 401(k) Plan (as defined below) matching contributions on behalf of our NEOs in the following amounts: Mr. Schuck, $5,880; Mr. Hyzer, $2,100; and Mr. Hays, $1,973. The amount reported for Mr. Schuck for 2019 also includes a temporary housing allowance of $60,000. The amounts reported for Mr. Hyzer for 2018 and 2019 also include a temporary housing and commuting allowance in the amounts of $3,000 and $10,500, respectively. The amount reported for Mr. Hyzer for 2018 also includes reimbursement of $40,000 for his relocation expenses. The amounts reported for 2018 represent our 401(k) Plan matching contributions on behalf of Mr. Schuck and Mr. Hays. For a description of our 401(k) Plan, see “—Other Compensation—Retirement Plan.”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entered into an employment agreement with each of our named executive officers, in each case, that governs the terms of employment of each such named executive officer.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Schuck’s Employment Agreement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See “—Termination and Change in Control Provisions” for a description of the severance benefits to which Mr. Schuck is entitled in the event of a qualifying termination of his employment.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Hyzer’s Employment Agreement</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Pursuant to Mr. Hyzer’s employment agreement, effective as of November 12, 2018, he is entitled to a base salary of $400,000, with a scheduled increase to $500,000 as of January 1, 2020. His employment agreement provides that he will be eligible to receive an annual bonus based on metrics determined by the Company, with the amount and terms of any such bonus subject to the discretion of the Company, except that he is entitled to guaranteed bonuses of $43,750 payable on January 1, 2019 and $100,000 payable on January 1, 2020, with an additional formulaic bonus opportunity for 2019 based on the Company’s EBITDA performance for 2019 as compared to its EBITDA performance for 2018. Specifically, if the ratio between the Company’s 2019 EBITDA and the Company’s 2018 EBITDA exceeds 100% by 1% to 15%, 16% or more, or 25% or more, then he is entitled to a bonus of $7,000, $10,000, or $16,000, respectively; in addition, he is entitled to a one-time bonus of an additional $65,000 if the ratio equals or exceeds 118%. Mr. Hyzer’s bonus opportunity for subsequent years will be determined based on performance metrics to be determined by the Company. Mr. Hyzer is also entitled to participate in all employment benefit plans, practices and programs available for the benefit of Company employees generally.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64" w:name="page165"/>
    <w:bookmarkEnd w:id="164"/>
    <w:p>
      <w:pPr>
        <w:jc w:val="both"/>
        <w:ind w:firstLine="309"/>
        <w:spacing w:after="0" w:line="259" w:lineRule="auto"/>
        <w:rPr>
          <w:sz w:val="20"/>
          <w:szCs w:val="20"/>
          <w:color w:val="auto"/>
        </w:rPr>
      </w:pPr>
      <w:r>
        <w:rPr>
          <w:rFonts w:ascii="Arial" w:cs="Arial" w:eastAsia="Arial" w:hAnsi="Arial"/>
          <w:sz w:val="17"/>
          <w:szCs w:val="17"/>
          <w:color w:val="auto"/>
        </w:rPr>
        <w:t>Additionally, Mr. Hyzer’s employment agreement provided for a temporary housing and commuting allowance for up to nine months from the effective date of November 12, 2018, including a monthly stipend of $1,500 for housing costs in the Vancouver, Washington area and reimbursement for reasonable out-of-pocket expenses for travel between Vancouver, Washington and Mr. Hyzer’s home in Massachusetts. The agreement also provided for reimbursement to Mr. Hyzer of up to $40,000 in reasonable, out-of-pocket expenses incurred in relocating to Vancouver, Washington, including the cost of airfare for Mr. Hyzer and any member of his immediate family.</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Mr. Hyzer’s employment term began on November 12, 2018 and continues until the two year anniversary thereof, subject to automatic annual successive renewal terms thereafter (unless earlier terminated by either party to the employment agreement on 30 days’ advance written notice).</w:t>
      </w:r>
    </w:p>
    <w:p>
      <w:pPr>
        <w:spacing w:after="0" w:line="112"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Mr. Hyzer is subject to the following restrictive covenants: (i) confidentiality during employment and for three years following termination, and (ii) non-solicitation of customers, non-solicitation of employees, and non-competition during employment and for one year following termination. See “—Termination and Change in Control Provisions” for a description of the severance benefits to which Mr. Hyzer is entitled in the event of a qualifying termination of his employment.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Hays’ Employment Agreement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entered into a new employment agreement with Mr. Hays on August 10, 2020, superseding his prior employment agreement, pursuant to which he continues to serve as the Chief Revenue Officer of the Company.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Mr. Hays’ employment agreement provides that he is entitled to a base salary of $360,000. Mr. Hays is eligible for an annual cash incentive bonus, with a target bonus amount of $200,000 and a maximum bonus amount of $1 million based upon the achievement of specific performance for such fiscal year, as approved by the compensation committee of our board of directors.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Mr. Hays is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Mr. Hays’ employment may be terminated at any time and for any reason by either the Company or Mr. Hays, provided that either party is required to give 30 days’ advance written notice of any termination of employment (provided that the Company is entitled to pay the executive base salary payments in lieu of such notice period).</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See “—Termination and Change in Control Provisions” for a description of the severance benefits to which Mr. Hays is entitled in the event of a qualifying termination of his employment.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Salary</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b w:val="1"/>
          <w:bCs w:val="1"/>
          <w:i w:val="1"/>
          <w:iCs w:val="1"/>
          <w:color w:val="auto"/>
        </w:rPr>
        <w:t>Annual Bonus/Non-Equity Incentive Plan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w:t>
      </w:r>
      <w:r>
        <w:rPr>
          <w:rFonts w:ascii="Arial" w:cs="Arial" w:eastAsia="Arial" w:hAnsi="Arial"/>
          <w:sz w:val="17"/>
          <w:szCs w:val="17"/>
          <w:i w:val="1"/>
          <w:iCs w:val="1"/>
          <w:color w:val="auto"/>
        </w:rPr>
        <w:t>Mr. Schuck</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For 2018, Mr. Schuck was eligible to receive a discretionary cash bonus of $175,000. Based on our overall performance in 2018, our board of directors determined to pay Mr. Schuck such discretionary cash bonus. For 2019, Mr. Schuck was eligible to receive a discretionary cash bonus of $350,000. Based on the Company’s achievement of its revenue and profitability goals in 2019, our board of directors determined in its discretion to pay Mr. Schuck a cash bonus of $350,000 for 2019.</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Incentive Bonus</w:t>
      </w:r>
      <w:r>
        <w:rPr>
          <w:rFonts w:ascii="Arial" w:cs="Arial" w:eastAsia="Arial" w:hAnsi="Arial"/>
          <w:sz w:val="17"/>
          <w:szCs w:val="17"/>
          <w:color w:val="auto"/>
        </w:rPr>
        <w:t>—</w:t>
      </w:r>
      <w:r>
        <w:rPr>
          <w:rFonts w:ascii="Arial" w:cs="Arial" w:eastAsia="Arial" w:hAnsi="Arial"/>
          <w:sz w:val="17"/>
          <w:szCs w:val="17"/>
          <w:i w:val="1"/>
          <w:iCs w:val="1"/>
          <w:color w:val="auto"/>
        </w:rPr>
        <w:t>Messrs. Hyzer and Hays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make incentive cash bonus opportunities available to Messrs. Hyzer and Hays to motivate their achievement of performance goals and tie a portion of their cash compensation to performance.</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2018, Mr. Hays was eligible to receive a cash incentive bonus of $60,000 if the Company achieved an annual recurring revenue objective. Based on our performance, Mr. Hays was paid a cash incentive bonus of $60,000, which amount is set forth in the Summary Compensation Table in the “Non-Equity Incentive Plan Compensation” column.</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2019, Mr. Hays was eligible to receive a cash incentive bonus of $60,000 if the Company achieved a threshold total contract value during 2019 and an incentive bonus of $1 million if the Company achieved a target total contract value during 2019. The Company achieved the target total contract value during 2019 and our board of directors, accordingly, approved an incentive bonus payout of $1 million to Mr. Hays for 2019.</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As described above in “</w:t>
      </w:r>
      <w:r>
        <w:rPr>
          <w:rFonts w:ascii="Arial" w:cs="Arial" w:eastAsia="Arial" w:hAnsi="Arial"/>
          <w:sz w:val="13"/>
          <w:szCs w:val="13"/>
          <w:color w:val="auto"/>
        </w:rPr>
        <w:t>—</w:t>
      </w:r>
      <w:r>
        <w:rPr>
          <w:rFonts w:ascii="Arial" w:cs="Arial" w:eastAsia="Arial" w:hAnsi="Arial"/>
          <w:sz w:val="17"/>
          <w:szCs w:val="17"/>
          <w:color w:val="auto"/>
        </w:rPr>
        <w:t>Narrative Disclosure to Summary Compensation Table—Employment Agreements,” pursuant to the terms of Mr. Hyzer’s employment agreement, if the ratio between the Company’s 2019 EBITDA and the Company’s 2018 EBITDA exceeded 100% by 1% to 15%, 16% or more, or 25% or more, then Mr. Hyzer was entitled to a bonus of $7,000, $10,000, or $16,000, respectively; in addition, he was entitled to a one-time bonus of an additional $65,000 if the ratio between the Company’s 2019 EBITDA and the Company’s 2018 EBITDA equaled or exceeded 118%. Based on the achievement of EBITDA targets by the Company, Mr. Hyzer’s bonus would have exceeded $800,000 due to the company’s strong performance in 2019; however, based on discussions with our board of directors, Mr. Hyzer and management agreed to cap his 2019 bonus at $600,000. Accordingly, our board of directors approved an incentive bonus payout of $600,000 to Mr. Hyzer in 2020, related to 2019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Bonus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From time to time we pay special cash bonuses to reward superior performance. We paid Mr. Hays a special discretionary cash bonus of $112,500 to reward him for his performance in 2019.</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Awards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Unit Agreements (Class P Units of ZoomInfo OpCo)</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ZoomInfo OpCo entered into incentive unit agreements (“Unit Agreements”) with each of Messrs. Schuck, Hyzer, and Hays, pursuant to which each named executive officer was issued Class P Units of ZoomInfo OpCo. The Class P Units are “profits interests” having economic characteristics similar to a stock right and have the right to share in any increase in the equity value of ZoomInfo OpCo above a certain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the strike price). Mr. Schuck was issued 1,928,869.10 units on January 15, 2019. Mr. Hyzer was issued 1,753,517.36 units on December 26, 2018. Mr. Hays was issued 350,703.47 units on July 26, 2018, 876,758.69 units on June 27, 2019, and 70,000.00 units on October 17, 2019.</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Unit Agreement for each named executive officer provides that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 In the event of an involuntary termination of the executive officer’s employment without cause or, in the case of</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66" w:name="page167"/>
    <w:bookmarkEnd w:id="166"/>
    <w:p>
      <w:pPr>
        <w:jc w:val="both"/>
        <w:spacing w:after="0" w:line="274" w:lineRule="auto"/>
        <w:rPr>
          <w:sz w:val="20"/>
          <w:szCs w:val="20"/>
          <w:color w:val="auto"/>
        </w:rPr>
      </w:pPr>
      <w:r>
        <w:rPr>
          <w:rFonts w:ascii="Arial" w:cs="Arial" w:eastAsia="Arial" w:hAnsi="Arial"/>
          <w:sz w:val="16"/>
          <w:szCs w:val="16"/>
          <w:color w:val="auto"/>
        </w:rPr>
        <w:t>Messrs. Schuck and Hyzer, the executive officer’s resignation for good reason, in each case, during the 12-month period following a “liquidity event” (which includes a change of control or a liquidation of ZoomInfo OpCo, but did not include the IPO),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w:t>
      </w:r>
      <w:r>
        <w:rPr>
          <w:rFonts w:ascii="Arial" w:cs="Arial" w:eastAsia="Arial" w:hAnsi="Arial"/>
          <w:sz w:val="16"/>
          <w:szCs w:val="16"/>
          <w:i w:val="1"/>
          <w:iCs w:val="1"/>
          <w:color w:val="auto"/>
        </w:rPr>
        <w:t>i.e.</w:t>
      </w:r>
      <w:r>
        <w:rPr>
          <w:rFonts w:ascii="Arial" w:cs="Arial" w:eastAsia="Arial" w:hAnsi="Arial"/>
          <w:sz w:val="16"/>
          <w:szCs w:val="16"/>
          <w:color w:val="auto"/>
        </w:rPr>
        <w:t>,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2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Unit Agreement for each executive officer contains a non-competition covenant during employment and the 24-month period following termination of employment; upon breach of this covenant, all vested units will be forfeited and canceled.</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Holders of Class P Units have the ability to directly or indirectly convert their Class P Units into shares of our Class A common stock pursuant to the terms of the amended and restated limited liability company agreement of ZoomInfo OpCo or ZoomInfo HoldCo, as applicable.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Subscription Agreements (Common Units of HSKB Funds, LLC)</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HSKB is a privately held limited liability company formed on February 9, 2016 for the purpose of issuing equity to certain persons who had performed and would continue to perform services for ZoomInfo OpCo, which was done through the contribution of profits interests in DO Sub-Holdings, LLC held by DO Holdings (WA), LLC to HSKB at the direction of the Founders. HSKB was capitalized through the issuance of common units (profits interests).</w:t>
      </w:r>
    </w:p>
    <w:p>
      <w:pPr>
        <w:spacing w:after="0" w:line="106"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HSKB entered into subscription agreements (the “Subscription Agreements”) with each of Messrs. Schuck and Hays, pursuant to which each executive officer was issued common units of HSKB. Mr. Schuck was issued 366,345 units, all of which are fully vested and have voting rights, on June 23, 2016. Mr. Hays was issued 4,000 units on June 23, 2016, 1,000 units on August 24, 2017, 2,000 units on September 11, 2017, 5,000 units on October 31, 2018, and 5,000 units on January 7, 2019. All of the units issued to Mr. Hays were unvested and have no voting rights. The numbers of HSKB Units acquired pursuant to the Subscription Agreements as described in this paragraph were subsequently adjusted to reflect the 60.02977736-for-one split of the HSKB Units, which occurred on December 18, 2019 and the four-for-one reverse split of the HSKB Units, which occurred on May 20, 2020. The split-adjusted numbers of HSKB Units held by Mr. Hays are reflected in the table “Outstanding Equity Awards at December 31, 2019” set forth below.</w:t>
      </w:r>
    </w:p>
    <w:p>
      <w:pPr>
        <w:spacing w:after="0" w:line="12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The Subscription Agreement for Mr. Hays provides that the units will vest only upon the acquisition (whether by purchase, merger, consolidation, combination or other similar transaction) by any third party or group of third parties acting in concert of beneficial ownership of more than 90% (on a fully diluted basis) of the membership interests in ZoomInfo OpCo, in exchange for cash consideration, or the sale, transfer or other disposition by ZoomInfo OpCo or its subsidiaries of all or substantially all of their assets on a consolidated basis to a third party or a group of third parties acting in concert, in exchange for cash consideration (any such event, a “Sale Event”). However, Mr. Schuck is authorized, under the terms of the LLC Agreement governing HSKB, to accelerate or otherwise vary the vesting terms applicable to Mr. Hays’s HSKB Units. Pursuant to the LLC Agreement governing HSKB,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HSKB Units.</w:t>
      </w:r>
    </w:p>
    <w:p>
      <w:pPr>
        <w:spacing w:after="0" w:line="11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December 2019, the vesting and forfeiture terms of all grants of HSKB Units (including the grant made to Mr. Hays) were modified to add an additional vesting condition, wherein 50% of a grant of HSKB Units will no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67" w:name="page168"/>
    <w:bookmarkEnd w:id="167"/>
    <w:p>
      <w:pPr>
        <w:jc w:val="both"/>
        <w:spacing w:after="0" w:line="302" w:lineRule="auto"/>
        <w:rPr>
          <w:sz w:val="20"/>
          <w:szCs w:val="20"/>
          <w:color w:val="auto"/>
        </w:rPr>
      </w:pPr>
      <w:r>
        <w:rPr>
          <w:rFonts w:ascii="Arial" w:cs="Arial" w:eastAsia="Arial" w:hAnsi="Arial"/>
          <w:sz w:val="15"/>
          <w:szCs w:val="15"/>
          <w:color w:val="auto"/>
        </w:rPr>
        <w:t>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after the consummation of an IPO. There was no incremental equity compensation expense under ASC Topic 718 associated with the modification of Mr. Hays’ HSKB Units on the date of modification. We will use the modification date fair value to record equity compensation expense related to Mr. Hays’ HSKB Units which and if they become probable of vesting in a future period.</w:t>
      </w:r>
    </w:p>
    <w:p>
      <w:pPr>
        <w:spacing w:after="0" w:line="10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Holders of HSKB Units have the ability to indirectly convert their HSKB Units into shares of our Class A common stock pursuant to the terms of the amended and restated limited liability company agreement of ZoomInfo OpCo or ZoomInfo HoldCo, as applicable.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Distribution on HSKB Units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March 2018, HSKB Funds, LLC approved a special cash distribution on the unvested HSKB Units. Accordingly, Mr. Hays was entitled to a cash distribution with respect to his HSKB Units in an amount equal to $80.99 per HSKB Unit. 40% of the special cash distribution was vested and paid immediately and the remaining amount vests and is paid in equal installments over three years. The special cash distribution amounts will accelerate and vest upon the vesting of the HSKB Units.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special distribution was accounted for as a modification. The modification to the unvested HSKB Units resulted in incremental compensation expense, or incremental fair value, equal to the amount of such special distribution. In accordance with the SEC’s disclosure rules, such incremental fair value for Mr. Hays is reflected in the “Stock Awards” column of the Summary Compensation Table above.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HSKB Phantom Units (Common Units of ZoomInfo OpCo)</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December 2019, HSKB adopted its 2019 Phantom Unit Plan and granted 22,500 HSKB Phantom Units to Mr. Hays pursuant to the terms of such plan. Each of the HSKB Phantom Units represents the economic equivalent of one common unit of ZoomInfo OpCo. The HSKB Phantom Units will vest upon the first to occur of (i) a Sale Event and (ii) the date following the IPO upon which both (a) OpCo Units held directly or indirectly by HSKB may be exchanged for our common stock and (b) the “service vesting condition” applicable to the HSKB Phantom Units has been met. The “service vesting condition” for Mr. Hays’ HSKB Phantom Units will be deemed to have been met with respect to 50% of such HSKB Phantom Units on July 1, 2021, and with respect to the remaining 50% of such HSKB Phantom Units in equal monthly installments over the two year period following July 1, 2021, in each case, subject to Mr. Hays’ continued service relationship through such vesting dates. Vested HSKB Phantom Units may be settled either in cash or in shares of our common stock. HSKB may also accelerate the vesting of Mr. Hays’ HSKB Phantom Units. In the event the vesting date for the HSKB Phantom Units does not occur prior to December 23, 2029, any then-outstanding HSKB Phantom Units will be forfeited.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Benefits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Limited Perquisites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Executive perquisites are not part of our general compensation philosophy; however, we provide limited perquisites and personal benefits that are not generally available to all employees when necessary to attract top talent. For example, pursuant to the terms of his employment agreement we provided Mr. Hyzer with a temporary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68" w:name="page169"/>
    <w:bookmarkEnd w:id="168"/>
    <w:p>
      <w:pPr>
        <w:ind w:right="960"/>
        <w:spacing w:after="0" w:line="442" w:lineRule="auto"/>
        <w:rPr>
          <w:sz w:val="20"/>
          <w:szCs w:val="20"/>
          <w:color w:val="auto"/>
        </w:rPr>
      </w:pPr>
      <w:r>
        <w:rPr>
          <w:rFonts w:ascii="Arial" w:cs="Arial" w:eastAsia="Arial" w:hAnsi="Arial"/>
          <w:sz w:val="17"/>
          <w:szCs w:val="17"/>
          <w:color w:val="auto"/>
        </w:rPr>
        <w:t xml:space="preserve">housing and commuting allowance as described under “—Narrative Disclosure to Summary Compensation Table—Employment Agreements” above. </w:t>
      </w:r>
      <w:r>
        <w:rPr>
          <w:rFonts w:ascii="Arial" w:cs="Arial" w:eastAsia="Arial" w:hAnsi="Arial"/>
          <w:sz w:val="17"/>
          <w:szCs w:val="17"/>
          <w:i w:val="1"/>
          <w:iCs w:val="1"/>
          <w:color w:val="auto"/>
        </w:rPr>
        <w:t>Retirement Plan</w:t>
      </w:r>
    </w:p>
    <w:p>
      <w:pPr>
        <w:spacing w:after="0" w:line="1"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Our named executive officers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Participants in 401(k) Plan receive a matching contribution from us equal to 35% of the first 6% of the participant’s eligible compensation deferred under the plan. We may also make discretionary profit-sharing contributions to eligible participants. We do not have a defined benefit plan or any non-qualified deferred compensation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December 31, 2019</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regarding outstanding equity awards made to our named executive officers as of December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4"/>
          </w:tcPr>
          <w:p>
            <w:pPr>
              <w:ind w:left="1360"/>
              <w:spacing w:after="0"/>
              <w:rPr>
                <w:sz w:val="20"/>
                <w:szCs w:val="20"/>
                <w:color w:val="auto"/>
              </w:rPr>
            </w:pPr>
            <w:r>
              <w:rPr>
                <w:rFonts w:ascii="Arial" w:cs="Arial" w:eastAsia="Arial" w:hAnsi="Arial"/>
                <w:sz w:val="12"/>
                <w:szCs w:val="12"/>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Equity Incentive Plan Awards:</w:t>
            </w:r>
          </w:p>
        </w:tc>
        <w:tc>
          <w:tcPr>
            <w:tcW w:w="100" w:type="dxa"/>
            <w:vAlign w:val="bottom"/>
          </w:tcPr>
          <w:p>
            <w:pPr>
              <w:spacing w:after="0"/>
              <w:rPr>
                <w:sz w:val="10"/>
                <w:szCs w:val="10"/>
                <w:color w:val="auto"/>
              </w:rPr>
            </w:pPr>
          </w:p>
        </w:tc>
        <w:tc>
          <w:tcPr>
            <w:tcW w:w="168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92"/>
              </w:rPr>
              <w:t>Equity Incentive Plan Awards:</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jc w:val="center"/>
              <w:ind w:right="16"/>
              <w:spacing w:after="0" w:line="116" w:lineRule="exact"/>
              <w:rPr>
                <w:sz w:val="20"/>
                <w:szCs w:val="20"/>
                <w:color w:val="auto"/>
              </w:rPr>
            </w:pPr>
            <w:r>
              <w:rPr>
                <w:rFonts w:ascii="Arial" w:cs="Arial" w:eastAsia="Arial" w:hAnsi="Arial"/>
                <w:sz w:val="12"/>
                <w:szCs w:val="12"/>
                <w:b w:val="1"/>
                <w:bCs w:val="1"/>
                <w:color w:val="auto"/>
                <w:w w:val="93"/>
              </w:rPr>
              <w:t>Market or Payout Value</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1"/>
              </w:rPr>
              <w:t>Number of Shares or Units of</w:t>
            </w:r>
          </w:p>
        </w:tc>
        <w:tc>
          <w:tcPr>
            <w:tcW w:w="18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1"/>
              </w:rPr>
              <w:t>Market Value of Shares or Units</w:t>
            </w:r>
          </w:p>
        </w:tc>
        <w:tc>
          <w:tcPr>
            <w:tcW w:w="188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89"/>
              </w:rPr>
              <w:t>Number of</w:t>
            </w:r>
          </w:p>
        </w:tc>
        <w:tc>
          <w:tcPr>
            <w:tcW w:w="100" w:type="dxa"/>
            <w:vAlign w:val="bottom"/>
          </w:tcPr>
          <w:p>
            <w:pPr>
              <w:spacing w:after="0"/>
              <w:rPr>
                <w:sz w:val="10"/>
                <w:szCs w:val="10"/>
                <w:color w:val="auto"/>
              </w:rPr>
            </w:pPr>
          </w:p>
        </w:tc>
        <w:tc>
          <w:tcPr>
            <w:tcW w:w="168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90"/>
              </w:rPr>
              <w:t>of Unearned Shares, Units or</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188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1"/>
              </w:rPr>
              <w:t>Unearned Shares, Units or Other</w:t>
            </w:r>
          </w:p>
        </w:tc>
        <w:tc>
          <w:tcPr>
            <w:tcW w:w="100" w:type="dxa"/>
            <w:vAlign w:val="bottom"/>
          </w:tcPr>
          <w:p>
            <w:pPr>
              <w:spacing w:after="0"/>
              <w:rPr>
                <w:sz w:val="10"/>
                <w:szCs w:val="10"/>
                <w:color w:val="auto"/>
              </w:rPr>
            </w:pPr>
          </w:p>
        </w:tc>
        <w:tc>
          <w:tcPr>
            <w:tcW w:w="168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93"/>
              </w:rPr>
              <w:t>Other Rights That Have Not</w:t>
            </w:r>
          </w:p>
        </w:tc>
        <w:tc>
          <w:tcPr>
            <w:tcW w:w="0" w:type="dxa"/>
            <w:vAlign w:val="bottom"/>
          </w:tcPr>
          <w:p>
            <w:pPr>
              <w:spacing w:after="0"/>
              <w:rPr>
                <w:sz w:val="1"/>
                <w:szCs w:val="1"/>
                <w:color w:val="auto"/>
              </w:rPr>
            </w:pPr>
          </w:p>
        </w:tc>
      </w:tr>
      <w:tr>
        <w:trPr>
          <w:trHeight w:val="116"/>
        </w:trPr>
        <w:tc>
          <w:tcPr>
            <w:tcW w:w="1960" w:type="dxa"/>
            <w:vAlign w:val="bottom"/>
            <w:gridSpan w:val="2"/>
            <w:vMerge w:val="restart"/>
          </w:tcPr>
          <w:p>
            <w:pPr>
              <w:ind w:left="780"/>
              <w:spacing w:after="0"/>
              <w:rPr>
                <w:sz w:val="20"/>
                <w:szCs w:val="20"/>
                <w:color w:val="auto"/>
              </w:rPr>
            </w:pPr>
            <w:r>
              <w:rPr>
                <w:rFonts w:ascii="Arial" w:cs="Arial" w:eastAsia="Arial" w:hAnsi="Arial"/>
                <w:sz w:val="12"/>
                <w:szCs w:val="12"/>
                <w:b w:val="1"/>
                <w:bCs w:val="1"/>
                <w:color w:val="auto"/>
              </w:rPr>
              <w:t>Name</w:t>
            </w: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4"/>
              </w:rPr>
              <w:t>Grant Date</w:t>
            </w:r>
          </w:p>
        </w:tc>
        <w:tc>
          <w:tcPr>
            <w:tcW w:w="1880" w:type="dxa"/>
            <w:vAlign w:val="bottom"/>
            <w:gridSpan w:val="2"/>
          </w:tcPr>
          <w:p>
            <w:pPr>
              <w:jc w:val="center"/>
              <w:ind w:right="80"/>
              <w:spacing w:after="0" w:line="116" w:lineRule="exact"/>
              <w:rPr>
                <w:sz w:val="20"/>
                <w:szCs w:val="20"/>
                <w:color w:val="auto"/>
              </w:rPr>
            </w:pPr>
            <w:r>
              <w:rPr>
                <w:rFonts w:ascii="Arial" w:cs="Arial" w:eastAsia="Arial" w:hAnsi="Arial"/>
                <w:sz w:val="12"/>
                <w:szCs w:val="12"/>
                <w:b w:val="1"/>
                <w:bCs w:val="1"/>
                <w:color w:val="auto"/>
                <w:w w:val="90"/>
              </w:rPr>
              <w:t>Stock That Have Not Vested</w:t>
            </w:r>
          </w:p>
        </w:tc>
        <w:tc>
          <w:tcPr>
            <w:tcW w:w="100" w:type="dxa"/>
            <w:vAlign w:val="bottom"/>
          </w:tcPr>
          <w:p>
            <w:pPr>
              <w:spacing w:after="0"/>
              <w:rPr>
                <w:sz w:val="10"/>
                <w:szCs w:val="10"/>
                <w:color w:val="auto"/>
              </w:rPr>
            </w:pPr>
          </w:p>
        </w:tc>
        <w:tc>
          <w:tcPr>
            <w:tcW w:w="176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89"/>
              </w:rPr>
              <w:t>of Stock That Have Not Vested</w:t>
            </w:r>
          </w:p>
        </w:tc>
        <w:tc>
          <w:tcPr>
            <w:tcW w:w="188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1"/>
              </w:rPr>
              <w:t>Rights That Have Not Vested</w:t>
            </w:r>
          </w:p>
        </w:tc>
        <w:tc>
          <w:tcPr>
            <w:tcW w:w="100" w:type="dxa"/>
            <w:vAlign w:val="bottom"/>
          </w:tcPr>
          <w:p>
            <w:pPr>
              <w:spacing w:after="0"/>
              <w:rPr>
                <w:sz w:val="10"/>
                <w:szCs w:val="10"/>
                <w:color w:val="auto"/>
              </w:rPr>
            </w:pPr>
          </w:p>
        </w:tc>
        <w:tc>
          <w:tcPr>
            <w:tcW w:w="1680" w:type="dxa"/>
            <w:vAlign w:val="bottom"/>
          </w:tcPr>
          <w:p>
            <w:pPr>
              <w:jc w:val="center"/>
              <w:ind w:right="36"/>
              <w:spacing w:after="0" w:line="116" w:lineRule="exact"/>
              <w:rPr>
                <w:sz w:val="20"/>
                <w:szCs w:val="20"/>
                <w:color w:val="auto"/>
              </w:rPr>
            </w:pPr>
            <w:r>
              <w:rPr>
                <w:rFonts w:ascii="Arial" w:cs="Arial" w:eastAsia="Arial" w:hAnsi="Arial"/>
                <w:sz w:val="12"/>
                <w:szCs w:val="12"/>
                <w:b w:val="1"/>
                <w:bCs w:val="1"/>
                <w:color w:val="auto"/>
                <w:w w:val="86"/>
              </w:rPr>
              <w:t>Vested</w:t>
            </w:r>
          </w:p>
        </w:tc>
        <w:tc>
          <w:tcPr>
            <w:tcW w:w="0" w:type="dxa"/>
            <w:vAlign w:val="bottom"/>
          </w:tcPr>
          <w:p>
            <w:pPr>
              <w:spacing w:after="0"/>
              <w:rPr>
                <w:sz w:val="1"/>
                <w:szCs w:val="1"/>
                <w:color w:val="auto"/>
              </w:rPr>
            </w:pPr>
          </w:p>
        </w:tc>
      </w:tr>
      <w:tr>
        <w:trPr>
          <w:trHeight w:val="167"/>
        </w:trPr>
        <w:tc>
          <w:tcPr>
            <w:tcW w:w="196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0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w w:val="89"/>
              </w:rPr>
              <w:t>(#)</w:t>
            </w:r>
            <w:r>
              <w:rPr>
                <w:rFonts w:ascii="Arial" w:cs="Arial" w:eastAsia="Arial" w:hAnsi="Arial"/>
                <w:sz w:val="15"/>
                <w:szCs w:val="15"/>
                <w:b w:val="1"/>
                <w:bCs w:val="1"/>
                <w:color w:val="auto"/>
                <w:w w:val="89"/>
                <w:vertAlign w:val="superscript"/>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35"/>
              <w:spacing w:after="0" w:line="167" w:lineRule="exact"/>
              <w:rPr>
                <w:sz w:val="20"/>
                <w:szCs w:val="20"/>
                <w:color w:val="auto"/>
              </w:rPr>
            </w:pPr>
            <w:r>
              <w:rPr>
                <w:rFonts w:ascii="Arial" w:cs="Arial" w:eastAsia="Arial" w:hAnsi="Arial"/>
                <w:sz w:val="12"/>
                <w:szCs w:val="12"/>
                <w:b w:val="1"/>
                <w:bCs w:val="1"/>
                <w:color w:val="auto"/>
                <w:w w:val="89"/>
              </w:rPr>
              <w:t>($)</w:t>
            </w:r>
            <w:r>
              <w:rPr>
                <w:rFonts w:ascii="Arial" w:cs="Arial" w:eastAsia="Arial" w:hAnsi="Arial"/>
                <w:sz w:val="15"/>
                <w:szCs w:val="15"/>
                <w:b w:val="1"/>
                <w:bCs w:val="1"/>
                <w:color w:val="auto"/>
                <w:w w:val="89"/>
                <w:vertAlign w:val="superscript"/>
              </w:rPr>
              <w:t>(2)</w:t>
            </w:r>
          </w:p>
        </w:tc>
        <w:tc>
          <w:tcPr>
            <w:tcW w:w="100" w:type="dxa"/>
            <w:vAlign w:val="bottom"/>
          </w:tcPr>
          <w:p>
            <w:pPr>
              <w:spacing w:after="0"/>
              <w:rPr>
                <w:sz w:val="14"/>
                <w:szCs w:val="14"/>
                <w:color w:val="auto"/>
              </w:rPr>
            </w:pPr>
          </w:p>
        </w:tc>
        <w:tc>
          <w:tcPr>
            <w:tcW w:w="178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w w:val="81"/>
              </w:rPr>
              <w:t>(#)</w:t>
            </w:r>
            <w:r>
              <w:rPr>
                <w:rFonts w:ascii="Arial" w:cs="Arial" w:eastAsia="Arial" w:hAnsi="Arial"/>
                <w:sz w:val="15"/>
                <w:szCs w:val="15"/>
                <w:b w:val="1"/>
                <w:bCs w:val="1"/>
                <w:color w:val="auto"/>
                <w:w w:val="81"/>
                <w:vertAlign w:val="superscript"/>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right="36"/>
              <w:spacing w:after="0" w:line="167" w:lineRule="exact"/>
              <w:rPr>
                <w:sz w:val="20"/>
                <w:szCs w:val="20"/>
                <w:color w:val="auto"/>
              </w:rPr>
            </w:pPr>
            <w:r>
              <w:rPr>
                <w:rFonts w:ascii="Arial" w:cs="Arial" w:eastAsia="Arial" w:hAnsi="Arial"/>
                <w:sz w:val="12"/>
                <w:szCs w:val="12"/>
                <w:b w:val="1"/>
                <w:bCs w:val="1"/>
                <w:color w:val="auto"/>
                <w:w w:val="81"/>
              </w:rPr>
              <w:t>($)</w:t>
            </w:r>
            <w:r>
              <w:rPr>
                <w:rFonts w:ascii="Arial" w:cs="Arial" w:eastAsia="Arial" w:hAnsi="Arial"/>
                <w:sz w:val="15"/>
                <w:szCs w:val="15"/>
                <w:b w:val="1"/>
                <w:bCs w:val="1"/>
                <w:color w:val="auto"/>
                <w:w w:val="81"/>
                <w:vertAlign w:val="superscript"/>
              </w:rPr>
              <w:t>(4)</w:t>
            </w:r>
          </w:p>
        </w:tc>
        <w:tc>
          <w:tcPr>
            <w:tcW w:w="0" w:type="dxa"/>
            <w:vAlign w:val="bottom"/>
          </w:tcPr>
          <w:p>
            <w:pPr>
              <w:spacing w:after="0"/>
              <w:rPr>
                <w:sz w:val="1"/>
                <w:szCs w:val="1"/>
                <w:color w:val="auto"/>
              </w:rPr>
            </w:pPr>
          </w:p>
        </w:tc>
      </w:tr>
      <w:tr>
        <w:trPr>
          <w:trHeight w:val="173"/>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Henry Schuck</w:t>
            </w:r>
          </w:p>
        </w:tc>
        <w:tc>
          <w:tcPr>
            <w:tcW w:w="8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01/16/2019</w:t>
            </w:r>
          </w:p>
        </w:tc>
        <w:tc>
          <w:tcPr>
            <w:tcW w:w="8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1,928,869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20,214,548</w:t>
            </w: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Cameron Hyzer</w:t>
            </w: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12/26/2018</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1,753,517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18,376,862</w:t>
            </w:r>
          </w:p>
        </w:tc>
        <w:tc>
          <w:tcPr>
            <w:tcW w:w="100" w:type="dxa"/>
            <w:vAlign w:val="bottom"/>
          </w:tcPr>
          <w:p>
            <w:pPr>
              <w:spacing w:after="0"/>
              <w:rPr>
                <w:sz w:val="15"/>
                <w:szCs w:val="15"/>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Chris Hays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06/23/2016</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862,027</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08/24/2017</w:t>
            </w: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15,008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215,508</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09/11/2017</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431,012</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10/31/2018</w:t>
            </w: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75,037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1,400,385</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01/07/2019</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1,522,485</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07/26/2018</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350,703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3,675,372</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06/24/2019</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876,759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7,084,210</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88"/>
              </w:rPr>
              <w:t>10/17/2019</w:t>
            </w:r>
          </w:p>
        </w:tc>
        <w:tc>
          <w:tcPr>
            <w:tcW w:w="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565,600</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12/29/2019</w:t>
            </w: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323,100</w:t>
            </w:r>
          </w:p>
        </w:tc>
        <w:tc>
          <w:tcPr>
            <w:tcW w:w="0" w:type="dxa"/>
            <w:vAlign w:val="bottom"/>
          </w:tcPr>
          <w:p>
            <w:pPr>
              <w:spacing w:after="0"/>
              <w:rPr>
                <w:sz w:val="1"/>
                <w:szCs w:val="1"/>
                <w:color w:val="auto"/>
              </w:rPr>
            </w:pPr>
          </w:p>
        </w:tc>
      </w:tr>
      <w:tr>
        <w:trPr>
          <w:trHeight w:val="148"/>
        </w:trPr>
        <w:tc>
          <w:tcPr>
            <w:tcW w:w="1880" w:type="dxa"/>
            <w:vAlign w:val="bottom"/>
          </w:tcPr>
          <w:p>
            <w:pPr>
              <w:spacing w:after="0" w:line="148" w:lineRule="exact"/>
              <w:rPr>
                <w:sz w:val="20"/>
                <w:szCs w:val="20"/>
                <w:color w:val="auto"/>
              </w:rPr>
            </w:pPr>
            <w:r>
              <w:rPr>
                <w:rFonts w:ascii="Arial" w:cs="Arial" w:eastAsia="Arial" w:hAnsi="Arial"/>
                <w:sz w:val="14"/>
                <w:szCs w:val="14"/>
                <w:color w:val="auto"/>
              </w:rPr>
              <w:t>_________________</w:t>
            </w: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hanging="297"/>
        <w:spacing w:after="0" w:line="230" w:lineRule="auto"/>
        <w:tabs>
          <w:tab w:leader="none" w:pos="3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Class P Units that vest as follows:</w:t>
      </w:r>
    </w:p>
    <w:p>
      <w:pPr>
        <w:ind w:left="320"/>
        <w:spacing w:after="0" w:line="230" w:lineRule="auto"/>
        <w:rPr>
          <w:rFonts w:ascii="Arial" w:cs="Arial" w:eastAsia="Arial" w:hAnsi="Arial"/>
          <w:sz w:val="14"/>
          <w:szCs w:val="14"/>
          <w:color w:val="auto"/>
        </w:rPr>
      </w:pPr>
      <w:r>
        <w:rPr>
          <w:rFonts w:ascii="Arial" w:cs="Arial" w:eastAsia="Arial" w:hAnsi="Arial"/>
          <w:sz w:val="14"/>
          <w:szCs w:val="14"/>
          <w:color w:val="auto"/>
        </w:rPr>
        <w:t>As to Mr. Schuck, 964,435 vested on March 12, 2020 and 964,435 vest in equal monthly installments during the 24 months following March 12, 2020, in each case subject to his continued service on each vesting date.</w:t>
      </w:r>
    </w:p>
    <w:p>
      <w:pPr>
        <w:ind w:left="320"/>
        <w:spacing w:after="0" w:line="230" w:lineRule="auto"/>
        <w:rPr>
          <w:rFonts w:ascii="Arial" w:cs="Arial" w:eastAsia="Arial" w:hAnsi="Arial"/>
          <w:sz w:val="14"/>
          <w:szCs w:val="14"/>
          <w:color w:val="auto"/>
        </w:rPr>
      </w:pPr>
      <w:r>
        <w:rPr>
          <w:rFonts w:ascii="Arial" w:cs="Arial" w:eastAsia="Arial" w:hAnsi="Arial"/>
          <w:sz w:val="14"/>
          <w:szCs w:val="14"/>
          <w:color w:val="auto"/>
        </w:rPr>
        <w:t>As to Mr. Hyzer, 876,759 vest on November 12, 2020 and 876,759 vest in equal monthly installments during the 24 months following November 12, 2020, in each case subject to his continued service on each vesting date.</w:t>
      </w:r>
    </w:p>
    <w:p>
      <w:pPr>
        <w:jc w:val="both"/>
        <w:ind w:left="320"/>
        <w:spacing w:after="0" w:line="248" w:lineRule="auto"/>
        <w:rPr>
          <w:rFonts w:ascii="Arial" w:cs="Arial" w:eastAsia="Arial" w:hAnsi="Arial"/>
          <w:sz w:val="14"/>
          <w:szCs w:val="14"/>
          <w:color w:val="auto"/>
        </w:rPr>
      </w:pPr>
      <w:r>
        <w:rPr>
          <w:rFonts w:ascii="Arial" w:cs="Arial" w:eastAsia="Arial" w:hAnsi="Arial"/>
          <w:sz w:val="13"/>
          <w:szCs w:val="13"/>
          <w:color w:val="auto"/>
        </w:rPr>
        <w:t>As to Mr. Hays, of the 350,703 granted on July 26, 2018, 175,352 vested on July 1, 2020 and 175,352 vest in equal monthly installments during the 24 months following July 1, 2020, in each case subject to his continued service on each vesting date. Of the 876,759 granted on June 24, 2019, 438,379 vest on February 1, 2021 and 438,379 vest in equal monthly installments during the 24 months following February 1, 2021, in each case subject to his continued service on each vesting date. Of the 70,000 granted on October 17, 2019, 35,000 vest on October 1, 2021 and 35,000 vest in equal monthly installments during the 24 months following October 1, 2021, in each case subject to his continued service on each vesting date.</w:t>
      </w:r>
    </w:p>
    <w:p>
      <w:pPr>
        <w:ind w:left="300" w:hanging="297"/>
        <w:spacing w:after="0" w:line="230" w:lineRule="auto"/>
        <w:tabs>
          <w:tab w:leader="none" w:pos="3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Based on the appreciation, if any, in the value of our business from and after the date of grant through the date of our most recent valuation prior to December 31, 2019.</w:t>
      </w:r>
    </w:p>
    <w:p>
      <w:pPr>
        <w:jc w:val="both"/>
        <w:ind w:left="320" w:hanging="317"/>
        <w:spacing w:after="0" w:line="230" w:lineRule="auto"/>
        <w:tabs>
          <w:tab w:leader="none" w:pos="313"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Represents HSKB Units and HSKB Phantom Units, as applicable, that vest in full upon the occurrence of certain liquidity events, as described above under “—Narrative to Summary Compensation Table—Equity Awards.” Amounts represented in this column with respect to the HSKB Units reflect the 60.02977736-for-one split of the HSKB Units, which occurred on December 18, 2019 and the four-for-one reverse split of the HSKB Units, which occurred on May 20, 2020.</w:t>
      </w:r>
    </w:p>
    <w:p>
      <w:pPr>
        <w:ind w:left="300" w:hanging="297"/>
        <w:spacing w:after="0"/>
        <w:tabs>
          <w:tab w:leader="none" w:pos="3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Based on our most recent valuation prior to December 31, 2019.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b w:val="1"/>
          <w:bCs w:val="1"/>
          <w:color w:val="auto"/>
        </w:rPr>
        <w:t>Termination and Change in Control Provisions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Messrs. Schuck and Hyzer are entitled to potential payments and benefits in connection with a termination of employment and/or a change in control. The following summary describes the termination and change in control provisions under each executive’s employment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Schuck’s Employment Agreement</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21"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0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9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For a description of restrictive covenants applicable to Mr. Schuck, see “—Narrative Disclosure to Summary Compensation Table—Employment Agreements” above.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Hyzer’s Employment Agreement</w:t>
      </w:r>
    </w:p>
    <w:p>
      <w:pPr>
        <w:spacing w:after="0" w:line="165"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one year of his base salary plus the expected amount of his annual performance bonus for the year in which the termination occurs, based on the Company’s projected achievement of performance metrics and prorated through the termination date; provided, that the bonus amount will not be prorated if such termination occurs as a result of an “acquisition” (defined as an acquisition by an unaffiliated party of a majority of the outstanding equity interests or all or substantially all of the assets of the Company or the result of a decision by the Company or its direct or indirect owners that the Company undergo an acquisition). Mr. Hyzer’s employment agreement further provides that upon termination of his employment due to death or disability, he is entitled to a severance payment equal to the expected amount of his annual performance bonus for the year in which the termination occurs, based on the Company’s projected achievement of performance metrics and prorated through the termination date.</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For a description of restrictive covenants applicable to Mr. Hyzer, see “—Narrative Disclosure to Summary Compensation Table—Employment Agreements”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i w:val="1"/>
          <w:iCs w:val="1"/>
          <w:color w:val="auto"/>
        </w:rPr>
        <w:t>Mr. Hays’ Employment Agreement</w:t>
      </w:r>
    </w:p>
    <w:p>
      <w:pPr>
        <w:spacing w:after="0" w:line="165"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Pursuant to Mr. Hays’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2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32"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Mr. Hays’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9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For a description of restrictive covenants applicable to Mr. Hays, see “—Narrative Disclosure to Summary Compensation Table—Employment Agreements” above.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Awards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Each of the named executive officers holds equity awards pursuant to award agreements that provide for accelerated vesting upon certain qualifying terminations of employment. For a description of the accelerated vesting of the equity awards held by the named executive officers, see “—Narrative Disclosure to Summary Compensation Table—Equity Awards” above.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Arrangements Adopted in Connection with the IPO</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Omnibus Incentive Plan</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connection with the IPO, our board of directors adopted, and our stockholders approved, the Company’s 2020 Omnibus Incentive Plan (the “2020 Plan”).</w:t>
      </w:r>
    </w:p>
    <w:p>
      <w:pPr>
        <w:spacing w:after="0" w:line="18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The purpose of the 2020 Plan is to provide a means through which to attract and retain key personnel and to provide a means whereby our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2020 Plan is administered by the compensation committee of our board of directors or such other committee of our board of directors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has properly delegated power, or if no such committee or subcommittee exists, our board of directors. The compensation committee is authorized to interpret, administer, reconcile any inconsistency in, correct any defect in and/or supply any omission in the 2020 Plan and any instrument or agreement relating to, or any award granted under, the 2020 Plan; establish, amend, suspend, or waive any rules and regulations and appoint such agents as the compensation committee deems appropriate for the proper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71" w:name="page172"/>
    <w:bookmarkEnd w:id="171"/>
    <w:p>
      <w:pPr>
        <w:jc w:val="both"/>
        <w:spacing w:after="0" w:line="273" w:lineRule="auto"/>
        <w:rPr>
          <w:sz w:val="20"/>
          <w:szCs w:val="20"/>
          <w:color w:val="auto"/>
        </w:rPr>
      </w:pPr>
      <w:r>
        <w:rPr>
          <w:rFonts w:ascii="Arial" w:cs="Arial" w:eastAsia="Arial" w:hAnsi="Arial"/>
          <w:sz w:val="16"/>
          <w:szCs w:val="16"/>
          <w:color w:val="auto"/>
        </w:rPr>
        <w:t>administration of the 2020 Plan; adopt sub-plans; and to make any other determination and take any other action that the compensation committee deems necessary or desirable for the administration of the 2020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Plan. Unless otherwise expressly provided in the 2020 Plan, all designations, determinations, interpretations, and other decisions under or with respect to the 2020 Plan or any award or any documents evidencing awards granted pursuant to the 2020 Plan are within the sole discretion of the compensation committee, may be made at any time and are final, conclusive and binding upon all persons or entities, including, without limitation, us, any participant, any holder or beneficiary of any award, and any of our stockholders. Subject to the provisions of the 2020 Plan, the compensation committee may designate participants, determine the types and sizes of awards to be granted to participants, and determine the terms and conditions of awards, which will be set forth in the applicable award agreement.</w:t>
      </w:r>
    </w:p>
    <w:p>
      <w:pPr>
        <w:spacing w:after="0" w:line="122"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i w:val="1"/>
          <w:iCs w:val="1"/>
          <w:color w:val="auto"/>
        </w:rPr>
        <w:t>Shares Subject to 2020 Plan</w:t>
      </w:r>
      <w:r>
        <w:rPr>
          <w:rFonts w:ascii="Arial" w:cs="Arial" w:eastAsia="Arial" w:hAnsi="Arial"/>
          <w:sz w:val="16"/>
          <w:szCs w:val="16"/>
          <w:color w:val="auto"/>
        </w:rPr>
        <w:t>. The 2020 Plan provides that the total number of shares of common stock that may be issued under the 2020 Plan</w:t>
      </w:r>
      <w:r>
        <w:rPr>
          <w:rFonts w:ascii="Arial" w:cs="Arial" w:eastAsia="Arial" w:hAnsi="Arial"/>
          <w:sz w:val="16"/>
          <w:szCs w:val="16"/>
          <w:i w:val="1"/>
          <w:iCs w:val="1"/>
          <w:color w:val="auto"/>
        </w:rPr>
        <w:t xml:space="preserve"> </w:t>
      </w:r>
      <w:r>
        <w:rPr>
          <w:rFonts w:ascii="Arial" w:cs="Arial" w:eastAsia="Arial" w:hAnsi="Arial"/>
          <w:sz w:val="16"/>
          <w:szCs w:val="16"/>
          <w:color w:val="auto"/>
        </w:rPr>
        <w:t>is 18,650,000 (the “plan share reserve”), provided, however, that the plan share reserve shall be increased on the first day of each fiscal year beginning with the 2021 fiscal year in an amount equal to the lesser of (i) the positive difference between (x) 5% of the outstanding common stock on the last day of the immediately preceding fiscal year (treating certain vested convertible securities as outstanding common stock for this purpose)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$700,000 in total value. Except for substitute awards (as described below), in the event any award expires or is cancelled, forfeited or terminated without issuance to the participant of the full number of shares to which the award related, the unissued shares of common stock underlying such award will be returned to the plan share reserve and may be granted again under the 2020 Plan. Shares of common stock withheld in payment of an option exercise price or taxes relating to an award, and shares equal to the number of shares surrendered in payment of any option exercise price, a stock appreciation right’s base price, or taxes relating to an award will constitute shares issued to a participant and will thus reduce the plan share reserve.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No award may be granted under the 2020 Plan after the tenth anniversary of the effective date (as defined therein), but awards granted before then may extend beyond that date.</w:t>
      </w:r>
    </w:p>
    <w:p>
      <w:pPr>
        <w:spacing w:after="0" w:line="125"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compensation committee may grant non-qualified stock options and incentive stock options, under the 2020 Plan, with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compensation committee that are not inconsistent with the 2020 Plan. All stock options granted under the 2020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Plan is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72" w:name="page173"/>
    <w:bookmarkEnd w:id="172"/>
    <w:p>
      <w:pPr>
        <w:jc w:val="both"/>
        <w:spacing w:after="0" w:line="295" w:lineRule="auto"/>
        <w:rPr>
          <w:sz w:val="20"/>
          <w:szCs w:val="20"/>
          <w:color w:val="auto"/>
        </w:rPr>
      </w:pPr>
      <w:r>
        <w:rPr>
          <w:rFonts w:ascii="Arial" w:cs="Arial" w:eastAsia="Arial" w:hAnsi="Arial"/>
          <w:sz w:val="15"/>
          <w:szCs w:val="15"/>
          <w:color w:val="auto"/>
        </w:rPr>
        <w:t>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and any applicable taxes. Any fractional shares of common stock will be settled in cash. Options will become vested and exercisable in such manner and on such date(s) or event(s) as determined by the compensation committee, provided that the compensation committee may, in its sole discretion, accelerate the vesting of any options at any time for any reason.</w:t>
      </w:r>
    </w:p>
    <w:p>
      <w:pPr>
        <w:spacing w:after="0" w:line="107"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Unless otherwise provided by the compensation committee (whether in an award agreement or otherwise), in the event of (i) a participant’s termination of service for cause, all outstanding options will immediately terminate and expire, (ii) a participant’s termination of service due to death or disability, each outstanding unvested option will immediately terminate and expire, and vested options will remain exercisable for one year following termination of service (or, if earlier, through the last day of the tenth year from the initial date of grant), and (iii) a participant’s termination for any other reason, outstanding unvested options will terminate and expire and vested options remain exercisable for 90 days following termination (or, if earlier, through the last day of the tenth year from the initial date of grant).</w:t>
      </w:r>
    </w:p>
    <w:p>
      <w:pPr>
        <w:spacing w:after="0" w:line="130"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i w:val="1"/>
          <w:iCs w:val="1"/>
          <w:color w:val="auto"/>
        </w:rPr>
        <w:t>Restricted Shares and Restricted Stock Units</w:t>
      </w:r>
      <w:r>
        <w:rPr>
          <w:rFonts w:ascii="Arial" w:cs="Arial" w:eastAsia="Arial" w:hAnsi="Arial"/>
          <w:sz w:val="16"/>
          <w:szCs w:val="16"/>
          <w:color w:val="auto"/>
        </w:rPr>
        <w:t>. The compensation committee may grant restricted shares of our common stock or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 Restricted shares of our common stock and restricted stock units will become vested in such manner and on such date(s) or event(s) as determined by the compensation committee,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19"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i w:val="1"/>
          <w:iCs w:val="1"/>
          <w:color w:val="auto"/>
        </w:rPr>
        <w:t xml:space="preserve">ZoomInfo OpCo Unit Awards. </w:t>
      </w:r>
      <w:r>
        <w:rPr>
          <w:rFonts w:ascii="Arial" w:cs="Arial" w:eastAsia="Arial" w:hAnsi="Arial"/>
          <w:sz w:val="16"/>
          <w:szCs w:val="16"/>
          <w:color w:val="auto"/>
        </w:rPr>
        <w:t>The compensation committee may issue awards in the form of OpCo Units or other classes of partnership units in ZoomInfo</w:t>
      </w:r>
      <w:r>
        <w:rPr>
          <w:rFonts w:ascii="Arial" w:cs="Arial" w:eastAsia="Arial" w:hAnsi="Arial"/>
          <w:sz w:val="16"/>
          <w:szCs w:val="16"/>
          <w:i w:val="1"/>
          <w:iCs w:val="1"/>
          <w:color w:val="auto"/>
        </w:rPr>
        <w:t xml:space="preserve"> </w:t>
      </w:r>
      <w:r>
        <w:rPr>
          <w:rFonts w:ascii="Arial" w:cs="Arial" w:eastAsia="Arial" w:hAnsi="Arial"/>
          <w:sz w:val="16"/>
          <w:szCs w:val="16"/>
          <w:color w:val="auto"/>
        </w:rPr>
        <w:t>OpCo (including, without limitation, LTIP Units) established pursuant to the amended and restated limited liability company agreement of ZoomInfo OpCo. ZoomInfo OpCo unit awards may be (1) convertible, exchangeable or redeemable for other limited partnership interests in ZoomInfo OpCo or shares of our Class A common stock or (2) valued by reference to the book value, fair value or performance of ZoomInfo OpCo limited partnership interests.</w:t>
      </w:r>
    </w:p>
    <w:p>
      <w:pPr>
        <w:spacing w:after="0" w:line="111"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For purposes of calculating the number of shares underlying ZoomInfo OpCo unit awards relative to the total number of shares of our Class A common stock available for issuance under the 2020 Plan, the compensation committee will establish in good faith the maximum number of shares to which a participant receiving such an award may be entitled upon fulfillment of all applicable conditions set forth in the relevant award documentation, including vesting conditions, partnership capital account allocations, value accretion factors, conversion ratios, exchange ratios and other similar criteria. If and when any such conditions are no longer capable of being met, in whole or in part, the number of shares of our Class A common stock underlying such award will be reduced accordingly by the compensation committee, and the number of shares available under the 2020 Plan will be increased by one share for each share so reduced. The compensation committee will determine all other terms of ZoomInfo OpCo unit awards. The award documentation in respect of ZoomInfo OpCo unit awards may provide that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73" w:name="page174"/>
    <w:bookmarkEnd w:id="173"/>
    <w:p>
      <w:pPr>
        <w:jc w:val="both"/>
        <w:spacing w:after="0" w:line="259" w:lineRule="auto"/>
        <w:rPr>
          <w:sz w:val="20"/>
          <w:szCs w:val="20"/>
          <w:color w:val="auto"/>
        </w:rPr>
      </w:pPr>
      <w:r>
        <w:rPr>
          <w:rFonts w:ascii="Arial" w:cs="Arial" w:eastAsia="Arial" w:hAnsi="Arial"/>
          <w:sz w:val="17"/>
          <w:szCs w:val="17"/>
          <w:color w:val="auto"/>
        </w:rPr>
        <w:t>the recipient will be entitled to receive, currently or on a deferred or contingent basis, dividends or dividend equivalents with respect to the number of shares of our Class A common stock underlying the award or other distributions from ZoomInfo OpCo prior to vesting (whether based on a period of time or based on attainment of specified performance conditions), as determined at the time of grant by the compensation committee, in its sole discretion, and the compensation committee may provide that such amounts (if any) will be deemed to have been reinvested in additional shares of our Class A common stock or ZoomInfo OpCo units.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 xml:space="preserve">Other Equity-Based Awards and Cash-Based Awards. </w:t>
      </w:r>
      <w:r>
        <w:rPr>
          <w:rFonts w:ascii="Arial" w:cs="Arial" w:eastAsia="Arial" w:hAnsi="Arial"/>
          <w:sz w:val="17"/>
          <w:szCs w:val="17"/>
          <w:color w:val="auto"/>
        </w:rPr>
        <w:t>The compensation committee may grant other equity-based or cash-based awards under the 2020 Plan,</w:t>
      </w:r>
      <w:r>
        <w:rPr>
          <w:rFonts w:ascii="Arial" w:cs="Arial" w:eastAsia="Arial" w:hAnsi="Arial"/>
          <w:sz w:val="17"/>
          <w:szCs w:val="17"/>
          <w:i w:val="1"/>
          <w:iCs w:val="1"/>
          <w:color w:val="auto"/>
        </w:rPr>
        <w:t xml:space="preserve"> </w:t>
      </w:r>
      <w:r>
        <w:rPr>
          <w:rFonts w:ascii="Arial" w:cs="Arial" w:eastAsia="Arial" w:hAnsi="Arial"/>
          <w:sz w:val="17"/>
          <w:szCs w:val="17"/>
          <w:color w:val="auto"/>
        </w:rPr>
        <w:t>with terms and conditions determined by the compensation committee that are not inconsistent with the 2020 Plan.</w:t>
      </w:r>
    </w:p>
    <w:p>
      <w:pPr>
        <w:spacing w:after="0" w:line="112"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6"/>
          <w:szCs w:val="16"/>
          <w:i w:val="1"/>
          <w:iCs w:val="1"/>
          <w:color w:val="auto"/>
        </w:rPr>
        <w:t>Effect of Certain Events on 2020 Plan and Awards</w:t>
      </w:r>
      <w:r>
        <w:rPr>
          <w:rFonts w:ascii="Arial" w:cs="Arial" w:eastAsia="Arial" w:hAnsi="Arial"/>
          <w:sz w:val="16"/>
          <w:szCs w:val="16"/>
          <w:color w:val="auto"/>
        </w:rPr>
        <w:t>. Other than with respect to cash-based awards, in the event of (i) any dividend (other than regular cash</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the 2020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29"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w:t>
      </w:r>
    </w:p>
    <w:p>
      <w:pPr>
        <w:spacing w:after="0" w:line="1" w:lineRule="exact"/>
        <w:rPr>
          <w:sz w:val="20"/>
          <w:szCs w:val="20"/>
          <w:color w:val="auto"/>
        </w:rPr>
      </w:pPr>
    </w:p>
    <w:p>
      <w:pPr>
        <w:jc w:val="both"/>
        <w:ind w:firstLine="3"/>
        <w:spacing w:after="0" w:line="275" w:lineRule="auto"/>
        <w:tabs>
          <w:tab w:leader="none" w:pos="26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20"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under the 2020 Plan will not be transferable or assignable by a participant other than by will or by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may amend, alter, suspend, discontinue, or terminate the 2020 Plan or any portion thereof at any time; but</w:t>
      </w:r>
      <w:r>
        <w:rPr>
          <w:rFonts w:ascii="Arial" w:cs="Arial" w:eastAsia="Arial" w:hAnsi="Arial"/>
          <w:sz w:val="17"/>
          <w:szCs w:val="17"/>
          <w:i w:val="1"/>
          <w:iCs w:val="1"/>
          <w:color w:val="auto"/>
        </w:rPr>
        <w:t xml:space="preserve"> </w:t>
      </w:r>
      <w:r>
        <w:rPr>
          <w:rFonts w:ascii="Arial" w:cs="Arial" w:eastAsia="Arial" w:hAnsi="Arial"/>
          <w:sz w:val="17"/>
          <w:szCs w:val="17"/>
          <w:color w:val="auto"/>
        </w:rPr>
        <w:t>no such amendment, alteration, suspension, discontinuance 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74" w:name="page175"/>
    <w:bookmarkEnd w:id="174"/>
    <w:p>
      <w:pPr>
        <w:jc w:val="both"/>
        <w:spacing w:after="0" w:line="259" w:lineRule="auto"/>
        <w:rPr>
          <w:sz w:val="20"/>
          <w:szCs w:val="20"/>
          <w:color w:val="auto"/>
        </w:rPr>
      </w:pPr>
      <w:r>
        <w:rPr>
          <w:rFonts w:ascii="Arial" w:cs="Arial" w:eastAsia="Arial" w:hAnsi="Arial"/>
          <w:sz w:val="17"/>
          <w:szCs w:val="17"/>
          <w:color w:val="auto"/>
        </w:rPr>
        <w:t>termination may be made without stockholder approval if (i) such approval is necessary to comply with any regulatory requirement applicable to the 2020 Plan or for changes in GAAP to new accounting standards; (ii) it would materially increase the number of securities which may be issued under the 2020 Plan (except for adjustments in connection with certain corporate events); or (iii) it would materially modify the requirements for participation in the 2020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30"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canceled option or stock appreciation right; and (iii) the compensation committee may not take any other action which is considered a “repricing” for purposes of the stockholder approval rules of any securities exchange or inter-dealer quotation system on which our securities are listed or quoted.</w:t>
      </w:r>
    </w:p>
    <w:p>
      <w:pPr>
        <w:spacing w:after="0" w:line="138"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i w:val="1"/>
          <w:iCs w:val="1"/>
          <w:color w:val="auto"/>
        </w:rPr>
        <w:t>Dividends and Dividend Equivalents</w:t>
      </w:r>
      <w:r>
        <w:rPr>
          <w:rFonts w:ascii="Arial" w:cs="Arial" w:eastAsia="Arial" w:hAnsi="Arial"/>
          <w:sz w:val="15"/>
          <w:szCs w:val="15"/>
          <w:color w:val="auto"/>
        </w:rPr>
        <w:t>. The compensation committee in its sole discretion may provide that an award under the 2020 Plan includes dividends or</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07"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i w:val="1"/>
          <w:iCs w:val="1"/>
          <w:color w:val="auto"/>
        </w:rPr>
        <w:t xml:space="preserve">Clawback/Repayment. </w:t>
      </w:r>
      <w:r>
        <w:rPr>
          <w:rFonts w:ascii="Arial" w:cs="Arial" w:eastAsia="Arial" w:hAnsi="Arial"/>
          <w:sz w:val="16"/>
          <w:szCs w:val="16"/>
          <w:color w:val="auto"/>
        </w:rPr>
        <w:t>All awards are subject to reduction, cancellation, forfeiture or recoupment to the extent necessary to comply with (i) any clawback,</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or other similar policy adopted by our board of directors or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 (i) cancellation of any or all of a participant’s outstanding awards or (ii) forfeiture by the participant of any gain realized on the vesting or exercise of awards, and repayment of any such gain promptly to the Company. For purposes of the 2020 Plan and awards thereunder, “detrimental activity” means: any unauthorized disclosure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Our board of directors adopted, and our stockholders approved, the Company’s 2020 Employee Stock Purchase Plan (the “ESPP”). The ESPP is intended to give eligible employees an opportunity to acquire shares of our common stock and promote our best interests and enhance our long-term performance.</w:t>
      </w:r>
    </w:p>
    <w:p>
      <w:pPr>
        <w:spacing w:after="0" w:line="9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ESPP is intended to qualify as an “employee stock purchase plan” under Section 423 of the Code. We may also authorize offerings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i w:val="1"/>
          <w:iCs w:val="1"/>
          <w:color w:val="auto"/>
        </w:rPr>
        <w:t>Shares Reserved for the ESPP</w:t>
      </w:r>
      <w:r>
        <w:rPr>
          <w:rFonts w:ascii="Arial" w:cs="Arial" w:eastAsia="Arial" w:hAnsi="Arial"/>
          <w:sz w:val="16"/>
          <w:szCs w:val="16"/>
          <w:color w:val="auto"/>
        </w:rPr>
        <w:t>. The aggregate number of shares of our common stock that may be issued under the ESPP may not exceed 7,500,000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lesser of (i) the positive difference between (x) 1% of the total number of shares of our common stock outstanding on the last day of the immediately preceding fiscal year (treating certain vested convertible securities as outstanding common stock for this purpose), and (y) the share reserve of the ESPP on the last day of the immediately preceding fiscal year, and (ii) a lower number of shares as may be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22"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ESPP is administered by the compensation committee of our board of directors unless the board of directors elects to administer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appoint one or more agents to assist in the administration of the ESPP and may delegate certain responsibilities or powers subject to ESPP terms and applicable law. Subject to ESPP terms and applicable law, the compensation committee has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1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Effective Date</w:t>
      </w:r>
      <w:r>
        <w:rPr>
          <w:rFonts w:ascii="Arial" w:cs="Arial" w:eastAsia="Arial" w:hAnsi="Arial"/>
          <w:sz w:val="17"/>
          <w:szCs w:val="17"/>
          <w:color w:val="auto"/>
        </w:rPr>
        <w:t>. The ESPP became effective on the date of the IPO. However, no offering periods will commence under the ESPP until such time and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23"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i w:val="1"/>
          <w:iCs w:val="1"/>
          <w:color w:val="auto"/>
        </w:rPr>
        <w:t>Eligible Participants</w:t>
      </w:r>
      <w:r>
        <w:rPr>
          <w:rFonts w:ascii="Arial" w:cs="Arial" w:eastAsia="Arial" w:hAnsi="Arial"/>
          <w:sz w:val="15"/>
          <w:szCs w:val="15"/>
          <w:color w:val="auto"/>
        </w:rPr>
        <w:t>. Subject to the compensation committee’s ability to exclude certain groups of employees on a uniform and nondiscriminatory basis,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76" w:name="page177"/>
    <w:bookmarkEnd w:id="176"/>
    <w:p>
      <w:pPr>
        <w:jc w:val="both"/>
        <w:spacing w:after="0" w:line="258" w:lineRule="auto"/>
        <w:rPr>
          <w:sz w:val="20"/>
          <w:szCs w:val="20"/>
          <w:color w:val="auto"/>
        </w:rPr>
      </w:pPr>
      <w:r>
        <w:rPr>
          <w:rFonts w:ascii="Arial" w:cs="Arial" w:eastAsia="Arial" w:hAnsi="Arial"/>
          <w:sz w:val="17"/>
          <w:szCs w:val="17"/>
          <w:color w:val="auto"/>
        </w:rPr>
        <w:t xml:space="preserve">or affiliate of ZoomInfo Technologies Inc., whether now existing or existing in the future, that has been designated by the compensation committee from time to time in its sole discretion as eligible to participate in the ESPP. The compensation committee may designate subsidiaries or affiliates of ZoomInfo Technologies Inc. as designated companies in an offering that does not satisfy the requirements of Section 423 of the Code. For offerings that, when taken together with the ESPP, comply with Section 423 of the Code and the regulations thereunder, only ZoomInfo Technologies Inc. and its subsidiaries may be designated companies;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at any given time, a subsidiary that is a designated company under a Section 423 Code-compliant offering will not be a designated</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under an offering that does not comply with Section 423 of the Code.</w:t>
      </w:r>
    </w:p>
    <w:p>
      <w:pPr>
        <w:spacing w:after="0" w:line="130"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A participant may acquire common stock under the ESPP by authorizing the use of contributions to purchase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2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i w:val="1"/>
          <w:iCs w:val="1"/>
          <w:color w:val="auto"/>
        </w:rPr>
        <w:t>Offering Periods and Purchase Price</w:t>
      </w:r>
      <w:r>
        <w:rPr>
          <w:rFonts w:ascii="Arial" w:cs="Arial" w:eastAsia="Arial" w:hAnsi="Arial"/>
          <w:sz w:val="17"/>
          <w:szCs w:val="17"/>
          <w:color w:val="auto"/>
        </w:rPr>
        <w:t>. The ESPP generally provides for two six-month offering periods, with one purchase period in each offering period.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compensation committee has the authority to change the duration of a purchase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change is announced a reasonable period of time prior to its effective date and the purchase period is not greater than 27 months.</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participant may purchase shares of common stock with a fair market value (as of the date of purchase right grant) in excess of $25,000 per calendar year in the case of offerings intended to comply with Section 423 of the Code; and (b) 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17"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(provided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Rights as Stockholder</w:t>
      </w:r>
      <w:r>
        <w:rPr>
          <w:rFonts w:ascii="Arial" w:cs="Arial" w:eastAsia="Arial" w:hAnsi="Arial"/>
          <w:sz w:val="17"/>
          <w:szCs w:val="17"/>
          <w:color w:val="auto"/>
        </w:rPr>
        <w:t>. A participant will have no rights as a stockholder with respect to our shares that the participant has a purchase right to purchase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until those shares are issued to the participant.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77" w:name="page178"/>
    <w:bookmarkEnd w:id="177"/>
    <w:p>
      <w:pPr>
        <w:jc w:val="both"/>
        <w:ind w:firstLine="309"/>
        <w:spacing w:after="0" w:line="279" w:lineRule="auto"/>
        <w:rPr>
          <w:sz w:val="20"/>
          <w:szCs w:val="20"/>
          <w:color w:val="auto"/>
        </w:rPr>
      </w:pPr>
      <w:r>
        <w:rPr>
          <w:rFonts w:ascii="Arial" w:cs="Arial" w:eastAsia="Arial" w:hAnsi="Arial"/>
          <w:sz w:val="17"/>
          <w:szCs w:val="17"/>
          <w:i w:val="1"/>
          <w:iCs w:val="1"/>
          <w:color w:val="auto"/>
        </w:rPr>
        <w:t>Rights Not Transferable</w:t>
      </w:r>
      <w:r>
        <w:rPr>
          <w:rFonts w:ascii="Arial" w:cs="Arial" w:eastAsia="Arial" w:hAnsi="Arial"/>
          <w:sz w:val="17"/>
          <w:szCs w:val="17"/>
          <w:color w:val="auto"/>
        </w:rPr>
        <w:t>. A participant’s rights under the ESPP will be exercisable only by the participant and are not transferable other than by will or the laws</w:t>
      </w:r>
      <w:r>
        <w:rPr>
          <w:rFonts w:ascii="Arial" w:cs="Arial" w:eastAsia="Arial" w:hAnsi="Arial"/>
          <w:sz w:val="17"/>
          <w:szCs w:val="17"/>
          <w:i w:val="1"/>
          <w:iCs w:val="1"/>
          <w:color w:val="auto"/>
        </w:rPr>
        <w:t xml:space="preserve"> </w:t>
      </w:r>
      <w:r>
        <w:rPr>
          <w:rFonts w:ascii="Arial" w:cs="Arial" w:eastAsia="Arial" w:hAnsi="Arial"/>
          <w:sz w:val="17"/>
          <w:szCs w:val="17"/>
          <w:color w:val="auto"/>
        </w:rPr>
        <w:t>of descent or distribution.</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i w:val="1"/>
          <w:iCs w:val="1"/>
          <w:color w:val="auto"/>
        </w:rPr>
        <w:t>Effect of a Change in Control; Adjustments</w:t>
      </w:r>
      <w:r>
        <w:rPr>
          <w:rFonts w:ascii="Arial" w:cs="Arial" w:eastAsia="Arial" w:hAnsi="Arial"/>
          <w:sz w:val="16"/>
          <w:szCs w:val="16"/>
          <w:color w:val="auto"/>
        </w:rPr>
        <w:t>. If there is any change in the outstanding shares of our common stock because of a merger, change in control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2020 Plan), consolidation, recapitalization or reorganization involving ZoomInfo Technologies Inc., or if our board of directors declares a stock dividend, stock split distributable in shares of common stock or reverse stock split, other distribution or combination or reclassification of our common stock, or if there is a similar change in the capital stock structure of ZoomInfo Technologies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122" w:lineRule="exact"/>
        <w:rPr>
          <w:sz w:val="20"/>
          <w:szCs w:val="20"/>
          <w:color w:val="auto"/>
        </w:rPr>
      </w:pPr>
    </w:p>
    <w:p>
      <w:pPr>
        <w:ind w:left="620" w:hanging="308"/>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assumption or substitution of purchase rights by a successor entity (or parent or subsidiary of such successor);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selection of a date on which all outstanding purchase rights will be exercised on or before the consummation date of the change in control;</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termination of outstanding purchase rights and refund of accumulated contributions to each participant prior to the change in control;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continuation of outstanding purchase rights unchanged.</w:t>
      </w:r>
    </w:p>
    <w:p>
      <w:pPr>
        <w:spacing w:after="0" w:line="165" w:lineRule="exact"/>
        <w:rPr>
          <w:sz w:val="20"/>
          <w:szCs w:val="20"/>
          <w:color w:val="auto"/>
        </w:rPr>
      </w:pPr>
    </w:p>
    <w:p>
      <w:pPr>
        <w:jc w:val="both"/>
        <w:ind w:firstLine="309"/>
        <w:spacing w:after="0" w:line="288"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The ESPP may be amended, altered, suspended and/or terminated at any time by our board of directors;</w:t>
      </w:r>
      <w:r>
        <w:rPr>
          <w:rFonts w:ascii="Arial" w:cs="Arial" w:eastAsia="Arial" w:hAnsi="Arial"/>
          <w:sz w:val="15"/>
          <w:szCs w:val="15"/>
          <w:i w:val="1"/>
          <w:iCs w:val="1"/>
          <w:color w:val="auto"/>
        </w:rPr>
        <w:t xml:space="preserve"> provided</w:t>
      </w:r>
      <w:r>
        <w:rPr>
          <w:rFonts w:ascii="Arial" w:cs="Arial" w:eastAsia="Arial" w:hAnsi="Arial"/>
          <w:sz w:val="15"/>
          <w:szCs w:val="15"/>
          <w:color w:val="auto"/>
        </w:rPr>
        <w:t>, that approval of</w:t>
      </w:r>
      <w:r>
        <w:rPr>
          <w:rFonts w:ascii="Arial" w:cs="Arial" w:eastAsia="Arial" w:hAnsi="Arial"/>
          <w:sz w:val="15"/>
          <w:szCs w:val="15"/>
          <w:i w:val="1"/>
          <w:iCs w:val="1"/>
          <w:color w:val="auto"/>
        </w:rPr>
        <w:t xml:space="preserve"> </w:t>
      </w:r>
      <w:r>
        <w:rPr>
          <w:rFonts w:ascii="Arial" w:cs="Arial" w:eastAsia="Arial" w:hAnsi="Arial"/>
          <w:sz w:val="15"/>
          <w:szCs w:val="15"/>
          <w:color w:val="auto"/>
        </w:rPr>
        <w:t>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w:t>
      </w:r>
    </w:p>
    <w:p>
      <w:pPr>
        <w:spacing w:after="0" w:line="4" w:lineRule="exact"/>
        <w:rPr>
          <w:sz w:val="20"/>
          <w:szCs w:val="20"/>
          <w:color w:val="auto"/>
        </w:rPr>
      </w:pPr>
    </w:p>
    <w:p>
      <w:pPr>
        <w:jc w:val="both"/>
        <w:ind w:firstLine="3"/>
        <w:spacing w:after="0" w:line="256" w:lineRule="auto"/>
        <w:tabs>
          <w:tab w:leader="none" w:pos="26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of Class P Units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the amount of proceeds that would be distributed to such Class P Unit if the Company were to be sold at a value derived from the initial public offering price in the IPO, and the intrinsic value of the Employee Units issued in respect of each Class P Unit had an intrinsic value equal to the hypothetical proceeds such Class P Unit would have received. Vested Class P Units were generally converted into fully vested Employee Units and unvested Class P Units were generally converted into unvested Employee Units, which are subject to vesting terms (as described below) that are substantially similar to those applicable to the unvested Class P Units immediately prior to the Reclassification, as described above. The aggregate number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78" w:name="page179"/>
    <w:bookmarkEnd w:id="178"/>
    <w:p>
      <w:pPr>
        <w:jc w:val="both"/>
        <w:spacing w:after="0" w:line="258" w:lineRule="auto"/>
        <w:rPr>
          <w:sz w:val="20"/>
          <w:szCs w:val="20"/>
          <w:color w:val="auto"/>
        </w:rPr>
      </w:pPr>
      <w:r>
        <w:rPr>
          <w:rFonts w:ascii="Arial" w:cs="Arial" w:eastAsia="Arial" w:hAnsi="Arial"/>
          <w:sz w:val="17"/>
          <w:szCs w:val="17"/>
          <w:color w:val="auto"/>
        </w:rPr>
        <w:t>vested and unvested Employee Units issued to holders of Class P Units was 1,325,330. The total number of unvested Employee Units issued was 1,290,263, or approximately 97.4% of the total of 1,325,330 Employee Units issued and outstanding following the IPO and the consummation of the transactions contemplated by the Reclassification. The vesting conditions applicable to these unvested Employee Units are generally as follows: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In connection with the Reclassification, we granted options to purchase shares of Class A common stock under the 2020 Plan to all holders of Class P Units whose interests were converted in the Reclassification, in substitution for part of the economic benefit of the Class P Units that was not reflected in the conversion of Class P Units to Employee Units. We refer to these stock options as “leverage restoration options.” The leverage restoration options have an exercise price per share that is equal to the initial public offering price per share in the IPO and vest according to the same vesting schedule as the corresponding Class P Units in respect of which they were granted. The aggregate number of leverage restoration options granted to holders of Class P Units whose interests were converted into Employee Units in the Reclassification was 576,708.</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None of our directors received compensation for their service on the board of directors for 2018 or 2019. However, all directors are reimbursed for their reasonable out-of-pocket expenses related to their board service.</w:t>
      </w:r>
    </w:p>
    <w:p>
      <w:pPr>
        <w:spacing w:after="0" w:line="112"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For 2020, each of our outside directors (Messrs. Dhruv, Enright, and Mader) is entitled to receive $50,000 annually as a cash retainer for their board service, with additional annual cash retainers of (i) $20,000 for Mr. Dhruv for his service as a member and the chair of the audit committee; (ii) $10,000 for Mr. Mader for his service as a member of the audit committee and (iii) $15,000 for Mr. Enright for his service as chair of the Privacy, Security and Technology Committee.</w:t>
      </w:r>
    </w:p>
    <w:p>
      <w:pPr>
        <w:spacing w:after="0" w:line="89"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Additionally, each of the outside directors received sign-on equity grants of restricted stock units that were awarded and valued upon the completion of the IPO with the following values, and with each such initial grant to vest in three equal installments on each of the three succeeding anniversaries of the date on which the applicable director commenced serving on our board of directors: (i) in the case of Mr. Dhruv, a $200,000 restricted stock unit award; (ii) in the case of Mr. Enright, a $100,000 restricted stock unit award; and (iii) in the case of Mr. Mader, a $100,000 restricted stock unit award. On July 23, 2020, each of Messrs. Dhruv and Mader received 3,330 and 1,665 additional restricted stock units, respectively, which were intended to give them the benefit of the increase in the value of our equity since the commencement of their board service. These additional restricted stock unit grants will vest on the same schedule as the sign-on grants that Messrs. Dhruv and Mader received at the time of the IPO.</w:t>
      </w:r>
    </w:p>
    <w:p>
      <w:pPr>
        <w:spacing w:after="0" w:line="12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At the time of the IPO, each director received, and will continue to receive each year following the IPO,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123" w:lineRule="exact"/>
        <w:rPr>
          <w:sz w:val="20"/>
          <w:szCs w:val="20"/>
          <w:color w:val="auto"/>
        </w:rPr>
      </w:pPr>
    </w:p>
    <w:p>
      <w:pPr>
        <w:ind w:right="1500" w:firstLine="309"/>
        <w:spacing w:after="0" w:line="442" w:lineRule="auto"/>
        <w:rPr>
          <w:sz w:val="20"/>
          <w:szCs w:val="20"/>
          <w:color w:val="auto"/>
        </w:rPr>
      </w:pPr>
      <w:r>
        <w:rPr>
          <w:rFonts w:ascii="Arial" w:cs="Arial" w:eastAsia="Arial" w:hAnsi="Arial"/>
          <w:sz w:val="17"/>
          <w:szCs w:val="17"/>
          <w:color w:val="auto"/>
        </w:rPr>
        <w:t xml:space="preserve">Additionally, all of our directors will continue to be reimbursed for their reasonable out-of-pocket expenses related to their board service. </w:t>
      </w:r>
      <w:r>
        <w:rPr>
          <w:rFonts w:ascii="Arial" w:cs="Arial" w:eastAsia="Arial" w:hAnsi="Arial"/>
          <w:sz w:val="17"/>
          <w:szCs w:val="17"/>
          <w:b w:val="1"/>
          <w:bCs w:val="1"/>
          <w:color w:val="auto"/>
        </w:rPr>
        <w:t>IPO Employee Equity Grants</w:t>
      </w:r>
    </w:p>
    <w:p>
      <w:pPr>
        <w:spacing w:after="0" w:line="1"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In connection with the IPO and in order to incentivize future employee performance and retention, we made grants to certain employees at the time of the IPO of Class P Units in ZoomInfo OpCo, LTIP Units in ZoomInfo OpCo, and additional grants of restricted stock units covering shares of Class A common stock under the Omnibus Incentive Plan (not including the leverage restoration option grants described under “Conversion of Class P Units” above) as follows: 630,000 Class P Units with a participation threshold (</w:t>
      </w:r>
      <w:r>
        <w:rPr>
          <w:rFonts w:ascii="Arial" w:cs="Arial" w:eastAsia="Arial" w:hAnsi="Arial"/>
          <w:sz w:val="15"/>
          <w:szCs w:val="15"/>
          <w:i w:val="1"/>
          <w:iCs w:val="1"/>
          <w:color w:val="auto"/>
        </w:rPr>
        <w:t>i.e.</w:t>
      </w:r>
      <w:r>
        <w:rPr>
          <w:rFonts w:ascii="Arial" w:cs="Arial" w:eastAsia="Arial" w:hAnsi="Arial"/>
          <w:sz w:val="15"/>
          <w:szCs w:val="15"/>
          <w:color w:val="auto"/>
        </w:rPr>
        <w:t>, strike price) equal to the initial public offering price per share in the IPO, 47,620 LTIP Units and 513,440 restricted stock units. Such Class P Units, LTIP Units and restricted stock units will generally vest in varying installments over three to four and a half years.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79" w:name="page180"/>
    <w:bookmarkEnd w:id="179"/>
    <w:p>
      <w:pPr>
        <w:jc w:val="both"/>
        <w:ind w:firstLine="309"/>
        <w:spacing w:after="0" w:line="277" w:lineRule="auto"/>
        <w:rPr>
          <w:sz w:val="20"/>
          <w:szCs w:val="20"/>
          <w:color w:val="auto"/>
        </w:rPr>
      </w:pPr>
      <w:r>
        <w:rPr>
          <w:rFonts w:ascii="Arial" w:cs="Arial" w:eastAsia="Arial" w:hAnsi="Arial"/>
          <w:sz w:val="16"/>
          <w:szCs w:val="16"/>
          <w:color w:val="auto"/>
        </w:rPr>
        <w:t>The Class P Unit and LTIP Unit grants to our named executive officers in connection with the IPO were in the following amounts and with the following vesting terms: (i) Mr. Schuck received 450,000 Class P Units vesting in three equal installments on each of the second, third and fourth anniversaries of the grant date; (ii) Mr. Hyzer received 90,000 Class P Units vesting in three equal installments on the dates that are two and a half, three and a half, and four and a half years following the grant date; and (iii) Mr. Hays received 90,000 Class P Units and 47,620 LTIP Units, each vesting in three equal installments on the dates that are two and a half, three and a half, and four and a half years following the grant date. Each of the Class P Unit agreements for named executive officers provides for a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strike price) equal to the initial public offering price per share in the IPO.</w:t>
      </w:r>
    </w:p>
    <w:p>
      <w:pPr>
        <w:spacing w:after="0" w:line="11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employee Class P Unit, LTIP Unit and restricted stock unit awards described above are subject to “double triggered” vesting protection, such that vesting will accelerate in the event of a termination without “cause” or a termination for “good reason,” in each case, occurring within 12 months following a change in control. Additionally, Mr. Schuck’s Class P Unit award is subject to potential accelerated vesting upon certain additional employment termination events pursuant to the terms of his employment agreement, as described above.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i w:val="1"/>
          <w:iCs w:val="1"/>
          <w:color w:val="auto"/>
        </w:rPr>
        <w:t>The agreements described in this section are filed as exhibits to the registration statement of which this prospectus forms a part, and the following descriptions are qualified by reference thereto.</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123" w:lineRule="exact"/>
        <w:rPr>
          <w:sz w:val="20"/>
          <w:szCs w:val="20"/>
          <w:color w:val="auto"/>
        </w:rPr>
      </w:pPr>
    </w:p>
    <w:p>
      <w:pPr>
        <w:jc w:val="both"/>
        <w:ind w:firstLine="309"/>
        <w:spacing w:after="0" w:line="289" w:lineRule="auto"/>
        <w:rPr>
          <w:sz w:val="20"/>
          <w:szCs w:val="20"/>
          <w:color w:val="auto"/>
        </w:rPr>
      </w:pPr>
      <w:r>
        <w:rPr>
          <w:rFonts w:ascii="Arial" w:cs="Arial" w:eastAsia="Arial" w:hAnsi="Arial"/>
          <w:sz w:val="15"/>
          <w:szCs w:val="15"/>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are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81" w:name="page182"/>
    <w:bookmarkEnd w:id="181"/>
    <w:p>
      <w:pPr>
        <w:jc w:val="both"/>
        <w:spacing w:after="0" w:line="257" w:lineRule="auto"/>
        <w:rPr>
          <w:sz w:val="20"/>
          <w:szCs w:val="20"/>
          <w:color w:val="auto"/>
        </w:rPr>
      </w:pPr>
      <w:r>
        <w:rPr>
          <w:rFonts w:ascii="Arial" w:cs="Arial" w:eastAsia="Arial" w:hAnsi="Arial"/>
          <w:sz w:val="17"/>
          <w:szCs w:val="17"/>
          <w:color w:val="auto"/>
        </w:rPr>
        <w:t>consummation of the IPO, in connection with the public offering of such Class A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has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171" w:lineRule="exact"/>
        <w:rPr>
          <w:sz w:val="20"/>
          <w:szCs w:val="20"/>
          <w:color w:val="auto"/>
        </w:rPr>
      </w:pPr>
    </w:p>
    <w:p>
      <w:pPr>
        <w:jc w:val="both"/>
        <w:ind w:firstLine="309"/>
        <w:spacing w:after="0" w:line="288" w:lineRule="auto"/>
        <w:rPr>
          <w:sz w:val="20"/>
          <w:szCs w:val="20"/>
          <w:color w:val="auto"/>
        </w:rPr>
      </w:pPr>
      <w:r>
        <w:rPr>
          <w:rFonts w:ascii="Arial" w:cs="Arial" w:eastAsia="Arial" w:hAnsi="Arial"/>
          <w:sz w:val="15"/>
          <w:szCs w:val="15"/>
          <w:color w:val="auto"/>
        </w:rPr>
        <w:t>ZoomInfo Technologies Inc. entered into two tax receivable agreements. ZoomInfo Technologies Inc.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are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are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Technologies Inc. exercises its right to terminate one or both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82" w:name="page183"/>
    <w:bookmarkEnd w:id="182"/>
    <w:p>
      <w:pPr>
        <w:jc w:val="both"/>
        <w:spacing w:after="0" w:line="295" w:lineRule="auto"/>
        <w:rPr>
          <w:sz w:val="20"/>
          <w:szCs w:val="20"/>
          <w:color w:val="auto"/>
        </w:rPr>
      </w:pPr>
      <w:r>
        <w:rPr>
          <w:rFonts w:ascii="Arial" w:cs="Arial" w:eastAsia="Arial" w:hAnsi="Arial"/>
          <w:sz w:val="15"/>
          <w:szCs w:val="15"/>
          <w:color w:val="auto"/>
        </w:rPr>
        <w:t>agreements for an amount based on the agreed payments remaining to be made under the agreement (as described in more detail below),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increase in the ZoomInfo Tax Group’s allocable share of existing tax basis and the anticipated tax basis adjustments upon the exchange of OpCo Units for shares of Class A common stock, as well as the amount and timing of any payments under the tax receivable agreements, will vary depending upon a number of factors, including:</w:t>
      </w:r>
    </w:p>
    <w:p>
      <w:pPr>
        <w:spacing w:after="0" w:line="107" w:lineRule="exact"/>
        <w:rPr>
          <w:sz w:val="20"/>
          <w:szCs w:val="20"/>
          <w:color w:val="auto"/>
        </w:rPr>
      </w:pPr>
    </w:p>
    <w:p>
      <w:pPr>
        <w:jc w:val="both"/>
        <w:ind w:left="620" w:hanging="308"/>
        <w:spacing w:after="0" w:line="261" w:lineRule="auto"/>
        <w:tabs>
          <w:tab w:leader="none" w:pos="61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the ZoomInfo Tax Group’s allocable share of existing tax basis acquired upon the future exchange of OpCo Units for shares of Class A common stock will vary depending on the amount of remaining existing tax basis at the time of such exchange;</w:t>
      </w:r>
    </w:p>
    <w:p>
      <w:pPr>
        <w:spacing w:after="0" w:line="128" w:lineRule="exact"/>
        <w:rPr>
          <w:rFonts w:ascii="Arial" w:cs="Arial" w:eastAsia="Arial" w:hAnsi="Arial"/>
          <w:sz w:val="17"/>
          <w:szCs w:val="17"/>
          <w:color w:val="auto"/>
        </w:rPr>
      </w:pPr>
    </w:p>
    <w:p>
      <w:pPr>
        <w:ind w:left="620" w:hanging="308"/>
        <w:spacing w:after="0" w:line="311" w:lineRule="auto"/>
        <w:tabs>
          <w:tab w:leader="none" w:pos="61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89" w:lineRule="exact"/>
        <w:rPr>
          <w:rFonts w:ascii="Arial" w:cs="Arial" w:eastAsia="Arial" w:hAnsi="Arial"/>
          <w:sz w:val="16"/>
          <w:szCs w:val="16"/>
          <w:color w:val="auto"/>
        </w:rPr>
      </w:pPr>
    </w:p>
    <w:p>
      <w:pPr>
        <w:ind w:left="620" w:hanging="308"/>
        <w:spacing w:after="0"/>
        <w:tabs>
          <w:tab w:leader="none" w:pos="6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112" w:lineRule="exact"/>
        <w:rPr>
          <w:rFonts w:ascii="Arial" w:cs="Arial" w:eastAsia="Arial" w:hAnsi="Arial"/>
          <w:sz w:val="17"/>
          <w:szCs w:val="17"/>
          <w:color w:val="auto"/>
        </w:rPr>
      </w:pPr>
    </w:p>
    <w:p>
      <w:pPr>
        <w:jc w:val="both"/>
        <w:ind w:left="620" w:hanging="308"/>
        <w:spacing w:after="0" w:line="258" w:lineRule="auto"/>
        <w:tabs>
          <w:tab w:leader="none" w:pos="61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amount and timing of our income—ZoomInfo Technologies Inc. is obligated to pay 85% of the cash tax benefits under the tax receivable agreements as and when realized. If the ZoomInfo Tax Group does not have taxable income, ZoomInfo Technologies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Although the amount of ZoomInfo Technologies Inc.’s allocable share of existing tax basis acquired in the IPO with respect to which our pre-IPO owners are entitled to receive payments under the tax receivable agreements has been determined to be approximately $257.4 million, the timing and amount of any related payments under the tax receivable agreements is uncertain since both will be dependent on the amount and timing of the ZoomInfo Tax Group’s income and other tax attributes.</w:t>
      </w:r>
    </w:p>
    <w:p>
      <w:pPr>
        <w:spacing w:after="0" w:line="12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We expect that as a result of the size of the ZoomInfo Tax Group’s allocable share of existing tax basis acquired in the IPO (including such existing tax basis acquired from the Blocker Companies pursuant to the Blocker Mergers),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we may make under the tax receivable agreements will be substantial. We estimate the amount of existing tax basis with respect to which our pre-IPO owners are entitled to receive payments under the tax receivable agreements (assuming all Pre-IPO OpCo Unitholders exchange their outstanding OpCo Units (together with a corresponding number of shares of Class B common stock) for shares of Class A common stock on the date of this offering) is approximately $344.8 million. There may be a material negative effect on our liquidity if, as a result of timing discrepancies 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83" w:name="page184"/>
    <w:bookmarkEnd w:id="183"/>
    <w:p>
      <w:pPr>
        <w:jc w:val="both"/>
        <w:spacing w:after="0" w:line="279" w:lineRule="auto"/>
        <w:rPr>
          <w:sz w:val="20"/>
          <w:szCs w:val="20"/>
          <w:color w:val="auto"/>
        </w:rPr>
      </w:pPr>
      <w:r>
        <w:rPr>
          <w:rFonts w:ascii="Arial" w:cs="Arial" w:eastAsia="Arial" w:hAnsi="Arial"/>
          <w:sz w:val="16"/>
          <w:szCs w:val="16"/>
          <w:color w:val="auto"/>
        </w:rPr>
        <w:t>otherwise, the payments under the tax receivable agreements exceed the actual cash tax benefits that the ZoomInfo Tax Group realizes in respect of the tax attributes subject to the tax receivable agreements and/or distributions to the ZoomInfo Tax Group by ZoomInfo OpCo are not sufficient to permit ZoomInfo Technologies Inc. to make payments under the tax receivable agreements after it has paid taxes. Certain late payments under the tax receivable agreements generally will accrue interest at an uncapped rate equal to a per annum rate of LIBOR (or its successor rate) plus 500 basis points. The payments under the tax receivable agreements are not conditioned upon continued ownership of us by the exchanging holders of OpCo Units.</w:t>
      </w:r>
    </w:p>
    <w:p>
      <w:pPr>
        <w:spacing w:after="0" w:line="11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addition, the tax receivable agreements provide that upon certain changes of control, ZoomInfo Technologies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 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a per annum rate of the lesser of (i) 6.5% and (ii) LIBOR, or its successor rate, plus 100 basis points) of the anticipated future tax benefits determined using assumptions (ii) through (v) of the following paragraph.</w:t>
      </w:r>
    </w:p>
    <w:p>
      <w:pPr>
        <w:spacing w:after="0" w:line="13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Furthermore, ZoomInfo Technologies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 anticipated future cash tax benefits are discounted at a per annum rate equal to the lesser of (i) 6.5% and (ii) LIBOR, or its successor rate, plus 100 basis points. Assuming that the market value of a share of Class A common stock were to be equal to $42.99 per share, which is the last reported sale price of our Class A common stock on the Nasdaq on September 30, 2020, and that LIBOR were to be 0.34%, we estimate that the aggregate amount of these termination payments would be approximately $1,963.9 million if ZoomInfo Technologies Inc. were to exercise its termination right immediately following this offering.</w:t>
      </w:r>
    </w:p>
    <w:p>
      <w:pPr>
        <w:spacing w:after="0" w:line="12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As a result of the change of control provisions and the early termination right, ZoomInfo Technologies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13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Decisions made by our pre-IPO owners in the course of running our business may influence the timing and amount of payments that are received by a pre-IPO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increase a pre-IPO owner’s tax liability without giving rise to any rights of a pre-IPO owner to receive payments under the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84" w:name="page185"/>
    <w:bookmarkEnd w:id="184"/>
    <w:p>
      <w:pPr>
        <w:jc w:val="both"/>
        <w:ind w:firstLine="309"/>
        <w:spacing w:after="0" w:line="279" w:lineRule="auto"/>
        <w:rPr>
          <w:sz w:val="20"/>
          <w:szCs w:val="20"/>
          <w:color w:val="auto"/>
        </w:rPr>
      </w:pPr>
      <w:r>
        <w:rPr>
          <w:rFonts w:ascii="Arial" w:cs="Arial" w:eastAsia="Arial" w:hAnsi="Arial"/>
          <w:sz w:val="16"/>
          <w:szCs w:val="16"/>
          <w:color w:val="auto"/>
        </w:rPr>
        <w:t>Payments under the tax receivable agreements will be based on the tax reporting positions that we will determine. ZoomInfo Technologies Inc. will not be reimbursed for any payments previously made under the tax receivable agreements if the ZoomInfo Tax Group’s allocable share of existing tax basis acquired in the IPO and increased upon the exchange of OpCo Units for shares of Class A common stock, the anticipated tax basis adjustments or our utilization of tax attributes are successfully challenged by the IRS, although such amounts may reduce our future obligations, if any, under the tax receivable agreements. As a result, in certain circumstances, payments could be made under the tax receivable agreements in excess of the ZoomInfo Tax Group’s cash tax benefits.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OpCo Amended and Restated Limited Liability Company Agreement</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a result of the Reorganization Transactions and the IPO Transactions, ZoomInfo Technologies Inc. holds HoldCo Units in ZoomInfo HoldCo and has control over ZoomInfo HoldCo, and ZoomInfo HoldCo holds OpCo Units in ZoomInfo OpCo and is the sole managing member of ZoomInfo OpCo. Accordingly, ZoomInfo Technologies Inc. operates and controls all of the business and affairs of ZoomInfo OpCo through ZoomInfo HoldCo and, through ZoomInfo OpCo and its operating entity subsidiaries, conducts our business.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Pursuant to the amended and restated limited liability company agreement of ZoomInfo OpCo, ZoomInfo HoldCo has the right to determine when distributions will be made to holders of OpCo Units and the amount of any such distributions. If a distribution is authorized, such distribution will be made to the holders of OpCo Units pro rata in accordance with the percentages of their respective limited liability company interests.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No distributions will be made in respect of unvested OpCo Units and instead such amounts will be distributed to holders of vested OpCo Units pro rata in accordance with their vested interests.</w:t>
      </w:r>
    </w:p>
    <w:p>
      <w:pPr>
        <w:spacing w:after="0" w:line="112"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OpCo Units and Class P Units (whether vested or unvested) if ZoomInfo HoldCo, as the sole managing member of ZoomInfo OpCo, determines that a holder, by reason of holding OpCo Units or Class P Unit, as applicable, incurs an income tax liability. Generally, these tax distributions will be computed based on our estimate of the net taxable income of ZoomInfo OpCo allocated to the holder of OpCo Units that receives the greatest proportionate allocation of income multiplied by an assumed tax rate. Tax distributions with respect to Class P Units will be determined based on the assumed tax liability of such Class P Unitholder with respect to such Class P Units rather than on a pro rata basis.</w:t>
      </w:r>
    </w:p>
    <w:p>
      <w:pPr>
        <w:spacing w:after="0" w:line="132"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have the right to exchange their vested Class P Units into a number of shares of Class A common stock that will generally be equal to (a) the product of (X) the number of vested Class P Units to be exchanged with a given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and (Y) then-current difference between the per share value of an OpCo Unit at the time of the exchange (based on the public trading price of Class A common stock) and the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any agreements with ZoomInfo Technologies Inc. or its subsidiaries by which the holder of OpCo Units is bound, or ZoomInfo Technologies Inc.’s insider trading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85" w:name="page186"/>
    <w:bookmarkEnd w:id="185"/>
    <w:p>
      <w:pPr>
        <w:jc w:val="both"/>
        <w:spacing w:after="0" w:line="290" w:lineRule="auto"/>
        <w:rPr>
          <w:sz w:val="20"/>
          <w:szCs w:val="20"/>
          <w:color w:val="auto"/>
        </w:rPr>
      </w:pPr>
      <w:r>
        <w:rPr>
          <w:rFonts w:ascii="Arial" w:cs="Arial" w:eastAsia="Arial" w:hAnsi="Arial"/>
          <w:sz w:val="16"/>
          <w:szCs w:val="16"/>
          <w:color w:val="auto"/>
        </w:rPr>
        <w:t>policies. Upon such exchange, ZoomInfo Technologies Inc. will contribute the OpCo Units it receives to ZoomInfo HoldCo in exchange for a corresponding number of newly issued HoldCo Units. As a holder exchanges OpCo Units for shares of Class A common stock, the number of HoldCo Units held by ZoomInfo Technologies Inc. in exchange for the exchanged OpCo Units is correspondingly increased as it acquires the exchanged OpCo Units.</w:t>
      </w:r>
    </w:p>
    <w:p>
      <w:pPr>
        <w:spacing w:after="0" w:line="106"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amended and restated limited liability company agreement of ZoomInfo OpCo also provides for the ability to issue LTIP Units, which are a class of partnership units that are intended to qualify as “profits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 OpCo Units, in turn, may be exchanged into shares of Class A common stock of ZoomInfo Technologies Inc. on a one-for-one basis, subject to the terms and conditions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HoldCo Amended and Restated Limited Liability Company Agreement</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a result of the Reorganization Transactions and the IPO Transactions, ZoomInfo Technologies Inc. holds HoldCo Units in ZoomInfo HoldCo and has control over ZoomInfo HoldCo. ZoomInfo HoldCo has elected to be treated as a corporation for U.S. federal income tax purposes effective upon its date of formation. ZoomInfo HoldCo intends to make payments to us such that we are able to cover all applicable taxes payable by us, any payments we are obligated to make under the tax receivable agreements we intend to enter into as part of the Reorganization Transactions.</w:t>
      </w:r>
    </w:p>
    <w:p>
      <w:pPr>
        <w:spacing w:after="0" w:line="128"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In connection with the Reorganization Transaction,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ZoomInfo Technologies Inc. may impose restrictions on exchange that it determines in good faith to be necessary so that ZoomInfo OpCo is not treated as a “publicly traded partnership” for U.S. federal income tax purposes.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of OpCo Units and Payment of Blocker Merger Consideration</w:t>
      </w:r>
    </w:p>
    <w:p>
      <w:pPr>
        <w:spacing w:after="0" w:line="171"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We used approximately $42.2 million of the net proceeds we received from the IPO, in addition to purchasing newly issued HoldCo Units from ZoomInfo HoldCo, to purchase OpCo Units from certain of our Sponsors, and to fund $5.5 million of merger consideration (an aggregate cash amount equal to 275,269 shares of Class C common stock multiplied by the public offering price per share of Class A common stock in the IPO, less the underwriting discount) payable to certain of our Sponsors in connection with the Blocker Mergers, at a price per OpCo Unit or share of Class C common stock, respectively, equal to the initial public offering price per share of Class A common stock in the IPO, less the underwriting discount. Upon each purchase of OpCo Units, the corresponding shares of Class B common stock were canceled. The table below sets forth the number of OpCo Units purchased from certain of our Sponsors, and the shares of Class C common stock underlying the merger consideration payable to the Sponsors.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 of OpCo Units Purchased</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 of Shares of Class C</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Aggregate Purchase Price</w:t>
            </w: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Common Stock Purchased</w:t>
            </w:r>
          </w:p>
        </w:tc>
        <w:tc>
          <w:tcPr>
            <w:tcW w:w="280" w:type="dxa"/>
            <w:vAlign w:val="bottom"/>
          </w:tcPr>
          <w:p>
            <w:pPr>
              <w:spacing w:after="0"/>
              <w:rPr>
                <w:sz w:val="15"/>
                <w:szCs w:val="15"/>
                <w:color w:val="auto"/>
              </w:rPr>
            </w:pPr>
          </w:p>
        </w:tc>
        <w:tc>
          <w:tcPr>
            <w:tcW w:w="1380" w:type="dxa"/>
            <w:vAlign w:val="bottom"/>
          </w:tcPr>
          <w:p>
            <w:pPr>
              <w:jc w:val="center"/>
              <w:ind w:right="203"/>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1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Sponsors</w:t>
            </w:r>
          </w:p>
        </w:tc>
        <w:tc>
          <w:tcPr>
            <w:tcW w:w="16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1,841,818</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275,269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86" w:name="page187"/>
    <w:bookmarkEnd w:id="186"/>
    <w:p>
      <w:pPr>
        <w:spacing w:after="0"/>
        <w:rPr>
          <w:sz w:val="20"/>
          <w:szCs w:val="20"/>
          <w:color w:val="auto"/>
        </w:rPr>
      </w:pPr>
      <w:r>
        <w:rPr>
          <w:rFonts w:ascii="Arial" w:cs="Arial" w:eastAsia="Arial" w:hAnsi="Arial"/>
          <w:sz w:val="17"/>
          <w:szCs w:val="17"/>
          <w:b w:val="1"/>
          <w:bCs w:val="1"/>
          <w:color w:val="auto"/>
        </w:rPr>
        <w:t>Other Related Person Transactions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Michelle Brewer, our Vice President, Human Resources, is the sister-in-law of Henry Schuck, our Chief Executive Officer. Total compensation paid by the Company to Michelle Brewer, including salary, bonus, and equity compensation, for the years ended December 31, 2016, 2017, 2018, and 2019 and for the nine months ended September 30, 2020 was $0.2 million, $0.4 million, $1.8 million, $1.0 million, and $0.9 million respectively.</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Hila Nir, our Chief Marketing Officer, is the sister-in-law of Nir Keren, our Chief Technology Officer. Total compensation paid by the Company to Hila Nir, including salary and equity compensation, since the Zoom Information Acquisition for the year ended December 31, 2019 and for the nine months ended September 30, 2020 was $0.7 million and $1.0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Transactions with Our Sponsors and Sponsor Portfolio Companies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provide complimentary access to our platform to 22C Capital and Carlyle. We estimate the value of such access provided to each of 22C Capital and Carlyle in each of 2018 and 2019 to be approximately $38,000 and $40,000, respectively. We estimate the value of such access provided to 22C Capital in 2017 to be approximately $33,000. No complimentary access to our platform was provided to Carlyle in 2017. In addition, we provide our services to TA Associates in the ordinary course of our business. We recorded revenues from TA Associates in each of 2017, 2018 and 2019 of approximately $36,000, $39,000 and $65,000, respectively.</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Policy Regarding Transactions with Related Persons</w:t>
      </w:r>
    </w:p>
    <w:p>
      <w:pPr>
        <w:spacing w:after="0" w:line="17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In connection with the IPO, our board of directors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board of directors. No related person transaction entered into following the IPO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7"/>
          <w:szCs w:val="17"/>
          <w:b w:val="1"/>
          <w:bCs w:val="1"/>
          <w:color w:val="auto"/>
        </w:rPr>
        <w:t>PRINCIPAL AND SELLING STOCKHOLDERS</w:t>
      </w:r>
    </w:p>
    <w:p>
      <w:pPr>
        <w:spacing w:after="0" w:line="171"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The following tables set forth information regarding the beneficial ownership of shares of our Class A common stock, our Class B common stock, and our Class C common stock by (1) each person known to us to beneficially own more than 5% of any class of the outstanding voting securities of ZoomInfo Technologies Inc., (2) each of our directors and named executive officers, (3) all of our directors and executive officers as a group, and (4) the selling stockholders.</w:t>
      </w:r>
    </w:p>
    <w:p>
      <w:pPr>
        <w:spacing w:after="0" w:line="89"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percentage of beneficial ownership of shares of our Class A common stock, our Class B common stock, and our Class C common stock before and after giving effect to this offering set forth below is based on 69,240,501 shares of Class A common stock outstanding, 228,488,162 shares of Class B common stock outstanding, and 91,582,353 shares of Class C common stock outstanding as of October 31, 2020. As of October 31, 2020, we had five holders of record of our Class A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October 31, 2020, we had 378 holders of record of our Class B common stock and seven holders of record of our Class C common stock.</w:t>
      </w:r>
    </w:p>
    <w:p>
      <w:pPr>
        <w:spacing w:after="0" w:line="13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Pre-IPO OpCo Unitholders and Pre-IPO HoldCo Unitholders hold all of the issued and outstanding shares of our Class B common stock.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11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Pre-IPO Blocker Holders hold all of the issued and outstanding shares of our Class C common stock.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30"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voting power afforded to the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Party Transactions—ZoomInfo OpCo Amended and Restated Limited Liability Company Agreement,” “Certain Relationships and Related Party Transactions—ZoomInfo HoldCo Amended and Restated Limited Liability Company Agreement,” and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gridSpan w:val="3"/>
          </w:tcPr>
          <w:p>
            <w:pPr>
              <w:jc w:val="center"/>
              <w:ind w:right="95"/>
              <w:spacing w:after="0"/>
              <w:rPr>
                <w:sz w:val="20"/>
                <w:szCs w:val="20"/>
                <w:color w:val="auto"/>
              </w:rPr>
            </w:pPr>
            <w:r>
              <w:rPr>
                <w:rFonts w:ascii="Arial" w:cs="Arial" w:eastAsia="Arial" w:hAnsi="Arial"/>
                <w:sz w:val="8"/>
                <w:szCs w:val="8"/>
                <w:b w:val="1"/>
                <w:bCs w:val="1"/>
                <w:color w:val="auto"/>
                <w:w w:val="85"/>
              </w:rPr>
              <w:t>Class A Common Stock to</w:t>
            </w: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20" w:type="dxa"/>
            <w:vAlign w:val="bottom"/>
            <w:gridSpan w:val="9"/>
            <w:vMerge w:val="restart"/>
          </w:tcPr>
          <w:p>
            <w:pPr>
              <w:spacing w:after="0"/>
              <w:rPr>
                <w:sz w:val="20"/>
                <w:szCs w:val="20"/>
                <w:color w:val="auto"/>
              </w:rPr>
            </w:pPr>
            <w:r>
              <w:rPr>
                <w:rFonts w:ascii="Arial" w:cs="Arial" w:eastAsia="Arial" w:hAnsi="Arial"/>
                <w:sz w:val="8"/>
                <w:szCs w:val="8"/>
                <w:b w:val="1"/>
                <w:bCs w:val="1"/>
                <w:color w:val="auto"/>
                <w:w w:val="93"/>
              </w:rPr>
              <w:t>Class A Common Stock Beneficially Owned</w:t>
            </w:r>
            <w:r>
              <w:rPr>
                <w:rFonts w:ascii="Arial" w:cs="Arial" w:eastAsia="Arial" w:hAnsi="Arial"/>
                <w:sz w:val="10"/>
                <w:szCs w:val="10"/>
                <w:b w:val="1"/>
                <w:bCs w:val="1"/>
                <w:color w:val="auto"/>
                <w:w w:val="93"/>
                <w:vertAlign w:val="superscript"/>
              </w:rPr>
              <w:t>(1)(3)</w:t>
            </w:r>
          </w:p>
        </w:tc>
        <w:tc>
          <w:tcPr>
            <w:tcW w:w="360" w:type="dxa"/>
            <w:vAlign w:val="bottom"/>
          </w:tcPr>
          <w:p>
            <w:pPr>
              <w:spacing w:after="0"/>
              <w:rPr>
                <w:sz w:val="6"/>
                <w:szCs w:val="6"/>
                <w:color w:val="auto"/>
              </w:rPr>
            </w:pPr>
          </w:p>
        </w:tc>
        <w:tc>
          <w:tcPr>
            <w:tcW w:w="1000" w:type="dxa"/>
            <w:vAlign w:val="bottom"/>
            <w:gridSpan w:val="3"/>
          </w:tcPr>
          <w:p>
            <w:pPr>
              <w:jc w:val="center"/>
              <w:ind w:right="75"/>
              <w:spacing w:after="0" w:line="78" w:lineRule="exact"/>
              <w:rPr>
                <w:sz w:val="20"/>
                <w:szCs w:val="20"/>
                <w:color w:val="auto"/>
              </w:rPr>
            </w:pPr>
            <w:r>
              <w:rPr>
                <w:rFonts w:ascii="Arial" w:cs="Arial" w:eastAsia="Arial" w:hAnsi="Arial"/>
                <w:sz w:val="8"/>
                <w:szCs w:val="8"/>
                <w:b w:val="1"/>
                <w:bCs w:val="1"/>
                <w:color w:val="auto"/>
                <w:w w:val="82"/>
              </w:rPr>
              <w:t>be Sold</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gridSpan w:val="9"/>
            <w:vMerge w:val="restart"/>
          </w:tcPr>
          <w:p>
            <w:pPr>
              <w:spacing w:after="0"/>
              <w:rPr>
                <w:sz w:val="20"/>
                <w:szCs w:val="20"/>
                <w:color w:val="auto"/>
              </w:rPr>
            </w:pPr>
            <w:r>
              <w:rPr>
                <w:rFonts w:ascii="Arial" w:cs="Arial" w:eastAsia="Arial" w:hAnsi="Arial"/>
                <w:sz w:val="8"/>
                <w:szCs w:val="8"/>
                <w:b w:val="1"/>
                <w:bCs w:val="1"/>
                <w:color w:val="auto"/>
              </w:rPr>
              <w:t>Class B Common Stock Beneficially Owned</w:t>
            </w:r>
            <w:r>
              <w:rPr>
                <w:rFonts w:ascii="Arial" w:cs="Arial" w:eastAsia="Arial" w:hAnsi="Arial"/>
                <w:sz w:val="10"/>
                <w:szCs w:val="10"/>
                <w:b w:val="1"/>
                <w:bCs w:val="1"/>
                <w:color w:val="auto"/>
                <w:vertAlign w:val="superscript"/>
              </w:rPr>
              <w:t>(1)(2)</w:t>
            </w: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gridSpan w:val="9"/>
            <w:vMerge w:val="restart"/>
          </w:tcPr>
          <w:p>
            <w:pPr>
              <w:ind w:left="60"/>
              <w:spacing w:after="0"/>
              <w:rPr>
                <w:sz w:val="20"/>
                <w:szCs w:val="20"/>
                <w:color w:val="auto"/>
              </w:rPr>
            </w:pPr>
            <w:r>
              <w:rPr>
                <w:rFonts w:ascii="Arial" w:cs="Arial" w:eastAsia="Arial" w:hAnsi="Arial"/>
                <w:sz w:val="8"/>
                <w:szCs w:val="8"/>
                <w:b w:val="1"/>
                <w:bCs w:val="1"/>
                <w:color w:val="auto"/>
              </w:rPr>
              <w:t>Class C Common Stock Beneficially Owned</w:t>
            </w:r>
            <w:r>
              <w:rPr>
                <w:rFonts w:ascii="Arial" w:cs="Arial" w:eastAsia="Arial" w:hAnsi="Arial"/>
                <w:sz w:val="10"/>
                <w:szCs w:val="10"/>
                <w:b w:val="1"/>
                <w:bCs w:val="1"/>
                <w:color w:val="auto"/>
                <w:vertAlign w:val="superscript"/>
              </w:rPr>
              <w:t>(3)</w:t>
            </w: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gridSpan w:val="4"/>
            <w:vMerge w:val="restart"/>
          </w:tcPr>
          <w:p>
            <w:pPr>
              <w:spacing w:after="0"/>
              <w:rPr>
                <w:sz w:val="20"/>
                <w:szCs w:val="20"/>
                <w:color w:val="auto"/>
              </w:rPr>
            </w:pPr>
            <w:r>
              <w:rPr>
                <w:rFonts w:ascii="Arial" w:cs="Arial" w:eastAsia="Arial" w:hAnsi="Arial"/>
                <w:sz w:val="8"/>
                <w:szCs w:val="8"/>
                <w:b w:val="1"/>
                <w:bCs w:val="1"/>
                <w:color w:val="auto"/>
              </w:rPr>
              <w:t>Combined Voting Power</w:t>
            </w:r>
            <w:r>
              <w:rPr>
                <w:rFonts w:ascii="Arial" w:cs="Arial" w:eastAsia="Arial" w:hAnsi="Arial"/>
                <w:sz w:val="10"/>
                <w:szCs w:val="10"/>
                <w:b w:val="1"/>
                <w:bCs w:val="1"/>
                <w:color w:val="auto"/>
                <w:vertAlign w:val="superscript"/>
              </w:rPr>
              <w:t>(4)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9"/>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center"/>
              <w:ind w:right="95"/>
              <w:spacing w:after="0"/>
              <w:rPr>
                <w:sz w:val="20"/>
                <w:szCs w:val="20"/>
                <w:color w:val="auto"/>
              </w:rPr>
            </w:pPr>
            <w:r>
              <w:rPr>
                <w:rFonts w:ascii="Arial" w:cs="Arial" w:eastAsia="Arial" w:hAnsi="Arial"/>
                <w:sz w:val="8"/>
                <w:szCs w:val="8"/>
                <w:b w:val="1"/>
                <w:bCs w:val="1"/>
                <w:color w:val="auto"/>
                <w:w w:val="87"/>
              </w:rPr>
              <w:t>in this Offering</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9"/>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9"/>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8"/>
              </w:rPr>
              <w:t>Excluding</w:t>
            </w:r>
          </w:p>
        </w:tc>
        <w:tc>
          <w:tcPr>
            <w:tcW w:w="520" w:type="dxa"/>
            <w:vAlign w:val="bottom"/>
          </w:tcPr>
          <w:p>
            <w:pPr>
              <w:jc w:val="center"/>
              <w:ind w:right="35"/>
              <w:spacing w:after="0"/>
              <w:rPr>
                <w:sz w:val="20"/>
                <w:szCs w:val="20"/>
                <w:color w:val="auto"/>
              </w:rPr>
            </w:pPr>
            <w:r>
              <w:rPr>
                <w:rFonts w:ascii="Arial" w:cs="Arial" w:eastAsia="Arial" w:hAnsi="Arial"/>
                <w:sz w:val="8"/>
                <w:szCs w:val="8"/>
                <w:b w:val="1"/>
                <w:bCs w:val="1"/>
                <w:color w:val="auto"/>
                <w:w w:val="89"/>
              </w:rPr>
              <w:t>Including</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8"/>
                <w:szCs w:val="8"/>
                <w:b w:val="1"/>
                <w:bCs w:val="1"/>
                <w:color w:val="auto"/>
                <w:w w:val="89"/>
              </w:rPr>
              <w:t>% After this</w:t>
            </w: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89"/>
              </w:rPr>
              <w:t>% After this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jc w:val="center"/>
              <w:ind w:right="54"/>
              <w:spacing w:after="0" w:line="78" w:lineRule="exact"/>
              <w:rPr>
                <w:sz w:val="20"/>
                <w:szCs w:val="20"/>
                <w:color w:val="auto"/>
              </w:rPr>
            </w:pPr>
            <w:r>
              <w:rPr>
                <w:rFonts w:ascii="Arial" w:cs="Arial" w:eastAsia="Arial" w:hAnsi="Arial"/>
                <w:sz w:val="8"/>
                <w:szCs w:val="8"/>
                <w:b w:val="1"/>
                <w:bCs w:val="1"/>
                <w:color w:val="auto"/>
                <w:w w:val="90"/>
              </w:rPr>
              <w:t>After this Offering,</w:t>
            </w:r>
          </w:p>
        </w:tc>
        <w:tc>
          <w:tcPr>
            <w:tcW w:w="480" w:type="dxa"/>
            <w:vAlign w:val="bottom"/>
            <w:gridSpan w:val="2"/>
            <w:vMerge w:val="restart"/>
          </w:tcPr>
          <w:p>
            <w:pPr>
              <w:jc w:val="center"/>
              <w:ind w:right="100"/>
              <w:spacing w:after="0" w:line="78" w:lineRule="exact"/>
              <w:rPr>
                <w:sz w:val="20"/>
                <w:szCs w:val="20"/>
                <w:color w:val="auto"/>
              </w:rPr>
            </w:pPr>
            <w:r>
              <w:rPr>
                <w:rFonts w:ascii="Arial" w:cs="Arial" w:eastAsia="Arial" w:hAnsi="Arial"/>
                <w:sz w:val="8"/>
                <w:szCs w:val="8"/>
                <w:b w:val="1"/>
                <w:bCs w:val="1"/>
                <w:color w:val="auto"/>
                <w:w w:val="82"/>
              </w:rPr>
              <w:t>the</w:t>
            </w:r>
          </w:p>
        </w:tc>
        <w:tc>
          <w:tcPr>
            <w:tcW w:w="520" w:type="dxa"/>
            <w:vAlign w:val="bottom"/>
            <w:vMerge w:val="restart"/>
          </w:tcPr>
          <w:p>
            <w:pPr>
              <w:jc w:val="center"/>
              <w:ind w:right="55"/>
              <w:spacing w:after="0" w:line="78" w:lineRule="exact"/>
              <w:rPr>
                <w:sz w:val="20"/>
                <w:szCs w:val="20"/>
                <w:color w:val="auto"/>
              </w:rPr>
            </w:pPr>
            <w:r>
              <w:rPr>
                <w:rFonts w:ascii="Arial" w:cs="Arial" w:eastAsia="Arial" w:hAnsi="Arial"/>
                <w:sz w:val="8"/>
                <w:szCs w:val="8"/>
                <w:b w:val="1"/>
                <w:bCs w:val="1"/>
                <w:color w:val="auto"/>
                <w:w w:val="91"/>
              </w:rPr>
              <w:t>the Full</w:t>
            </w: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restart"/>
          </w:tcPr>
          <w:p>
            <w:pPr>
              <w:jc w:val="center"/>
              <w:ind w:right="54"/>
              <w:spacing w:after="0" w:line="78" w:lineRule="exact"/>
              <w:rPr>
                <w:sz w:val="20"/>
                <w:szCs w:val="20"/>
                <w:color w:val="auto"/>
              </w:rPr>
            </w:pPr>
            <w:r>
              <w:rPr>
                <w:rFonts w:ascii="Arial" w:cs="Arial" w:eastAsia="Arial" w:hAnsi="Arial"/>
                <w:sz w:val="8"/>
                <w:szCs w:val="8"/>
                <w:b w:val="1"/>
                <w:bCs w:val="1"/>
                <w:color w:val="auto"/>
                <w:w w:val="90"/>
              </w:rPr>
              <w:t>After this Offering,</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4"/>
            <w:vMerge w:val="restart"/>
          </w:tcPr>
          <w:p>
            <w:pPr>
              <w:jc w:val="center"/>
              <w:ind w:right="34"/>
              <w:spacing w:after="0" w:line="78" w:lineRule="exact"/>
              <w:rPr>
                <w:sz w:val="20"/>
                <w:szCs w:val="20"/>
                <w:color w:val="auto"/>
              </w:rPr>
            </w:pPr>
            <w:r>
              <w:rPr>
                <w:rFonts w:ascii="Arial" w:cs="Arial" w:eastAsia="Arial" w:hAnsi="Arial"/>
                <w:sz w:val="8"/>
                <w:szCs w:val="8"/>
                <w:b w:val="1"/>
                <w:bCs w:val="1"/>
                <w:color w:val="auto"/>
                <w:w w:val="90"/>
              </w:rPr>
              <w:t>After this Offering,</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center"/>
              <w:ind w:right="80"/>
              <w:spacing w:after="0" w:line="78" w:lineRule="exact"/>
              <w:rPr>
                <w:sz w:val="20"/>
                <w:szCs w:val="20"/>
                <w:color w:val="auto"/>
              </w:rPr>
            </w:pPr>
            <w:r>
              <w:rPr>
                <w:rFonts w:ascii="Arial" w:cs="Arial" w:eastAsia="Arial" w:hAnsi="Arial"/>
                <w:sz w:val="8"/>
                <w:szCs w:val="8"/>
                <w:b w:val="1"/>
                <w:bCs w:val="1"/>
                <w:color w:val="auto"/>
                <w:w w:val="89"/>
              </w:rPr>
              <w:t>Offering</w:t>
            </w:r>
          </w:p>
        </w:tc>
        <w:tc>
          <w:tcPr>
            <w:tcW w:w="540" w:type="dxa"/>
            <w:vAlign w:val="bottom"/>
            <w:vMerge w:val="restart"/>
          </w:tcPr>
          <w:p>
            <w:pPr>
              <w:jc w:val="center"/>
              <w:spacing w:after="0" w:line="78" w:lineRule="exact"/>
              <w:rPr>
                <w:sz w:val="20"/>
                <w:szCs w:val="20"/>
                <w:color w:val="auto"/>
              </w:rPr>
            </w:pPr>
            <w:r>
              <w:rPr>
                <w:rFonts w:ascii="Arial" w:cs="Arial" w:eastAsia="Arial" w:hAnsi="Arial"/>
                <w:sz w:val="8"/>
                <w:szCs w:val="8"/>
                <w:b w:val="1"/>
                <w:bCs w:val="1"/>
                <w:color w:val="auto"/>
                <w:w w:val="89"/>
              </w:rPr>
              <w:t>Offering</w:t>
            </w: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jc w:val="center"/>
              <w:ind w:right="54"/>
              <w:spacing w:after="0" w:line="78" w:lineRule="exact"/>
              <w:rPr>
                <w:sz w:val="20"/>
                <w:szCs w:val="20"/>
                <w:color w:val="auto"/>
              </w:rPr>
            </w:pPr>
            <w:r>
              <w:rPr>
                <w:rFonts w:ascii="Arial" w:cs="Arial" w:eastAsia="Arial" w:hAnsi="Arial"/>
                <w:sz w:val="8"/>
                <w:szCs w:val="8"/>
                <w:b w:val="1"/>
                <w:bCs w:val="1"/>
                <w:color w:val="auto"/>
                <w:w w:val="92"/>
              </w:rPr>
              <w:t>Including Full</w:t>
            </w:r>
          </w:p>
        </w:tc>
        <w:tc>
          <w:tcPr>
            <w:tcW w:w="480" w:type="dxa"/>
            <w:vAlign w:val="bottom"/>
            <w:gridSpan w:val="2"/>
            <w:vMerge w:val="restart"/>
          </w:tcPr>
          <w:p>
            <w:pPr>
              <w:jc w:val="center"/>
              <w:ind w:right="100"/>
              <w:spacing w:after="0" w:line="78" w:lineRule="exact"/>
              <w:rPr>
                <w:sz w:val="20"/>
                <w:szCs w:val="20"/>
                <w:color w:val="auto"/>
              </w:rPr>
            </w:pPr>
            <w:r>
              <w:rPr>
                <w:rFonts w:ascii="Arial" w:cs="Arial" w:eastAsia="Arial" w:hAnsi="Arial"/>
                <w:sz w:val="8"/>
                <w:szCs w:val="8"/>
                <w:b w:val="1"/>
                <w:bCs w:val="1"/>
                <w:color w:val="auto"/>
                <w:w w:val="89"/>
              </w:rPr>
              <w:t>Full Option</w:t>
            </w:r>
          </w:p>
        </w:tc>
        <w:tc>
          <w:tcPr>
            <w:tcW w:w="520" w:type="dxa"/>
            <w:vAlign w:val="bottom"/>
            <w:vMerge w:val="restart"/>
          </w:tcPr>
          <w:p>
            <w:pPr>
              <w:jc w:val="center"/>
              <w:ind w:right="55"/>
              <w:spacing w:after="0" w:line="78" w:lineRule="exact"/>
              <w:rPr>
                <w:sz w:val="20"/>
                <w:szCs w:val="20"/>
                <w:color w:val="auto"/>
              </w:rPr>
            </w:pPr>
            <w:r>
              <w:rPr>
                <w:rFonts w:ascii="Arial" w:cs="Arial" w:eastAsia="Arial" w:hAnsi="Arial"/>
                <w:sz w:val="8"/>
                <w:szCs w:val="8"/>
                <w:b w:val="1"/>
                <w:bCs w:val="1"/>
                <w:color w:val="auto"/>
                <w:w w:val="85"/>
              </w:rPr>
              <w:t>Option</w:t>
            </w: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restart"/>
          </w:tcPr>
          <w:p>
            <w:pPr>
              <w:jc w:val="center"/>
              <w:ind w:right="54"/>
              <w:spacing w:after="0" w:line="78" w:lineRule="exact"/>
              <w:rPr>
                <w:sz w:val="20"/>
                <w:szCs w:val="20"/>
                <w:color w:val="auto"/>
              </w:rPr>
            </w:pPr>
            <w:r>
              <w:rPr>
                <w:rFonts w:ascii="Arial" w:cs="Arial" w:eastAsia="Arial" w:hAnsi="Arial"/>
                <w:sz w:val="8"/>
                <w:szCs w:val="8"/>
                <w:b w:val="1"/>
                <w:bCs w:val="1"/>
                <w:color w:val="auto"/>
                <w:w w:val="89"/>
              </w:rPr>
              <w:t>Including Full Option</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4"/>
            <w:vMerge w:val="restart"/>
          </w:tcPr>
          <w:p>
            <w:pPr>
              <w:jc w:val="center"/>
              <w:ind w:right="34"/>
              <w:spacing w:after="0" w:line="78" w:lineRule="exact"/>
              <w:rPr>
                <w:sz w:val="20"/>
                <w:szCs w:val="20"/>
                <w:color w:val="auto"/>
              </w:rPr>
            </w:pPr>
            <w:r>
              <w:rPr>
                <w:rFonts w:ascii="Arial" w:cs="Arial" w:eastAsia="Arial" w:hAnsi="Arial"/>
                <w:sz w:val="8"/>
                <w:szCs w:val="8"/>
                <w:b w:val="1"/>
                <w:bCs w:val="1"/>
                <w:color w:val="auto"/>
                <w:w w:val="89"/>
              </w:rPr>
              <w:t>Including Full Option</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center"/>
              <w:ind w:right="80"/>
              <w:spacing w:after="0" w:line="78" w:lineRule="exact"/>
              <w:rPr>
                <w:sz w:val="20"/>
                <w:szCs w:val="20"/>
                <w:color w:val="auto"/>
              </w:rPr>
            </w:pPr>
            <w:r>
              <w:rPr>
                <w:rFonts w:ascii="Arial" w:cs="Arial" w:eastAsia="Arial" w:hAnsi="Arial"/>
                <w:sz w:val="8"/>
                <w:szCs w:val="8"/>
                <w:b w:val="1"/>
                <w:bCs w:val="1"/>
                <w:color w:val="auto"/>
                <w:w w:val="82"/>
              </w:rPr>
              <w:t>Assuming</w:t>
            </w:r>
          </w:p>
        </w:tc>
        <w:tc>
          <w:tcPr>
            <w:tcW w:w="540" w:type="dxa"/>
            <w:vAlign w:val="bottom"/>
            <w:vMerge w:val="restart"/>
          </w:tcPr>
          <w:p>
            <w:pPr>
              <w:jc w:val="center"/>
              <w:spacing w:after="0" w:line="78" w:lineRule="exact"/>
              <w:rPr>
                <w:sz w:val="20"/>
                <w:szCs w:val="20"/>
                <w:color w:val="auto"/>
              </w:rPr>
            </w:pPr>
            <w:r>
              <w:rPr>
                <w:rFonts w:ascii="Arial" w:cs="Arial" w:eastAsia="Arial" w:hAnsi="Arial"/>
                <w:sz w:val="8"/>
                <w:szCs w:val="8"/>
                <w:b w:val="1"/>
                <w:bCs w:val="1"/>
                <w:color w:val="auto"/>
                <w:w w:val="82"/>
              </w:rPr>
              <w:t>Assuming</w:t>
            </w: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8"/>
                <w:szCs w:val="8"/>
                <w:b w:val="1"/>
                <w:bCs w:val="1"/>
                <w:color w:val="auto"/>
                <w:w w:val="99"/>
              </w:rPr>
              <w:t>Prior to this Offering</w:t>
            </w:r>
          </w:p>
        </w:tc>
        <w:tc>
          <w:tcPr>
            <w:tcW w:w="820" w:type="dxa"/>
            <w:vAlign w:val="bottom"/>
            <w:gridSpan w:val="4"/>
            <w:vMerge w:val="restart"/>
          </w:tcPr>
          <w:p>
            <w:pPr>
              <w:ind w:left="60"/>
              <w:spacing w:after="0"/>
              <w:rPr>
                <w:sz w:val="20"/>
                <w:szCs w:val="20"/>
                <w:color w:val="auto"/>
              </w:rPr>
            </w:pPr>
            <w:r>
              <w:rPr>
                <w:rFonts w:ascii="Arial" w:cs="Arial" w:eastAsia="Arial" w:hAnsi="Arial"/>
                <w:sz w:val="8"/>
                <w:szCs w:val="8"/>
                <w:b w:val="1"/>
                <w:bCs w:val="1"/>
                <w:color w:val="auto"/>
              </w:rPr>
              <w:t>After this Offering</w:t>
            </w:r>
          </w:p>
        </w:tc>
        <w:tc>
          <w:tcPr>
            <w:tcW w:w="860" w:type="dxa"/>
            <w:vAlign w:val="bottom"/>
            <w:gridSpan w:val="3"/>
            <w:vMerge w:val="restart"/>
          </w:tcPr>
          <w:p>
            <w:pPr>
              <w:jc w:val="center"/>
              <w:ind w:right="54"/>
              <w:spacing w:after="0"/>
              <w:rPr>
                <w:sz w:val="20"/>
                <w:szCs w:val="20"/>
                <w:color w:val="auto"/>
              </w:rPr>
            </w:pPr>
            <w:r>
              <w:rPr>
                <w:rFonts w:ascii="Arial" w:cs="Arial" w:eastAsia="Arial" w:hAnsi="Arial"/>
                <w:sz w:val="8"/>
                <w:szCs w:val="8"/>
                <w:b w:val="1"/>
                <w:bCs w:val="1"/>
                <w:color w:val="auto"/>
                <w:w w:val="85"/>
              </w:rPr>
              <w:t>Option Exercise</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w w:val="78"/>
              </w:rPr>
              <w:t>Exercise</w:t>
            </w:r>
          </w:p>
        </w:tc>
        <w:tc>
          <w:tcPr>
            <w:tcW w:w="520" w:type="dxa"/>
            <w:vAlign w:val="bottom"/>
            <w:vMerge w:val="restart"/>
          </w:tcPr>
          <w:p>
            <w:pPr>
              <w:jc w:val="center"/>
              <w:ind w:right="35"/>
              <w:spacing w:after="0"/>
              <w:rPr>
                <w:sz w:val="20"/>
                <w:szCs w:val="20"/>
                <w:color w:val="auto"/>
              </w:rPr>
            </w:pPr>
            <w:r>
              <w:rPr>
                <w:rFonts w:ascii="Arial" w:cs="Arial" w:eastAsia="Arial" w:hAnsi="Arial"/>
                <w:sz w:val="8"/>
                <w:szCs w:val="8"/>
                <w:b w:val="1"/>
                <w:bCs w:val="1"/>
                <w:color w:val="auto"/>
                <w:w w:val="84"/>
              </w:rPr>
              <w:t>Exercise</w:t>
            </w:r>
          </w:p>
        </w:tc>
        <w:tc>
          <w:tcPr>
            <w:tcW w:w="960" w:type="dxa"/>
            <w:vAlign w:val="bottom"/>
            <w:gridSpan w:val="4"/>
            <w:vMerge w:val="restart"/>
          </w:tcPr>
          <w:p>
            <w:pPr>
              <w:ind w:left="80"/>
              <w:spacing w:after="0"/>
              <w:rPr>
                <w:sz w:val="20"/>
                <w:szCs w:val="20"/>
                <w:color w:val="auto"/>
              </w:rPr>
            </w:pPr>
            <w:r>
              <w:rPr>
                <w:rFonts w:ascii="Arial" w:cs="Arial" w:eastAsia="Arial" w:hAnsi="Arial"/>
                <w:sz w:val="8"/>
                <w:szCs w:val="8"/>
                <w:b w:val="1"/>
                <w:bCs w:val="1"/>
                <w:color w:val="auto"/>
              </w:rPr>
              <w:t>Prior to this Offering</w:t>
            </w:r>
          </w:p>
        </w:tc>
        <w:tc>
          <w:tcPr>
            <w:tcW w:w="940" w:type="dxa"/>
            <w:vAlign w:val="bottom"/>
            <w:gridSpan w:val="4"/>
            <w:vMerge w:val="restart"/>
          </w:tcPr>
          <w:p>
            <w:pPr>
              <w:ind w:left="120"/>
              <w:spacing w:after="0"/>
              <w:rPr>
                <w:sz w:val="20"/>
                <w:szCs w:val="20"/>
                <w:color w:val="auto"/>
              </w:rPr>
            </w:pPr>
            <w:r>
              <w:rPr>
                <w:rFonts w:ascii="Arial" w:cs="Arial" w:eastAsia="Arial" w:hAnsi="Arial"/>
                <w:sz w:val="8"/>
                <w:szCs w:val="8"/>
                <w:b w:val="1"/>
                <w:bCs w:val="1"/>
                <w:color w:val="auto"/>
              </w:rPr>
              <w:t>After this Offering</w:t>
            </w:r>
          </w:p>
        </w:tc>
        <w:tc>
          <w:tcPr>
            <w:tcW w:w="560" w:type="dxa"/>
            <w:vAlign w:val="bottom"/>
            <w:gridSpan w:val="3"/>
            <w:vMerge w:val="restart"/>
          </w:tcPr>
          <w:p>
            <w:pPr>
              <w:jc w:val="center"/>
              <w:ind w:left="235"/>
              <w:spacing w:after="0"/>
              <w:rPr>
                <w:sz w:val="20"/>
                <w:szCs w:val="20"/>
                <w:color w:val="auto"/>
              </w:rPr>
            </w:pPr>
            <w:r>
              <w:rPr>
                <w:rFonts w:ascii="Arial" w:cs="Arial" w:eastAsia="Arial" w:hAnsi="Arial"/>
                <w:sz w:val="8"/>
                <w:szCs w:val="8"/>
                <w:b w:val="1"/>
                <w:bCs w:val="1"/>
                <w:color w:val="auto"/>
                <w:w w:val="84"/>
              </w:rPr>
              <w:t>Exercise</w:t>
            </w:r>
          </w:p>
        </w:tc>
        <w:tc>
          <w:tcPr>
            <w:tcW w:w="380" w:type="dxa"/>
            <w:vAlign w:val="bottom"/>
          </w:tcPr>
          <w:p>
            <w:pPr>
              <w:spacing w:after="0"/>
              <w:rPr>
                <w:sz w:val="4"/>
                <w:szCs w:val="4"/>
                <w:color w:val="auto"/>
              </w:rPr>
            </w:pPr>
          </w:p>
        </w:tc>
        <w:tc>
          <w:tcPr>
            <w:tcW w:w="920" w:type="dxa"/>
            <w:vAlign w:val="bottom"/>
            <w:gridSpan w:val="4"/>
            <w:vMerge w:val="restart"/>
          </w:tcPr>
          <w:p>
            <w:pPr>
              <w:ind w:left="60"/>
              <w:spacing w:after="0"/>
              <w:rPr>
                <w:sz w:val="20"/>
                <w:szCs w:val="20"/>
                <w:color w:val="auto"/>
              </w:rPr>
            </w:pPr>
            <w:r>
              <w:rPr>
                <w:rFonts w:ascii="Arial" w:cs="Arial" w:eastAsia="Arial" w:hAnsi="Arial"/>
                <w:sz w:val="8"/>
                <w:szCs w:val="8"/>
                <w:b w:val="1"/>
                <w:bCs w:val="1"/>
                <w:color w:val="auto"/>
              </w:rPr>
              <w:t>Prior to this Offering</w:t>
            </w:r>
          </w:p>
        </w:tc>
        <w:tc>
          <w:tcPr>
            <w:tcW w:w="920" w:type="dxa"/>
            <w:vAlign w:val="bottom"/>
            <w:gridSpan w:val="4"/>
            <w:vMerge w:val="restart"/>
          </w:tcPr>
          <w:p>
            <w:pPr>
              <w:ind w:left="120"/>
              <w:spacing w:after="0"/>
              <w:rPr>
                <w:sz w:val="20"/>
                <w:szCs w:val="20"/>
                <w:color w:val="auto"/>
              </w:rPr>
            </w:pPr>
            <w:r>
              <w:rPr>
                <w:rFonts w:ascii="Arial" w:cs="Arial" w:eastAsia="Arial" w:hAnsi="Arial"/>
                <w:sz w:val="8"/>
                <w:szCs w:val="8"/>
                <w:b w:val="1"/>
                <w:bCs w:val="1"/>
                <w:color w:val="auto"/>
              </w:rPr>
              <w:t>After this Offering</w:t>
            </w:r>
          </w:p>
        </w:tc>
        <w:tc>
          <w:tcPr>
            <w:tcW w:w="580" w:type="dxa"/>
            <w:vAlign w:val="bottom"/>
            <w:gridSpan w:val="3"/>
            <w:vMerge w:val="restart"/>
          </w:tcPr>
          <w:p>
            <w:pPr>
              <w:jc w:val="center"/>
              <w:ind w:left="255"/>
              <w:spacing w:after="0"/>
              <w:rPr>
                <w:sz w:val="20"/>
                <w:szCs w:val="20"/>
                <w:color w:val="auto"/>
              </w:rPr>
            </w:pPr>
            <w:r>
              <w:rPr>
                <w:rFonts w:ascii="Arial" w:cs="Arial" w:eastAsia="Arial" w:hAnsi="Arial"/>
                <w:sz w:val="8"/>
                <w:szCs w:val="8"/>
                <w:b w:val="1"/>
                <w:bCs w:val="1"/>
                <w:color w:val="auto"/>
                <w:w w:val="84"/>
              </w:rPr>
              <w:t>Exercise</w:t>
            </w: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 Prior</w:t>
            </w:r>
          </w:p>
        </w:tc>
        <w:tc>
          <w:tcPr>
            <w:tcW w:w="80" w:type="dxa"/>
            <w:vAlign w:val="bottom"/>
          </w:tcPr>
          <w:p>
            <w:pPr>
              <w:spacing w:after="0"/>
              <w:rPr>
                <w:sz w:val="4"/>
                <w:szCs w:val="4"/>
                <w:color w:val="auto"/>
              </w:rPr>
            </w:pPr>
          </w:p>
        </w:tc>
        <w:tc>
          <w:tcPr>
            <w:tcW w:w="600" w:type="dxa"/>
            <w:vAlign w:val="bottom"/>
            <w:gridSpan w:val="2"/>
          </w:tcPr>
          <w:p>
            <w:pPr>
              <w:jc w:val="center"/>
              <w:ind w:right="80"/>
              <w:spacing w:after="0" w:line="57" w:lineRule="exact"/>
              <w:rPr>
                <w:sz w:val="20"/>
                <w:szCs w:val="20"/>
                <w:color w:val="auto"/>
              </w:rPr>
            </w:pPr>
            <w:r>
              <w:rPr>
                <w:rFonts w:ascii="Arial" w:cs="Arial" w:eastAsia="Arial" w:hAnsi="Arial"/>
                <w:sz w:val="6"/>
                <w:szCs w:val="6"/>
                <w:b w:val="1"/>
                <w:bCs w:val="1"/>
                <w:color w:val="auto"/>
              </w:rPr>
              <w:t>Underwriters’</w:t>
            </w:r>
          </w:p>
        </w:tc>
        <w:tc>
          <w:tcPr>
            <w:tcW w:w="54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Underwriters’</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gridSpan w:val="3"/>
          </w:tcPr>
          <w:p>
            <w:pPr>
              <w:spacing w:after="0" w:line="78" w:lineRule="exact"/>
              <w:rPr>
                <w:sz w:val="20"/>
                <w:szCs w:val="20"/>
                <w:color w:val="auto"/>
              </w:rPr>
            </w:pPr>
            <w:r>
              <w:rPr>
                <w:rFonts w:ascii="Arial" w:cs="Arial" w:eastAsia="Arial" w:hAnsi="Arial"/>
                <w:sz w:val="8"/>
                <w:szCs w:val="8"/>
                <w:b w:val="1"/>
                <w:bCs w:val="1"/>
                <w:color w:val="auto"/>
                <w:w w:val="89"/>
              </w:rPr>
              <w:t>Name of Beneficial</w:t>
            </w:r>
          </w:p>
        </w:tc>
        <w:tc>
          <w:tcPr>
            <w:tcW w:w="4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00" w:type="dxa"/>
            <w:vAlign w:val="bottom"/>
          </w:tcPr>
          <w:p>
            <w:pPr>
              <w:jc w:val="center"/>
              <w:spacing w:after="0" w:line="78" w:lineRule="exact"/>
              <w:rPr>
                <w:sz w:val="20"/>
                <w:szCs w:val="20"/>
                <w:color w:val="auto"/>
              </w:rPr>
            </w:pPr>
            <w:r>
              <w:rPr>
                <w:rFonts w:ascii="Arial" w:cs="Arial" w:eastAsia="Arial" w:hAnsi="Arial"/>
                <w:sz w:val="8"/>
                <w:szCs w:val="8"/>
                <w:b w:val="1"/>
                <w:bCs w:val="1"/>
                <w:color w:val="auto"/>
                <w:w w:val="83"/>
              </w:rPr>
              <w:t>to this</w:t>
            </w:r>
          </w:p>
        </w:tc>
        <w:tc>
          <w:tcPr>
            <w:tcW w:w="80" w:type="dxa"/>
            <w:vAlign w:val="bottom"/>
          </w:tcPr>
          <w:p>
            <w:pPr>
              <w:spacing w:after="0"/>
              <w:rPr>
                <w:sz w:val="7"/>
                <w:szCs w:val="7"/>
                <w:color w:val="auto"/>
              </w:rPr>
            </w:pPr>
          </w:p>
        </w:tc>
        <w:tc>
          <w:tcPr>
            <w:tcW w:w="600" w:type="dxa"/>
            <w:vAlign w:val="bottom"/>
            <w:gridSpan w:val="2"/>
          </w:tcPr>
          <w:p>
            <w:pPr>
              <w:jc w:val="center"/>
              <w:ind w:right="80"/>
              <w:spacing w:after="0" w:line="78" w:lineRule="exact"/>
              <w:rPr>
                <w:sz w:val="20"/>
                <w:szCs w:val="20"/>
                <w:color w:val="auto"/>
              </w:rPr>
            </w:pPr>
            <w:r>
              <w:rPr>
                <w:rFonts w:ascii="Arial" w:cs="Arial" w:eastAsia="Arial" w:hAnsi="Arial"/>
                <w:sz w:val="8"/>
                <w:szCs w:val="8"/>
                <w:b w:val="1"/>
                <w:bCs w:val="1"/>
                <w:color w:val="auto"/>
                <w:w w:val="87"/>
              </w:rPr>
              <w:t>Option is Not</w:t>
            </w:r>
          </w:p>
        </w:tc>
        <w:tc>
          <w:tcPr>
            <w:tcW w:w="540" w:type="dxa"/>
            <w:vAlign w:val="bottom"/>
          </w:tcPr>
          <w:p>
            <w:pPr>
              <w:jc w:val="center"/>
              <w:spacing w:after="0" w:line="78" w:lineRule="exact"/>
              <w:rPr>
                <w:sz w:val="20"/>
                <w:szCs w:val="20"/>
                <w:color w:val="auto"/>
              </w:rPr>
            </w:pPr>
            <w:r>
              <w:rPr>
                <w:rFonts w:ascii="Arial" w:cs="Arial" w:eastAsia="Arial" w:hAnsi="Arial"/>
                <w:sz w:val="8"/>
                <w:szCs w:val="8"/>
                <w:b w:val="1"/>
                <w:bCs w:val="1"/>
                <w:color w:val="auto"/>
                <w:w w:val="86"/>
              </w:rPr>
              <w:t>Option is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40" w:type="dxa"/>
            <w:vAlign w:val="bottom"/>
            <w:tcBorders>
              <w:top w:val="single" w:sz="8" w:color="auto"/>
            </w:tcBorders>
            <w:gridSpan w:val="2"/>
          </w:tcPr>
          <w:p>
            <w:pPr>
              <w:spacing w:after="0" w:line="65" w:lineRule="exact"/>
              <w:rPr>
                <w:sz w:val="20"/>
                <w:szCs w:val="20"/>
                <w:color w:val="auto"/>
              </w:rPr>
            </w:pPr>
            <w:r>
              <w:rPr>
                <w:rFonts w:ascii="Arial" w:cs="Arial" w:eastAsia="Arial" w:hAnsi="Arial"/>
                <w:sz w:val="6"/>
                <w:szCs w:val="6"/>
                <w:b w:val="1"/>
                <w:bCs w:val="1"/>
                <w:color w:val="auto"/>
              </w:rPr>
              <w:t>Owner</w:t>
            </w:r>
          </w:p>
        </w:tc>
        <w:tc>
          <w:tcPr>
            <w:tcW w:w="140" w:type="dxa"/>
            <w:vAlign w:val="bottom"/>
            <w:tcBorders>
              <w:top w:val="single" w:sz="8" w:color="auto"/>
            </w:tcBorders>
          </w:tcPr>
          <w:p>
            <w:pPr>
              <w:spacing w:after="0"/>
              <w:rPr>
                <w:sz w:val="5"/>
                <w:szCs w:val="5"/>
                <w:color w:val="auto"/>
              </w:rPr>
            </w:pPr>
          </w:p>
        </w:tc>
        <w:tc>
          <w:tcPr>
            <w:tcW w:w="420" w:type="dxa"/>
            <w:vAlign w:val="bottom"/>
          </w:tcPr>
          <w:p>
            <w:pPr>
              <w:ind w:left="60"/>
              <w:spacing w:after="0" w:line="65" w:lineRule="exact"/>
              <w:rPr>
                <w:sz w:val="20"/>
                <w:szCs w:val="20"/>
                <w:color w:val="auto"/>
              </w:rPr>
            </w:pPr>
            <w:r>
              <w:rPr>
                <w:rFonts w:ascii="Arial" w:cs="Arial" w:eastAsia="Arial" w:hAnsi="Arial"/>
                <w:sz w:val="6"/>
                <w:szCs w:val="6"/>
                <w:b w:val="1"/>
                <w:bCs w:val="1"/>
                <w:color w:val="auto"/>
              </w:rPr>
              <w:t>Number</w:t>
            </w:r>
          </w:p>
        </w:tc>
        <w:tc>
          <w:tcPr>
            <w:tcW w:w="320" w:type="dxa"/>
            <w:vAlign w:val="bottom"/>
            <w:gridSpan w:val="2"/>
          </w:tcPr>
          <w:p>
            <w:pPr>
              <w:jc w:val="center"/>
              <w:ind w:left="37"/>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00" w:type="dxa"/>
            <w:vAlign w:val="bottom"/>
            <w:gridSpan w:val="2"/>
          </w:tcPr>
          <w:p>
            <w:pPr>
              <w:ind w:left="80"/>
              <w:spacing w:after="0" w:line="65" w:lineRule="exact"/>
              <w:rPr>
                <w:sz w:val="20"/>
                <w:szCs w:val="20"/>
                <w:color w:val="auto"/>
              </w:rPr>
            </w:pPr>
            <w:r>
              <w:rPr>
                <w:rFonts w:ascii="Arial" w:cs="Arial" w:eastAsia="Arial" w:hAnsi="Arial"/>
                <w:sz w:val="6"/>
                <w:szCs w:val="6"/>
                <w:b w:val="1"/>
                <w:bCs w:val="1"/>
                <w:color w:val="auto"/>
              </w:rPr>
              <w:t>Number</w:t>
            </w:r>
          </w:p>
        </w:tc>
        <w:tc>
          <w:tcPr>
            <w:tcW w:w="24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00" w:type="dxa"/>
            <w:vAlign w:val="bottom"/>
            <w:gridSpan w:val="2"/>
          </w:tcPr>
          <w:p>
            <w:pPr>
              <w:ind w:left="80"/>
              <w:spacing w:after="0" w:line="65" w:lineRule="exact"/>
              <w:rPr>
                <w:sz w:val="20"/>
                <w:szCs w:val="20"/>
                <w:color w:val="auto"/>
              </w:rPr>
            </w:pPr>
            <w:r>
              <w:rPr>
                <w:rFonts w:ascii="Arial" w:cs="Arial" w:eastAsia="Arial" w:hAnsi="Arial"/>
                <w:sz w:val="6"/>
                <w:szCs w:val="6"/>
                <w:b w:val="1"/>
                <w:bCs w:val="1"/>
                <w:color w:val="auto"/>
              </w:rPr>
              <w:t>Number</w:t>
            </w:r>
          </w:p>
        </w:tc>
        <w:tc>
          <w:tcPr>
            <w:tcW w:w="360" w:type="dxa"/>
            <w:vAlign w:val="bottom"/>
          </w:tcPr>
          <w:p>
            <w:pPr>
              <w:jc w:val="center"/>
              <w:ind w:right="74"/>
              <w:spacing w:after="0" w:line="65" w:lineRule="exact"/>
              <w:rPr>
                <w:sz w:val="20"/>
                <w:szCs w:val="20"/>
                <w:color w:val="auto"/>
              </w:rPr>
            </w:pPr>
            <w:r>
              <w:rPr>
                <w:rFonts w:ascii="Arial" w:cs="Arial" w:eastAsia="Arial" w:hAnsi="Arial"/>
                <w:sz w:val="6"/>
                <w:szCs w:val="6"/>
                <w:b w:val="1"/>
                <w:bCs w:val="1"/>
                <w:color w:val="auto"/>
              </w:rPr>
              <w:t>%</w:t>
            </w:r>
          </w:p>
        </w:tc>
        <w:tc>
          <w:tcPr>
            <w:tcW w:w="480" w:type="dxa"/>
            <w:vAlign w:val="bottom"/>
            <w:gridSpan w:val="2"/>
          </w:tcPr>
          <w:p>
            <w:pPr>
              <w:jc w:val="center"/>
              <w:ind w:right="100"/>
              <w:spacing w:after="0" w:line="65" w:lineRule="exact"/>
              <w:rPr>
                <w:sz w:val="20"/>
                <w:szCs w:val="20"/>
                <w:color w:val="auto"/>
              </w:rPr>
            </w:pPr>
            <w:r>
              <w:rPr>
                <w:rFonts w:ascii="Arial" w:cs="Arial" w:eastAsia="Arial" w:hAnsi="Arial"/>
                <w:sz w:val="6"/>
                <w:szCs w:val="6"/>
                <w:b w:val="1"/>
                <w:bCs w:val="1"/>
                <w:color w:val="auto"/>
              </w:rPr>
              <w:t>Number</w:t>
            </w:r>
          </w:p>
        </w:tc>
        <w:tc>
          <w:tcPr>
            <w:tcW w:w="520" w:type="dxa"/>
            <w:vAlign w:val="bottom"/>
          </w:tcPr>
          <w:p>
            <w:pPr>
              <w:jc w:val="center"/>
              <w:ind w:right="55"/>
              <w:spacing w:after="0" w:line="65" w:lineRule="exact"/>
              <w:rPr>
                <w:sz w:val="20"/>
                <w:szCs w:val="20"/>
                <w:color w:val="auto"/>
              </w:rPr>
            </w:pPr>
            <w:r>
              <w:rPr>
                <w:rFonts w:ascii="Arial" w:cs="Arial" w:eastAsia="Arial" w:hAnsi="Arial"/>
                <w:sz w:val="6"/>
                <w:szCs w:val="6"/>
                <w:b w:val="1"/>
                <w:bCs w:val="1"/>
                <w:color w:val="auto"/>
              </w:rPr>
              <w:t>Number</w:t>
            </w:r>
          </w:p>
        </w:tc>
        <w:tc>
          <w:tcPr>
            <w:tcW w:w="580" w:type="dxa"/>
            <w:vAlign w:val="bottom"/>
            <w:gridSpan w:val="2"/>
          </w:tcPr>
          <w:p>
            <w:pPr>
              <w:ind w:left="100"/>
              <w:spacing w:after="0" w:line="65" w:lineRule="exact"/>
              <w:rPr>
                <w:sz w:val="20"/>
                <w:szCs w:val="20"/>
                <w:color w:val="auto"/>
              </w:rPr>
            </w:pPr>
            <w:r>
              <w:rPr>
                <w:rFonts w:ascii="Arial" w:cs="Arial" w:eastAsia="Arial" w:hAnsi="Arial"/>
                <w:sz w:val="6"/>
                <w:szCs w:val="6"/>
                <w:b w:val="1"/>
                <w:bCs w:val="1"/>
                <w:color w:val="auto"/>
              </w:rPr>
              <w:t>Number</w:t>
            </w:r>
          </w:p>
        </w:tc>
        <w:tc>
          <w:tcPr>
            <w:tcW w:w="30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40" w:type="dxa"/>
            <w:vAlign w:val="bottom"/>
            <w:gridSpan w:val="2"/>
          </w:tcPr>
          <w:p>
            <w:pPr>
              <w:ind w:left="100"/>
              <w:spacing w:after="0" w:line="65" w:lineRule="exact"/>
              <w:rPr>
                <w:sz w:val="20"/>
                <w:szCs w:val="20"/>
                <w:color w:val="auto"/>
              </w:rPr>
            </w:pPr>
            <w:r>
              <w:rPr>
                <w:rFonts w:ascii="Arial" w:cs="Arial" w:eastAsia="Arial" w:hAnsi="Arial"/>
                <w:sz w:val="6"/>
                <w:szCs w:val="6"/>
                <w:b w:val="1"/>
                <w:bCs w:val="1"/>
                <w:color w:val="auto"/>
              </w:rPr>
              <w:t>Number</w:t>
            </w:r>
          </w:p>
        </w:tc>
        <w:tc>
          <w:tcPr>
            <w:tcW w:w="32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60" w:type="dxa"/>
            <w:vAlign w:val="bottom"/>
            <w:gridSpan w:val="3"/>
          </w:tcPr>
          <w:p>
            <w:pPr>
              <w:ind w:left="80"/>
              <w:spacing w:after="0" w:line="65" w:lineRule="exact"/>
              <w:rPr>
                <w:sz w:val="20"/>
                <w:szCs w:val="20"/>
                <w:color w:val="auto"/>
              </w:rPr>
            </w:pPr>
            <w:r>
              <w:rPr>
                <w:rFonts w:ascii="Arial" w:cs="Arial" w:eastAsia="Arial" w:hAnsi="Arial"/>
                <w:sz w:val="6"/>
                <w:szCs w:val="6"/>
                <w:b w:val="1"/>
                <w:bCs w:val="1"/>
                <w:color w:val="auto"/>
              </w:rPr>
              <w:t>Number</w:t>
            </w:r>
          </w:p>
        </w:tc>
        <w:tc>
          <w:tcPr>
            <w:tcW w:w="380" w:type="dxa"/>
            <w:vAlign w:val="bottom"/>
          </w:tcPr>
          <w:p>
            <w:pPr>
              <w:jc w:val="center"/>
              <w:ind w:right="74"/>
              <w:spacing w:after="0" w:line="65" w:lineRule="exact"/>
              <w:rPr>
                <w:sz w:val="20"/>
                <w:szCs w:val="20"/>
                <w:color w:val="auto"/>
              </w:rPr>
            </w:pPr>
            <w:r>
              <w:rPr>
                <w:rFonts w:ascii="Arial" w:cs="Arial" w:eastAsia="Arial" w:hAnsi="Arial"/>
                <w:sz w:val="6"/>
                <w:szCs w:val="6"/>
                <w:b w:val="1"/>
                <w:bCs w:val="1"/>
                <w:color w:val="auto"/>
              </w:rPr>
              <w:t>%</w:t>
            </w:r>
          </w:p>
        </w:tc>
        <w:tc>
          <w:tcPr>
            <w:tcW w:w="540" w:type="dxa"/>
            <w:vAlign w:val="bottom"/>
            <w:gridSpan w:val="2"/>
          </w:tcPr>
          <w:p>
            <w:pPr>
              <w:ind w:left="80"/>
              <w:spacing w:after="0" w:line="65" w:lineRule="exact"/>
              <w:rPr>
                <w:sz w:val="20"/>
                <w:szCs w:val="20"/>
                <w:color w:val="auto"/>
              </w:rPr>
            </w:pPr>
            <w:r>
              <w:rPr>
                <w:rFonts w:ascii="Arial" w:cs="Arial" w:eastAsia="Arial" w:hAnsi="Arial"/>
                <w:sz w:val="6"/>
                <w:szCs w:val="6"/>
                <w:b w:val="1"/>
                <w:bCs w:val="1"/>
                <w:color w:val="auto"/>
              </w:rPr>
              <w:t>Number</w:t>
            </w:r>
          </w:p>
        </w:tc>
        <w:tc>
          <w:tcPr>
            <w:tcW w:w="30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80" w:type="dxa"/>
            <w:vAlign w:val="bottom"/>
          </w:tcPr>
          <w:p>
            <w:pPr>
              <w:spacing w:after="0"/>
              <w:rPr>
                <w:sz w:val="5"/>
                <w:szCs w:val="5"/>
                <w:color w:val="auto"/>
              </w:rPr>
            </w:pPr>
          </w:p>
        </w:tc>
        <w:tc>
          <w:tcPr>
            <w:tcW w:w="540" w:type="dxa"/>
            <w:vAlign w:val="bottom"/>
            <w:gridSpan w:val="2"/>
          </w:tcPr>
          <w:p>
            <w:pPr>
              <w:ind w:left="100"/>
              <w:spacing w:after="0" w:line="65" w:lineRule="exact"/>
              <w:rPr>
                <w:sz w:val="20"/>
                <w:szCs w:val="20"/>
                <w:color w:val="auto"/>
              </w:rPr>
            </w:pPr>
            <w:r>
              <w:rPr>
                <w:rFonts w:ascii="Arial" w:cs="Arial" w:eastAsia="Arial" w:hAnsi="Arial"/>
                <w:sz w:val="6"/>
                <w:szCs w:val="6"/>
                <w:b w:val="1"/>
                <w:bCs w:val="1"/>
                <w:color w:val="auto"/>
              </w:rPr>
              <w:t>Number</w:t>
            </w:r>
          </w:p>
        </w:tc>
        <w:tc>
          <w:tcPr>
            <w:tcW w:w="32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w:t>
            </w:r>
          </w:p>
        </w:tc>
        <w:tc>
          <w:tcPr>
            <w:tcW w:w="60" w:type="dxa"/>
            <w:vAlign w:val="bottom"/>
          </w:tcPr>
          <w:p>
            <w:pPr>
              <w:spacing w:after="0"/>
              <w:rPr>
                <w:sz w:val="5"/>
                <w:szCs w:val="5"/>
                <w:color w:val="auto"/>
              </w:rPr>
            </w:pPr>
          </w:p>
        </w:tc>
        <w:tc>
          <w:tcPr>
            <w:tcW w:w="580" w:type="dxa"/>
            <w:vAlign w:val="bottom"/>
            <w:gridSpan w:val="3"/>
          </w:tcPr>
          <w:p>
            <w:pPr>
              <w:ind w:left="100"/>
              <w:spacing w:after="0" w:line="65" w:lineRule="exact"/>
              <w:rPr>
                <w:sz w:val="20"/>
                <w:szCs w:val="20"/>
                <w:color w:val="auto"/>
              </w:rPr>
            </w:pPr>
            <w:r>
              <w:rPr>
                <w:rFonts w:ascii="Arial" w:cs="Arial" w:eastAsia="Arial" w:hAnsi="Arial"/>
                <w:sz w:val="6"/>
                <w:szCs w:val="6"/>
                <w:b w:val="1"/>
                <w:bCs w:val="1"/>
                <w:color w:val="auto"/>
              </w:rPr>
              <w:t>Number</w:t>
            </w:r>
          </w:p>
        </w:tc>
        <w:tc>
          <w:tcPr>
            <w:tcW w:w="380" w:type="dxa"/>
            <w:vAlign w:val="bottom"/>
          </w:tcPr>
          <w:p>
            <w:pPr>
              <w:jc w:val="center"/>
              <w:ind w:right="94"/>
              <w:spacing w:after="0" w:line="65" w:lineRule="exact"/>
              <w:rPr>
                <w:sz w:val="20"/>
                <w:szCs w:val="20"/>
                <w:color w:val="auto"/>
              </w:rPr>
            </w:pPr>
            <w:r>
              <w:rPr>
                <w:rFonts w:ascii="Arial" w:cs="Arial" w:eastAsia="Arial" w:hAnsi="Arial"/>
                <w:sz w:val="6"/>
                <w:szCs w:val="6"/>
                <w:b w:val="1"/>
                <w:bCs w:val="1"/>
                <w:color w:val="auto"/>
              </w:rPr>
              <w:t>%</w:t>
            </w:r>
          </w:p>
        </w:tc>
        <w:tc>
          <w:tcPr>
            <w:tcW w:w="30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Offering</w:t>
            </w:r>
          </w:p>
        </w:tc>
        <w:tc>
          <w:tcPr>
            <w:tcW w:w="80" w:type="dxa"/>
            <w:vAlign w:val="bottom"/>
          </w:tcPr>
          <w:p>
            <w:pPr>
              <w:spacing w:after="0"/>
              <w:rPr>
                <w:sz w:val="5"/>
                <w:szCs w:val="5"/>
                <w:color w:val="auto"/>
              </w:rPr>
            </w:pPr>
          </w:p>
        </w:tc>
        <w:tc>
          <w:tcPr>
            <w:tcW w:w="600" w:type="dxa"/>
            <w:vAlign w:val="bottom"/>
            <w:gridSpan w:val="2"/>
          </w:tcPr>
          <w:p>
            <w:pPr>
              <w:jc w:val="center"/>
              <w:ind w:right="80"/>
              <w:spacing w:after="0" w:line="65" w:lineRule="exact"/>
              <w:rPr>
                <w:sz w:val="20"/>
                <w:szCs w:val="20"/>
                <w:color w:val="auto"/>
              </w:rPr>
            </w:pPr>
            <w:r>
              <w:rPr>
                <w:rFonts w:ascii="Arial" w:cs="Arial" w:eastAsia="Arial" w:hAnsi="Arial"/>
                <w:sz w:val="6"/>
                <w:szCs w:val="6"/>
                <w:b w:val="1"/>
                <w:bCs w:val="1"/>
                <w:color w:val="auto"/>
              </w:rPr>
              <w:t>Exercised</w:t>
            </w:r>
          </w:p>
        </w:tc>
        <w:tc>
          <w:tcPr>
            <w:tcW w:w="540" w:type="dxa"/>
            <w:vAlign w:val="bottom"/>
          </w:tcPr>
          <w:p>
            <w:pPr>
              <w:jc w:val="center"/>
              <w:spacing w:after="0" w:line="65" w:lineRule="exact"/>
              <w:rPr>
                <w:sz w:val="20"/>
                <w:szCs w:val="20"/>
                <w:color w:val="auto"/>
              </w:rPr>
            </w:pPr>
            <w:r>
              <w:rPr>
                <w:rFonts w:ascii="Arial" w:cs="Arial" w:eastAsia="Arial" w:hAnsi="Arial"/>
                <w:sz w:val="6"/>
                <w:szCs w:val="6"/>
                <w:b w:val="1"/>
                <w:bCs w:val="1"/>
                <w:color w:val="auto"/>
              </w:rPr>
              <w:t>Exercised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spacing w:after="0" w:line="121" w:lineRule="exact"/>
              <w:rPr>
                <w:sz w:val="20"/>
                <w:szCs w:val="20"/>
                <w:color w:val="auto"/>
              </w:rPr>
            </w:pPr>
            <w:r>
              <w:rPr>
                <w:rFonts w:ascii="Arial" w:cs="Arial" w:eastAsia="Arial" w:hAnsi="Arial"/>
                <w:sz w:val="9"/>
                <w:szCs w:val="9"/>
                <w:color w:val="auto"/>
                <w:w w:val="72"/>
              </w:rPr>
              <w:t>TA Associates</w:t>
            </w:r>
            <w:r>
              <w:rPr>
                <w:rFonts w:ascii="Arial" w:cs="Arial" w:eastAsia="Arial" w:hAnsi="Arial"/>
                <w:sz w:val="12"/>
                <w:szCs w:val="12"/>
                <w:color w:val="auto"/>
                <w:w w:val="72"/>
                <w:vertAlign w:val="subscript"/>
              </w:rPr>
              <w:t>(22)</w:t>
            </w:r>
          </w:p>
        </w:tc>
        <w:tc>
          <w:tcPr>
            <w:tcW w:w="140" w:type="dxa"/>
            <w:vAlign w:val="bottom"/>
            <w:tcBorders>
              <w:bottom w:val="single" w:sz="8" w:color="CCEEFF"/>
              <w:right w:val="single" w:sz="8" w:color="auto"/>
            </w:tcBorders>
            <w:shd w:val="clear" w:color="auto" w:fill="CCEEFF"/>
          </w:tcPr>
          <w:p>
            <w:pPr>
              <w:jc w:val="right"/>
              <w:ind w:right="29"/>
              <w:spacing w:after="0" w:line="57" w:lineRule="exact"/>
              <w:rPr>
                <w:sz w:val="20"/>
                <w:szCs w:val="20"/>
                <w:color w:val="auto"/>
              </w:rPr>
            </w:pPr>
            <w:r>
              <w:rPr>
                <w:rFonts w:ascii="Arial" w:cs="Arial" w:eastAsia="Arial" w:hAnsi="Arial"/>
                <w:sz w:val="6"/>
                <w:szCs w:val="6"/>
                <w:color w:val="auto"/>
                <w:w w:val="81"/>
              </w:rPr>
              <w:t>(5)</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CCEEFF"/>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4"/>
              </w:rPr>
              <w:t>5,964,631</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w w:val="94"/>
              </w:rPr>
              <w:t>6,859,327</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84,100,741</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36.8%</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7"/>
              </w:rPr>
              <w:t>79,741,479</w:t>
            </w: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36.1%</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79,087,588</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36.0%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30,971,456</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rPr>
              <w:t>33.8%</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29,366,087</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33.8%</w:t>
            </w: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7"/>
              </w:rPr>
              <w:t>29,125,282</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right w:val="single" w:sz="8" w:color="auto"/>
            </w:tcBorders>
            <w:shd w:val="clear" w:color="auto" w:fill="CCEEFF"/>
          </w:tcPr>
          <w:p>
            <w:pPr>
              <w:jc w:val="center"/>
              <w:ind w:right="94"/>
              <w:spacing w:after="0"/>
              <w:rPr>
                <w:sz w:val="20"/>
                <w:szCs w:val="20"/>
                <w:color w:val="auto"/>
              </w:rPr>
            </w:pPr>
            <w:r>
              <w:rPr>
                <w:rFonts w:ascii="Arial" w:cs="Arial" w:eastAsia="Arial" w:hAnsi="Arial"/>
                <w:sz w:val="9"/>
                <w:szCs w:val="9"/>
                <w:color w:val="auto"/>
                <w:w w:val="93"/>
              </w:rPr>
              <w:t>33.8%</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9"/>
                <w:szCs w:val="9"/>
                <w:color w:val="auto"/>
                <w:w w:val="93"/>
              </w:rPr>
              <w:t>35.2%</w:t>
            </w:r>
          </w:p>
        </w:tc>
        <w:tc>
          <w:tcPr>
            <w:tcW w:w="6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9"/>
                <w:szCs w:val="9"/>
                <w:color w:val="auto"/>
                <w:w w:val="93"/>
              </w:rPr>
              <w:t>34.6%</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93"/>
              </w:rPr>
              <w:t>34.5%</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rPr>
              <w:t>Investment</w:t>
            </w:r>
          </w:p>
        </w:tc>
        <w:tc>
          <w:tcPr>
            <w:tcW w:w="1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Funds</w:t>
            </w:r>
          </w:p>
        </w:tc>
        <w:tc>
          <w:tcPr>
            <w:tcW w:w="1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affiliated</w:t>
            </w:r>
          </w:p>
        </w:tc>
        <w:tc>
          <w:tcPr>
            <w:tcW w:w="1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with</w:t>
            </w:r>
          </w:p>
        </w:tc>
        <w:tc>
          <w:tcPr>
            <w:tcW w:w="140" w:type="dxa"/>
            <w:vAlign w:val="bottom"/>
            <w:tcBorders>
              <w:right w:val="single" w:sz="8" w:color="auto"/>
            </w:tcBorders>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3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vMerge w:val="restart"/>
          </w:tcPr>
          <w:p>
            <w:pPr>
              <w:jc w:val="center"/>
              <w:spacing w:after="0"/>
              <w:rPr>
                <w:sz w:val="20"/>
                <w:szCs w:val="20"/>
                <w:color w:val="auto"/>
              </w:rPr>
            </w:pPr>
            <w:r>
              <w:rPr>
                <w:rFonts w:ascii="Arial" w:cs="Arial" w:eastAsia="Arial" w:hAnsi="Arial"/>
                <w:sz w:val="9"/>
                <w:szCs w:val="9"/>
                <w:color w:val="auto"/>
                <w:w w:val="94"/>
              </w:rPr>
              <w:t>5,138,086</w:t>
            </w:r>
          </w:p>
        </w:tc>
        <w:tc>
          <w:tcPr>
            <w:tcW w:w="80" w:type="dxa"/>
            <w:vAlign w:val="bottom"/>
          </w:tcPr>
          <w:p>
            <w:pPr>
              <w:spacing w:after="0"/>
              <w:rPr>
                <w:sz w:val="7"/>
                <w:szCs w:val="7"/>
                <w:color w:val="auto"/>
              </w:rPr>
            </w:pP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w w:val="94"/>
              </w:rPr>
              <w:t>5,908,798</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93"/>
              </w:rPr>
              <w:t>41,954,633</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18.4%</w:t>
            </w:r>
          </w:p>
        </w:tc>
        <w:tc>
          <w:tcPr>
            <w:tcW w:w="8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39,779,964</w:t>
            </w:r>
          </w:p>
        </w:tc>
        <w:tc>
          <w:tcPr>
            <w:tcW w:w="6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18.0%</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39,453,764</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18.0%</w:t>
            </w: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57,171,484</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rPr>
              <w:t>62.4%</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54,208,067</w:t>
            </w:r>
          </w:p>
        </w:tc>
        <w:tc>
          <w:tcPr>
            <w:tcW w:w="8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62.4%</w:t>
            </w:r>
          </w:p>
        </w:tc>
        <w:tc>
          <w:tcPr>
            <w:tcW w:w="6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53,763,555</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94"/>
              <w:spacing w:after="0"/>
              <w:rPr>
                <w:sz w:val="20"/>
                <w:szCs w:val="20"/>
                <w:color w:val="auto"/>
              </w:rPr>
            </w:pPr>
            <w:r>
              <w:rPr>
                <w:rFonts w:ascii="Arial" w:cs="Arial" w:eastAsia="Arial" w:hAnsi="Arial"/>
                <w:sz w:val="9"/>
                <w:szCs w:val="9"/>
                <w:color w:val="auto"/>
                <w:w w:val="93"/>
              </w:rPr>
              <w:t>62.4%</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30.3%</w:t>
            </w:r>
          </w:p>
        </w:tc>
        <w:tc>
          <w:tcPr>
            <w:tcW w:w="600" w:type="dxa"/>
            <w:vAlign w:val="bottom"/>
            <w:gridSpan w:val="2"/>
            <w:vMerge w:val="restart"/>
          </w:tcPr>
          <w:p>
            <w:pPr>
              <w:jc w:val="center"/>
              <w:ind w:left="34"/>
              <w:spacing w:after="0"/>
              <w:rPr>
                <w:sz w:val="20"/>
                <w:szCs w:val="20"/>
                <w:color w:val="auto"/>
              </w:rPr>
            </w:pPr>
            <w:r>
              <w:rPr>
                <w:rFonts w:ascii="Arial" w:cs="Arial" w:eastAsia="Arial" w:hAnsi="Arial"/>
                <w:sz w:val="9"/>
                <w:szCs w:val="9"/>
                <w:color w:val="auto"/>
                <w:w w:val="93"/>
              </w:rPr>
              <w:t>29.8%</w:t>
            </w:r>
          </w:p>
        </w:tc>
        <w:tc>
          <w:tcPr>
            <w:tcW w:w="80" w:type="dxa"/>
            <w:vAlign w:val="bottom"/>
          </w:tcPr>
          <w:p>
            <w:pPr>
              <w:spacing w:after="0"/>
              <w:rPr>
                <w:sz w:val="7"/>
                <w:szCs w:val="7"/>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3"/>
              </w:rPr>
              <w:t>29.7%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Borders>
              <w:right w:val="single" w:sz="8" w:color="auto"/>
            </w:tcBorders>
            <w:gridSpan w:val="3"/>
          </w:tcPr>
          <w:p>
            <w:pPr>
              <w:ind w:left="160"/>
              <w:spacing w:after="0" w:line="129" w:lineRule="exact"/>
              <w:rPr>
                <w:sz w:val="20"/>
                <w:szCs w:val="20"/>
                <w:color w:val="auto"/>
              </w:rPr>
            </w:pPr>
            <w:r>
              <w:rPr>
                <w:rFonts w:ascii="Arial" w:cs="Arial" w:eastAsia="Arial" w:hAnsi="Arial"/>
                <w:sz w:val="9"/>
                <w:szCs w:val="9"/>
                <w:color w:val="auto"/>
                <w:w w:val="92"/>
              </w:rPr>
              <w:t>Carlyle</w:t>
            </w:r>
            <w:r>
              <w:rPr>
                <w:rFonts w:ascii="Arial" w:cs="Arial" w:eastAsia="Arial" w:hAnsi="Arial"/>
                <w:sz w:val="12"/>
                <w:szCs w:val="12"/>
                <w:color w:val="auto"/>
                <w:w w:val="92"/>
                <w:vertAlign w:val="superscript"/>
              </w:rPr>
              <w:t>(6)(22)</w:t>
            </w: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tcBorders>
              <w:right w:val="single" w:sz="8" w:color="auto"/>
            </w:tcBorders>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9"/>
                <w:szCs w:val="9"/>
                <w:color w:val="auto"/>
                <w:w w:val="90"/>
              </w:rPr>
              <w:t>22C Capital</w:t>
            </w:r>
            <w:r>
              <w:rPr>
                <w:rFonts w:ascii="Arial" w:cs="Arial" w:eastAsia="Arial" w:hAnsi="Arial"/>
                <w:sz w:val="12"/>
                <w:szCs w:val="12"/>
                <w:color w:val="auto"/>
                <w:w w:val="90"/>
                <w:vertAlign w:val="superscript"/>
              </w:rPr>
              <w:t>(7)(22)</w:t>
            </w: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1,052,415</w:t>
            </w:r>
          </w:p>
        </w:tc>
        <w:tc>
          <w:tcPr>
            <w:tcW w:w="80" w:type="dxa"/>
            <w:vAlign w:val="bottom"/>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w w:val="94"/>
              </w:rPr>
              <w:t>1,210,277</w:t>
            </w:r>
          </w:p>
        </w:tc>
        <w:tc>
          <w:tcPr>
            <w:tcW w:w="5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16,864,222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7.4%</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15,990,085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7.2%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15,858,965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w w:val="87"/>
              </w:rPr>
              <w:t>7.2%</w:t>
            </w: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3,439,413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87"/>
              </w:rPr>
              <w:t>3.8%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3,261,135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3.8%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89"/>
              </w:rPr>
              <w:t>3,234,393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jc w:val="center"/>
              <w:ind w:right="94"/>
              <w:spacing w:after="0"/>
              <w:rPr>
                <w:sz w:val="20"/>
                <w:szCs w:val="20"/>
                <w:color w:val="auto"/>
              </w:rPr>
            </w:pPr>
            <w:r>
              <w:rPr>
                <w:rFonts w:ascii="Arial" w:cs="Arial" w:eastAsia="Arial" w:hAnsi="Arial"/>
                <w:sz w:val="9"/>
                <w:szCs w:val="9"/>
                <w:color w:val="auto"/>
                <w:w w:val="97"/>
              </w:rPr>
              <w:t>3.8%</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6.2%</w:t>
            </w:r>
          </w:p>
        </w:tc>
        <w:tc>
          <w:tcPr>
            <w:tcW w:w="600" w:type="dxa"/>
            <w:vAlign w:val="bottom"/>
            <w:gridSpan w:val="2"/>
            <w:shd w:val="clear" w:color="auto" w:fill="CCEEFF"/>
          </w:tcPr>
          <w:p>
            <w:pPr>
              <w:jc w:val="center"/>
              <w:ind w:left="34"/>
              <w:spacing w:after="0"/>
              <w:rPr>
                <w:sz w:val="20"/>
                <w:szCs w:val="20"/>
                <w:color w:val="auto"/>
              </w:rPr>
            </w:pPr>
            <w:r>
              <w:rPr>
                <w:rFonts w:ascii="Arial" w:cs="Arial" w:eastAsia="Arial" w:hAnsi="Arial"/>
                <w:sz w:val="9"/>
                <w:szCs w:val="9"/>
                <w:color w:val="auto"/>
                <w:w w:val="97"/>
              </w:rPr>
              <w:t>6.1%</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97"/>
              </w:rPr>
              <w:t>6.1%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rPr>
              <w:t>DO Holdings</w:t>
            </w:r>
          </w:p>
        </w:tc>
        <w:tc>
          <w:tcPr>
            <w:tcW w:w="1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(WA),</w:t>
            </w:r>
          </w:p>
        </w:tc>
        <w:tc>
          <w:tcPr>
            <w:tcW w:w="140" w:type="dxa"/>
            <w:vAlign w:val="bottom"/>
            <w:tcBorders>
              <w:right w:val="single" w:sz="8" w:color="auto"/>
            </w:tcBorders>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3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93"/>
              </w:rPr>
              <w:t>58,647,878</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25.7%</w:t>
            </w:r>
          </w:p>
        </w:tc>
        <w:tc>
          <w:tcPr>
            <w:tcW w:w="8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58,647,878</w:t>
            </w:r>
          </w:p>
        </w:tc>
        <w:tc>
          <w:tcPr>
            <w:tcW w:w="6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26.6%</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58,647,878</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26.7%</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17.9%</w:t>
            </w:r>
          </w:p>
        </w:tc>
        <w:tc>
          <w:tcPr>
            <w:tcW w:w="600" w:type="dxa"/>
            <w:vAlign w:val="bottom"/>
            <w:gridSpan w:val="2"/>
            <w:vMerge w:val="restart"/>
          </w:tcPr>
          <w:p>
            <w:pPr>
              <w:jc w:val="center"/>
              <w:ind w:left="34"/>
              <w:spacing w:after="0"/>
              <w:rPr>
                <w:sz w:val="20"/>
                <w:szCs w:val="20"/>
                <w:color w:val="auto"/>
              </w:rPr>
            </w:pPr>
            <w:r>
              <w:rPr>
                <w:rFonts w:ascii="Arial" w:cs="Arial" w:eastAsia="Arial" w:hAnsi="Arial"/>
                <w:sz w:val="9"/>
                <w:szCs w:val="9"/>
                <w:color w:val="auto"/>
                <w:w w:val="93"/>
              </w:rPr>
              <w:t>18.6%</w:t>
            </w:r>
          </w:p>
        </w:tc>
        <w:tc>
          <w:tcPr>
            <w:tcW w:w="80" w:type="dxa"/>
            <w:vAlign w:val="bottom"/>
          </w:tcPr>
          <w:p>
            <w:pPr>
              <w:spacing w:after="0"/>
              <w:rPr>
                <w:sz w:val="7"/>
                <w:szCs w:val="7"/>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3"/>
              </w:rPr>
              <w:t>18.7%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gridSpan w:val="2"/>
          </w:tcPr>
          <w:p>
            <w:pPr>
              <w:ind w:left="160"/>
              <w:spacing w:after="0" w:line="129" w:lineRule="exact"/>
              <w:rPr>
                <w:sz w:val="20"/>
                <w:szCs w:val="20"/>
                <w:color w:val="auto"/>
              </w:rPr>
            </w:pPr>
            <w:r>
              <w:rPr>
                <w:rFonts w:ascii="Arial" w:cs="Arial" w:eastAsia="Arial" w:hAnsi="Arial"/>
                <w:sz w:val="14"/>
                <w:szCs w:val="14"/>
                <w:color w:val="auto"/>
                <w:vertAlign w:val="subscript"/>
              </w:rPr>
              <w:t>LLC</w:t>
            </w:r>
            <w:r>
              <w:rPr>
                <w:rFonts w:ascii="Arial" w:cs="Arial" w:eastAsia="Arial" w:hAnsi="Arial"/>
                <w:sz w:val="6"/>
                <w:szCs w:val="6"/>
                <w:color w:val="auto"/>
              </w:rPr>
              <w:t>(8)(22)</w:t>
            </w:r>
          </w:p>
        </w:tc>
        <w:tc>
          <w:tcPr>
            <w:tcW w:w="140" w:type="dxa"/>
            <w:vAlign w:val="bottom"/>
            <w:tcBorders>
              <w:right w:val="single" w:sz="8" w:color="auto"/>
            </w:tcBorders>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tcBorders>
              <w:right w:val="single" w:sz="8" w:color="auto"/>
            </w:tcBorders>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9"/>
                <w:szCs w:val="9"/>
                <w:color w:val="auto"/>
                <w:w w:val="94"/>
              </w:rPr>
              <w:t>Kirk Brown</w:t>
            </w:r>
            <w:r>
              <w:rPr>
                <w:rFonts w:ascii="Arial" w:cs="Arial" w:eastAsia="Arial" w:hAnsi="Arial"/>
                <w:sz w:val="12"/>
                <w:szCs w:val="12"/>
                <w:color w:val="auto"/>
                <w:w w:val="94"/>
                <w:vertAlign w:val="superscript"/>
              </w:rPr>
              <w:t>(9)(22)</w:t>
            </w: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58,647,878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25.7%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58,647,878</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26.6%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58,647,878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26.7%</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3"/>
              </w:rPr>
              <w:t>17.9%</w:t>
            </w:r>
          </w:p>
        </w:tc>
        <w:tc>
          <w:tcPr>
            <w:tcW w:w="600" w:type="dxa"/>
            <w:vAlign w:val="bottom"/>
            <w:gridSpan w:val="2"/>
            <w:shd w:val="clear" w:color="auto" w:fill="CCEEFF"/>
          </w:tcPr>
          <w:p>
            <w:pPr>
              <w:jc w:val="center"/>
              <w:ind w:left="34"/>
              <w:spacing w:after="0"/>
              <w:rPr>
                <w:sz w:val="20"/>
                <w:szCs w:val="20"/>
                <w:color w:val="auto"/>
              </w:rPr>
            </w:pPr>
            <w:r>
              <w:rPr>
                <w:rFonts w:ascii="Arial" w:cs="Arial" w:eastAsia="Arial" w:hAnsi="Arial"/>
                <w:sz w:val="9"/>
                <w:szCs w:val="9"/>
                <w:color w:val="auto"/>
                <w:w w:val="93"/>
              </w:rPr>
              <w:t>18.6%</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93"/>
              </w:rPr>
              <w:t>18.7%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Borders>
              <w:right w:val="single" w:sz="8" w:color="auto"/>
            </w:tcBorders>
            <w:gridSpan w:val="3"/>
          </w:tcPr>
          <w:p>
            <w:pPr>
              <w:spacing w:after="0"/>
              <w:rPr>
                <w:sz w:val="20"/>
                <w:szCs w:val="20"/>
                <w:color w:val="auto"/>
              </w:rPr>
            </w:pPr>
            <w:r>
              <w:rPr>
                <w:rFonts w:ascii="Arial" w:cs="Arial" w:eastAsia="Arial" w:hAnsi="Arial"/>
                <w:sz w:val="9"/>
                <w:szCs w:val="9"/>
                <w:color w:val="auto"/>
                <w:w w:val="75"/>
              </w:rPr>
              <w:t>Henry</w:t>
            </w:r>
            <w:r>
              <w:rPr>
                <w:rFonts w:ascii="Arial" w:cs="Arial" w:eastAsia="Arial" w:hAnsi="Arial"/>
                <w:sz w:val="12"/>
                <w:szCs w:val="12"/>
                <w:color w:val="auto"/>
                <w:w w:val="75"/>
                <w:vertAlign w:val="subscript"/>
              </w:rPr>
              <w:t>(22)</w:t>
            </w:r>
            <w:r>
              <w:rPr>
                <w:rFonts w:ascii="Arial" w:cs="Arial" w:eastAsia="Arial" w:hAnsi="Arial"/>
                <w:sz w:val="9"/>
                <w:szCs w:val="9"/>
                <w:color w:val="auto"/>
                <w:w w:val="75"/>
              </w:rPr>
              <w:t xml:space="preserve"> Schuck</w:t>
            </w:r>
            <w:r>
              <w:rPr>
                <w:rFonts w:ascii="Arial" w:cs="Arial" w:eastAsia="Arial" w:hAnsi="Arial"/>
                <w:sz w:val="12"/>
                <w:szCs w:val="12"/>
                <w:color w:val="auto"/>
                <w:w w:val="75"/>
                <w:vertAlign w:val="superscript"/>
              </w:rPr>
              <w:t>(10)</w:t>
            </w: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1,186,472</w:t>
            </w:r>
          </w:p>
        </w:tc>
        <w:tc>
          <w:tcPr>
            <w:tcW w:w="320" w:type="dxa"/>
            <w:vAlign w:val="bottom"/>
            <w:gridSpan w:val="2"/>
            <w:vMerge w:val="restart"/>
          </w:tcPr>
          <w:p>
            <w:pPr>
              <w:jc w:val="center"/>
              <w:ind w:left="37"/>
              <w:spacing w:after="0"/>
              <w:rPr>
                <w:sz w:val="20"/>
                <w:szCs w:val="20"/>
                <w:color w:val="auto"/>
              </w:rPr>
            </w:pPr>
            <w:r>
              <w:rPr>
                <w:rFonts w:ascii="Arial" w:cs="Arial" w:eastAsia="Arial" w:hAnsi="Arial"/>
                <w:sz w:val="9"/>
                <w:szCs w:val="9"/>
                <w:color w:val="auto"/>
                <w:w w:val="97"/>
              </w:rPr>
              <w:t>1.7%</w:t>
            </w:r>
          </w:p>
        </w:tc>
        <w:tc>
          <w:tcPr>
            <w:tcW w:w="8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1,186,472</w:t>
            </w:r>
          </w:p>
        </w:tc>
        <w:tc>
          <w:tcPr>
            <w:tcW w:w="80" w:type="dxa"/>
            <w:vAlign w:val="bottom"/>
          </w:tcPr>
          <w:p>
            <w:pPr>
              <w:spacing w:after="0"/>
              <w:rPr>
                <w:sz w:val="13"/>
                <w:szCs w:val="13"/>
                <w:color w:val="auto"/>
              </w:rPr>
            </w:pPr>
          </w:p>
        </w:tc>
        <w:tc>
          <w:tcPr>
            <w:tcW w:w="240" w:type="dxa"/>
            <w:vAlign w:val="bottom"/>
            <w:vMerge w:val="restart"/>
          </w:tcPr>
          <w:p>
            <w:pPr>
              <w:jc w:val="center"/>
              <w:spacing w:after="0"/>
              <w:rPr>
                <w:sz w:val="20"/>
                <w:szCs w:val="20"/>
                <w:color w:val="auto"/>
              </w:rPr>
            </w:pPr>
            <w:r>
              <w:rPr>
                <w:rFonts w:ascii="Arial" w:cs="Arial" w:eastAsia="Arial" w:hAnsi="Arial"/>
                <w:sz w:val="9"/>
                <w:szCs w:val="9"/>
                <w:color w:val="auto"/>
                <w:w w:val="97"/>
              </w:rPr>
              <w:t>1.5%</w:t>
            </w:r>
          </w:p>
        </w:tc>
        <w:tc>
          <w:tcPr>
            <w:tcW w:w="80" w:type="dxa"/>
            <w:vAlign w:val="bottom"/>
          </w:tcPr>
          <w:p>
            <w:pPr>
              <w:spacing w:after="0"/>
              <w:rPr>
                <w:sz w:val="13"/>
                <w:szCs w:val="13"/>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1,186,472</w:t>
            </w:r>
          </w:p>
        </w:tc>
        <w:tc>
          <w:tcPr>
            <w:tcW w:w="80" w:type="dxa"/>
            <w:vAlign w:val="bottom"/>
          </w:tcPr>
          <w:p>
            <w:pPr>
              <w:spacing w:after="0"/>
              <w:rPr>
                <w:sz w:val="13"/>
                <w:szCs w:val="13"/>
                <w:color w:val="auto"/>
              </w:rPr>
            </w:pPr>
          </w:p>
        </w:tc>
        <w:tc>
          <w:tcPr>
            <w:tcW w:w="36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w w:val="97"/>
              </w:rPr>
              <w:t>1.4%</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rPr>
              <w:t>—</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93"/>
              </w:rPr>
              <w:t>76,722,043</w:t>
            </w:r>
          </w:p>
        </w:tc>
        <w:tc>
          <w:tcPr>
            <w:tcW w:w="80" w:type="dxa"/>
            <w:vAlign w:val="bottom"/>
          </w:tcPr>
          <w:p>
            <w:pPr>
              <w:spacing w:after="0"/>
              <w:rPr>
                <w:sz w:val="13"/>
                <w:szCs w:val="13"/>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33.6%</w:t>
            </w:r>
          </w:p>
        </w:tc>
        <w:tc>
          <w:tcPr>
            <w:tcW w:w="80" w:type="dxa"/>
            <w:vAlign w:val="bottom"/>
          </w:tcPr>
          <w:p>
            <w:pPr>
              <w:spacing w:after="0"/>
              <w:rPr>
                <w:sz w:val="13"/>
                <w:szCs w:val="13"/>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76,722,043</w:t>
            </w:r>
          </w:p>
        </w:tc>
        <w:tc>
          <w:tcPr>
            <w:tcW w:w="60" w:type="dxa"/>
            <w:vAlign w:val="bottom"/>
          </w:tcPr>
          <w:p>
            <w:pPr>
              <w:spacing w:after="0"/>
              <w:rPr>
                <w:sz w:val="13"/>
                <w:szCs w:val="13"/>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34.8%</w:t>
            </w:r>
          </w:p>
        </w:tc>
        <w:tc>
          <w:tcPr>
            <w:tcW w:w="80" w:type="dxa"/>
            <w:vAlign w:val="bottom"/>
          </w:tcPr>
          <w:p>
            <w:pPr>
              <w:spacing w:after="0"/>
              <w:rPr>
                <w:sz w:val="13"/>
                <w:szCs w:val="13"/>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76,722,043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34.9%</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23.5%</w:t>
            </w:r>
          </w:p>
        </w:tc>
        <w:tc>
          <w:tcPr>
            <w:tcW w:w="600" w:type="dxa"/>
            <w:vAlign w:val="bottom"/>
            <w:gridSpan w:val="2"/>
            <w:vMerge w:val="restart"/>
          </w:tcPr>
          <w:p>
            <w:pPr>
              <w:jc w:val="center"/>
              <w:ind w:left="34"/>
              <w:spacing w:after="0"/>
              <w:rPr>
                <w:sz w:val="20"/>
                <w:szCs w:val="20"/>
                <w:color w:val="auto"/>
              </w:rPr>
            </w:pPr>
            <w:r>
              <w:rPr>
                <w:rFonts w:ascii="Arial" w:cs="Arial" w:eastAsia="Arial" w:hAnsi="Arial"/>
                <w:sz w:val="9"/>
                <w:szCs w:val="9"/>
                <w:color w:val="auto"/>
                <w:w w:val="93"/>
              </w:rPr>
              <w:t>24.3%</w:t>
            </w:r>
          </w:p>
        </w:tc>
        <w:tc>
          <w:tcPr>
            <w:tcW w:w="80" w:type="dxa"/>
            <w:vAlign w:val="bottom"/>
          </w:tcPr>
          <w:p>
            <w:pPr>
              <w:spacing w:after="0"/>
              <w:rPr>
                <w:sz w:val="13"/>
                <w:szCs w:val="13"/>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3"/>
              </w:rPr>
              <w:t>24.5%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right w:val="single" w:sz="8" w:color="auto"/>
            </w:tcBorders>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520" w:type="dxa"/>
            <w:vAlign w:val="bottom"/>
            <w:tcBorders>
              <w:right w:val="single" w:sz="8" w:color="auto"/>
            </w:tcBorders>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right w:val="single" w:sz="8" w:color="auto"/>
            </w:tcBorders>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380" w:type="dxa"/>
            <w:vAlign w:val="bottom"/>
            <w:tcBorders>
              <w:right w:val="single" w:sz="8" w:color="auto"/>
            </w:tcBorders>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Cameron</w:t>
            </w:r>
          </w:p>
        </w:tc>
        <w:tc>
          <w:tcPr>
            <w:tcW w:w="140" w:type="dxa"/>
            <w:vAlign w:val="bottom"/>
            <w:tcBorders>
              <w:right w:val="single" w:sz="8" w:color="auto"/>
            </w:tcBorders>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160"/>
              <w:spacing w:after="0" w:line="129" w:lineRule="exact"/>
              <w:rPr>
                <w:sz w:val="20"/>
                <w:szCs w:val="20"/>
                <w:color w:val="auto"/>
              </w:rPr>
            </w:pPr>
            <w:r>
              <w:rPr>
                <w:rFonts w:ascii="Arial" w:cs="Arial" w:eastAsia="Arial" w:hAnsi="Arial"/>
                <w:sz w:val="9"/>
                <w:szCs w:val="9"/>
                <w:color w:val="auto"/>
                <w:w w:val="95"/>
              </w:rPr>
              <w:t>Hyzer</w:t>
            </w:r>
            <w:r>
              <w:rPr>
                <w:rFonts w:ascii="Arial" w:cs="Arial" w:eastAsia="Arial" w:hAnsi="Arial"/>
                <w:sz w:val="12"/>
                <w:szCs w:val="12"/>
                <w:color w:val="auto"/>
                <w:w w:val="95"/>
                <w:vertAlign w:val="superscript"/>
              </w:rPr>
              <w:t>(11)</w:t>
            </w:r>
          </w:p>
        </w:tc>
        <w:tc>
          <w:tcPr>
            <w:tcW w:w="140" w:type="dxa"/>
            <w:vAlign w:val="bottom"/>
            <w:tcBorders>
              <w:right w:val="single" w:sz="8" w:color="auto"/>
            </w:tcBorders>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60" w:type="dxa"/>
            <w:vAlign w:val="bottom"/>
            <w:tcBorders>
              <w:right w:val="single" w:sz="8" w:color="auto"/>
            </w:tcBorders>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520" w:type="dxa"/>
            <w:vAlign w:val="bottom"/>
            <w:tcBorders>
              <w:right w:val="single" w:sz="8" w:color="auto"/>
            </w:tcBorders>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80" w:type="dxa"/>
            <w:vAlign w:val="bottom"/>
            <w:gridSpan w:val="3"/>
            <w:vMerge w:val="continue"/>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w w:val="89"/>
              </w:rPr>
              <w:t>Chris Hays</w:t>
            </w:r>
            <w:r>
              <w:rPr>
                <w:rFonts w:ascii="Arial" w:cs="Arial" w:eastAsia="Arial" w:hAnsi="Arial"/>
                <w:sz w:val="12"/>
                <w:szCs w:val="12"/>
                <w:color w:val="auto"/>
                <w:w w:val="89"/>
                <w:vertAlign w:val="superscript"/>
              </w:rPr>
              <w:t>(12)</w:t>
            </w:r>
          </w:p>
        </w:tc>
        <w:tc>
          <w:tcPr>
            <w:tcW w:w="140" w:type="dxa"/>
            <w:vAlign w:val="bottom"/>
            <w:tcBorders>
              <w:right w:val="single" w:sz="8" w:color="auto"/>
            </w:tcBorders>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auto"/>
                <w:w w:val="92"/>
              </w:rPr>
              <w:t>189,574</w:t>
            </w:r>
          </w:p>
        </w:tc>
        <w:tc>
          <w:tcPr>
            <w:tcW w:w="320" w:type="dxa"/>
            <w:vAlign w:val="bottom"/>
            <w:gridSpan w:val="2"/>
          </w:tcPr>
          <w:p>
            <w:pPr>
              <w:jc w:val="center"/>
              <w:ind w:left="3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auto"/>
                <w:w w:val="92"/>
              </w:rPr>
              <w:t>189,574</w:t>
            </w:r>
          </w:p>
        </w:tc>
        <w:tc>
          <w:tcPr>
            <w:tcW w:w="80" w:type="dxa"/>
            <w:vAlign w:val="bottom"/>
          </w:tcPr>
          <w:p>
            <w:pPr>
              <w:spacing w:after="0"/>
              <w:rPr>
                <w:sz w:val="12"/>
                <w:szCs w:val="12"/>
                <w:color w:val="auto"/>
              </w:rPr>
            </w:pPr>
          </w:p>
        </w:tc>
        <w:tc>
          <w:tcPr>
            <w:tcW w:w="24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auto"/>
                <w:w w:val="92"/>
              </w:rPr>
              <w:t>189,574</w:t>
            </w:r>
          </w:p>
        </w:tc>
        <w:tc>
          <w:tcPr>
            <w:tcW w:w="80" w:type="dxa"/>
            <w:vAlign w:val="bottom"/>
          </w:tcPr>
          <w:p>
            <w:pPr>
              <w:spacing w:after="0"/>
              <w:rPr>
                <w:sz w:val="12"/>
                <w:szCs w:val="12"/>
                <w:color w:val="auto"/>
              </w:rPr>
            </w:pPr>
          </w:p>
        </w:tc>
        <w:tc>
          <w:tcPr>
            <w:tcW w:w="36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tcPr>
          <w:p>
            <w:pPr>
              <w:jc w:val="center"/>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center"/>
              <w:ind w:left="3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w w:val="99"/>
              </w:rPr>
              <w:t>Nir Keren</w:t>
            </w:r>
            <w:r>
              <w:rPr>
                <w:rFonts w:ascii="Arial" w:cs="Arial" w:eastAsia="Arial" w:hAnsi="Arial"/>
                <w:sz w:val="12"/>
                <w:szCs w:val="12"/>
                <w:color w:val="auto"/>
                <w:w w:val="99"/>
                <w:vertAlign w:val="superscript"/>
              </w:rPr>
              <w:t>(13)</w:t>
            </w:r>
          </w:p>
        </w:tc>
        <w:tc>
          <w:tcPr>
            <w:tcW w:w="14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1,305,653</w:t>
            </w:r>
          </w:p>
        </w:tc>
        <w:tc>
          <w:tcPr>
            <w:tcW w:w="320" w:type="dxa"/>
            <w:vAlign w:val="bottom"/>
            <w:gridSpan w:val="2"/>
            <w:shd w:val="clear" w:color="auto" w:fill="CCEEFF"/>
          </w:tcPr>
          <w:p>
            <w:pPr>
              <w:jc w:val="center"/>
              <w:ind w:left="37"/>
              <w:spacing w:after="0"/>
              <w:rPr>
                <w:sz w:val="20"/>
                <w:szCs w:val="20"/>
                <w:color w:val="auto"/>
              </w:rPr>
            </w:pPr>
            <w:r>
              <w:rPr>
                <w:rFonts w:ascii="Arial" w:cs="Arial" w:eastAsia="Arial" w:hAnsi="Arial"/>
                <w:sz w:val="9"/>
                <w:szCs w:val="9"/>
                <w:color w:val="auto"/>
                <w:w w:val="97"/>
              </w:rPr>
              <w:t>1.9%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1,305,653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1.6%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1,305,653</w:t>
            </w:r>
          </w:p>
        </w:tc>
        <w:tc>
          <w:tcPr>
            <w:tcW w:w="8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w w:val="97"/>
              </w:rPr>
              <w:t>1.6%</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center"/>
              <w:ind w:left="3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Borders>
              <w:right w:val="single" w:sz="8" w:color="auto"/>
            </w:tcBorders>
            <w:gridSpan w:val="3"/>
          </w:tcPr>
          <w:p>
            <w:pPr>
              <w:spacing w:after="0"/>
              <w:rPr>
                <w:sz w:val="20"/>
                <w:szCs w:val="20"/>
                <w:color w:val="auto"/>
              </w:rPr>
            </w:pPr>
            <w:r>
              <w:rPr>
                <w:rFonts w:ascii="Arial" w:cs="Arial" w:eastAsia="Arial" w:hAnsi="Arial"/>
                <w:sz w:val="9"/>
                <w:szCs w:val="9"/>
                <w:color w:val="auto"/>
                <w:w w:val="90"/>
              </w:rPr>
              <w:t>Todd Crockett</w:t>
            </w:r>
            <w:r>
              <w:rPr>
                <w:rFonts w:ascii="Arial" w:cs="Arial" w:eastAsia="Arial" w:hAnsi="Arial"/>
                <w:sz w:val="12"/>
                <w:szCs w:val="12"/>
                <w:color w:val="auto"/>
                <w:w w:val="90"/>
                <w:vertAlign w:val="superscript"/>
              </w:rPr>
              <w:t>(14)</w:t>
            </w:r>
          </w:p>
        </w:tc>
        <w:tc>
          <w:tcPr>
            <w:tcW w:w="4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9"/>
                <w:szCs w:val="9"/>
                <w:color w:val="auto"/>
                <w:w w:val="95"/>
              </w:rPr>
              <w:t>Mitesh Dhruv</w:t>
            </w:r>
            <w:r>
              <w:rPr>
                <w:rFonts w:ascii="Arial" w:cs="Arial" w:eastAsia="Arial" w:hAnsi="Arial"/>
                <w:sz w:val="12"/>
                <w:szCs w:val="12"/>
                <w:color w:val="auto"/>
                <w:w w:val="95"/>
                <w:vertAlign w:val="superscript"/>
              </w:rPr>
              <w:t>(15)</w:t>
            </w: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Borders>
              <w:right w:val="single" w:sz="8" w:color="auto"/>
            </w:tcBorders>
            <w:gridSpan w:val="3"/>
          </w:tcPr>
          <w:p>
            <w:pPr>
              <w:spacing w:after="0"/>
              <w:rPr>
                <w:sz w:val="20"/>
                <w:szCs w:val="20"/>
                <w:color w:val="auto"/>
              </w:rPr>
            </w:pPr>
            <w:r>
              <w:rPr>
                <w:rFonts w:ascii="Arial" w:cs="Arial" w:eastAsia="Arial" w:hAnsi="Arial"/>
                <w:sz w:val="9"/>
                <w:szCs w:val="9"/>
                <w:color w:val="auto"/>
                <w:w w:val="97"/>
              </w:rPr>
              <w:t>Keith Enright</w:t>
            </w:r>
            <w:r>
              <w:rPr>
                <w:rFonts w:ascii="Arial" w:cs="Arial" w:eastAsia="Arial" w:hAnsi="Arial"/>
                <w:sz w:val="12"/>
                <w:szCs w:val="12"/>
                <w:color w:val="auto"/>
                <w:w w:val="97"/>
                <w:vertAlign w:val="superscript"/>
              </w:rPr>
              <w:t>(16)</w:t>
            </w:r>
          </w:p>
        </w:tc>
        <w:tc>
          <w:tcPr>
            <w:tcW w:w="4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9"/>
                <w:szCs w:val="9"/>
                <w:color w:val="auto"/>
                <w:w w:val="93"/>
              </w:rPr>
              <w:t>Ashley Evans</w:t>
            </w:r>
            <w:r>
              <w:rPr>
                <w:rFonts w:ascii="Arial" w:cs="Arial" w:eastAsia="Arial" w:hAnsi="Arial"/>
                <w:sz w:val="12"/>
                <w:szCs w:val="12"/>
                <w:color w:val="auto"/>
                <w:w w:val="93"/>
                <w:vertAlign w:val="superscript"/>
              </w:rPr>
              <w:t>(17)</w:t>
            </w:r>
          </w:p>
        </w:tc>
        <w:tc>
          <w:tcPr>
            <w:tcW w:w="42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Borders>
              <w:right w:val="single" w:sz="8" w:color="auto"/>
            </w:tcBorders>
            <w:gridSpan w:val="3"/>
          </w:tcPr>
          <w:p>
            <w:pPr>
              <w:spacing w:after="0"/>
              <w:rPr>
                <w:sz w:val="20"/>
                <w:szCs w:val="20"/>
                <w:color w:val="auto"/>
              </w:rPr>
            </w:pPr>
            <w:r>
              <w:rPr>
                <w:rFonts w:ascii="Arial" w:cs="Arial" w:eastAsia="Arial" w:hAnsi="Arial"/>
                <w:sz w:val="9"/>
                <w:szCs w:val="9"/>
                <w:color w:val="auto"/>
              </w:rPr>
              <w:t>Mark Mader</w:t>
            </w:r>
            <w:r>
              <w:rPr>
                <w:rFonts w:ascii="Arial" w:cs="Arial" w:eastAsia="Arial" w:hAnsi="Arial"/>
                <w:sz w:val="12"/>
                <w:szCs w:val="12"/>
                <w:color w:val="auto"/>
                <w:vertAlign w:val="superscript"/>
              </w:rPr>
              <w:t>(18)</w:t>
            </w:r>
          </w:p>
        </w:tc>
        <w:tc>
          <w:tcPr>
            <w:tcW w:w="420" w:type="dxa"/>
            <w:vAlign w:val="bottom"/>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2"/>
                <w:szCs w:val="12"/>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03"/>
        </w:trPr>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Patrick</w:t>
            </w:r>
          </w:p>
        </w:tc>
        <w:tc>
          <w:tcPr>
            <w:tcW w:w="140" w:type="dxa"/>
            <w:vAlign w:val="bottom"/>
            <w:tcBorders>
              <w:right w:val="single" w:sz="8" w:color="auto"/>
            </w:tcBorders>
            <w:shd w:val="clear" w:color="auto" w:fill="CCEEFF"/>
          </w:tcPr>
          <w:p>
            <w:pPr>
              <w:spacing w:after="0"/>
              <w:rPr>
                <w:sz w:val="8"/>
                <w:szCs w:val="8"/>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80" w:type="dxa"/>
            <w:vAlign w:val="bottom"/>
            <w:tcBorders>
              <w:right w:val="single" w:sz="8" w:color="auto"/>
            </w:tcBorders>
            <w:gridSpan w:val="3"/>
            <w:shd w:val="clear" w:color="auto" w:fill="CCEEFF"/>
          </w:tcPr>
          <w:p>
            <w:pPr>
              <w:ind w:left="160"/>
              <w:spacing w:after="0" w:line="129" w:lineRule="exact"/>
              <w:rPr>
                <w:sz w:val="20"/>
                <w:szCs w:val="20"/>
                <w:color w:val="auto"/>
              </w:rPr>
            </w:pPr>
            <w:r>
              <w:rPr>
                <w:rFonts w:ascii="Arial" w:cs="Arial" w:eastAsia="Arial" w:hAnsi="Arial"/>
                <w:sz w:val="9"/>
                <w:szCs w:val="9"/>
                <w:color w:val="auto"/>
                <w:w w:val="93"/>
              </w:rPr>
              <w:t>McCarter</w:t>
            </w:r>
            <w:r>
              <w:rPr>
                <w:rFonts w:ascii="Arial" w:cs="Arial" w:eastAsia="Arial" w:hAnsi="Arial"/>
                <w:sz w:val="12"/>
                <w:szCs w:val="12"/>
                <w:color w:val="auto"/>
                <w:w w:val="93"/>
                <w:vertAlign w:val="superscript"/>
              </w:rPr>
              <w:t>(19)</w:t>
            </w:r>
          </w:p>
        </w:tc>
        <w:tc>
          <w:tcPr>
            <w:tcW w:w="4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60" w:type="dxa"/>
            <w:vAlign w:val="bottom"/>
            <w:tcBorders>
              <w:right w:val="single" w:sz="8" w:color="auto"/>
            </w:tcBorders>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520" w:type="dxa"/>
            <w:vAlign w:val="bottom"/>
            <w:tcBorders>
              <w:right w:val="single" w:sz="8" w:color="auto"/>
            </w:tcBorders>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580" w:type="dxa"/>
            <w:vAlign w:val="bottom"/>
            <w:gridSpan w:val="3"/>
            <w:vMerge w:val="continue"/>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rPr>
              <w:t>Jason</w:t>
            </w:r>
          </w:p>
        </w:tc>
        <w:tc>
          <w:tcPr>
            <w:tcW w:w="140" w:type="dxa"/>
            <w:vAlign w:val="bottom"/>
            <w:tcBorders>
              <w:right w:val="single" w:sz="8" w:color="auto"/>
            </w:tcBorders>
          </w:tcPr>
          <w:p>
            <w:pPr>
              <w:spacing w:after="0"/>
              <w:rPr>
                <w:sz w:val="8"/>
                <w:szCs w:val="8"/>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tcPr>
          <w:p>
            <w:pPr>
              <w:jc w:val="center"/>
              <w:ind w:right="54"/>
              <w:spacing w:after="0"/>
              <w:rPr>
                <w:sz w:val="20"/>
                <w:szCs w:val="20"/>
                <w:color w:val="auto"/>
              </w:rPr>
            </w:pPr>
            <w:r>
              <w:rPr>
                <w:rFonts w:ascii="Arial" w:cs="Arial" w:eastAsia="Arial" w:hAnsi="Arial"/>
                <w:sz w:val="9"/>
                <w:szCs w:val="9"/>
                <w:color w:val="auto"/>
              </w:rPr>
              <w:t>—</w:t>
            </w: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9"/>
                <w:szCs w:val="9"/>
                <w:color w:val="auto"/>
              </w:rPr>
              <w:t>—</w:t>
            </w: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rPr>
              <w:t>—</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60"/>
              <w:spacing w:after="0"/>
              <w:rPr>
                <w:sz w:val="20"/>
                <w:szCs w:val="20"/>
                <w:color w:val="auto"/>
              </w:rPr>
            </w:pPr>
            <w:r>
              <w:rPr>
                <w:rFonts w:ascii="Arial" w:cs="Arial" w:eastAsia="Arial" w:hAnsi="Arial"/>
                <w:sz w:val="9"/>
                <w:szCs w:val="9"/>
                <w:color w:val="auto"/>
                <w:w w:val="88"/>
              </w:rPr>
              <w:t>—</w:t>
            </w:r>
          </w:p>
        </w:tc>
        <w:tc>
          <w:tcPr>
            <w:tcW w:w="4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60" w:type="dxa"/>
            <w:vAlign w:val="bottom"/>
            <w:gridSpan w:val="3"/>
            <w:vMerge w:val="restart"/>
          </w:tcPr>
          <w:p>
            <w:pPr>
              <w:jc w:val="center"/>
              <w:ind w:right="100"/>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38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rPr>
              <w:t>—</w:t>
            </w:r>
          </w:p>
        </w:tc>
        <w:tc>
          <w:tcPr>
            <w:tcW w:w="580" w:type="dxa"/>
            <w:vAlign w:val="bottom"/>
            <w:gridSpan w:val="3"/>
            <w:vMerge w:val="restart"/>
          </w:tcPr>
          <w:p>
            <w:pPr>
              <w:jc w:val="center"/>
              <w:ind w:right="100"/>
              <w:spacing w:after="0"/>
              <w:rPr>
                <w:sz w:val="20"/>
                <w:szCs w:val="20"/>
                <w:color w:val="auto"/>
              </w:rPr>
            </w:pPr>
            <w:r>
              <w:rPr>
                <w:rFonts w:ascii="Arial" w:cs="Arial" w:eastAsia="Arial" w:hAnsi="Arial"/>
                <w:sz w:val="9"/>
                <w:szCs w:val="9"/>
                <w:color w:val="auto"/>
                <w:w w:val="88"/>
              </w:rPr>
              <w:t>—</w:t>
            </w: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9"/>
                <w:szCs w:val="9"/>
                <w:color w:val="auto"/>
                <w:w w:val="88"/>
              </w:rPr>
              <w:t>—</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Borders>
              <w:right w:val="single" w:sz="8" w:color="auto"/>
            </w:tcBorders>
            <w:gridSpan w:val="3"/>
          </w:tcPr>
          <w:p>
            <w:pPr>
              <w:ind w:left="160"/>
              <w:spacing w:after="0" w:line="129" w:lineRule="exact"/>
              <w:rPr>
                <w:sz w:val="20"/>
                <w:szCs w:val="20"/>
                <w:color w:val="auto"/>
              </w:rPr>
            </w:pPr>
            <w:r>
              <w:rPr>
                <w:rFonts w:ascii="Arial" w:cs="Arial" w:eastAsia="Arial" w:hAnsi="Arial"/>
                <w:sz w:val="9"/>
                <w:szCs w:val="9"/>
                <w:color w:val="auto"/>
              </w:rPr>
              <w:t>Mironov</w:t>
            </w:r>
            <w:r>
              <w:rPr>
                <w:rFonts w:ascii="Arial" w:cs="Arial" w:eastAsia="Arial" w:hAnsi="Arial"/>
                <w:sz w:val="12"/>
                <w:szCs w:val="12"/>
                <w:color w:val="auto"/>
                <w:vertAlign w:val="superscript"/>
              </w:rPr>
              <w:t>(20)</w:t>
            </w: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360" w:type="dxa"/>
            <w:vAlign w:val="bottom"/>
            <w:tcBorders>
              <w:right w:val="single" w:sz="8" w:color="auto"/>
            </w:tcBorders>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520" w:type="dxa"/>
            <w:vAlign w:val="bottom"/>
            <w:tcBorders>
              <w:right w:val="single" w:sz="8" w:color="auto"/>
            </w:tcBorders>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rPr>
              <w:t>D. Randall</w:t>
            </w:r>
          </w:p>
        </w:tc>
        <w:tc>
          <w:tcPr>
            <w:tcW w:w="140" w:type="dxa"/>
            <w:vAlign w:val="bottom"/>
            <w:tcBorders>
              <w:right w:val="single" w:sz="8" w:color="auto"/>
            </w:tcBorders>
            <w:shd w:val="clear" w:color="auto" w:fill="CCEEFF"/>
          </w:tcPr>
          <w:p>
            <w:pPr>
              <w:spacing w:after="0"/>
              <w:rPr>
                <w:sz w:val="8"/>
                <w:szCs w:val="8"/>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w w:val="88"/>
              </w:rPr>
              <w:t>—</w:t>
            </w:r>
          </w:p>
        </w:tc>
        <w:tc>
          <w:tcPr>
            <w:tcW w:w="5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9"/>
                <w:szCs w:val="9"/>
                <w:color w:val="auto"/>
              </w:rPr>
              <w:t>—</w:t>
            </w:r>
          </w:p>
        </w:tc>
        <w:tc>
          <w:tcPr>
            <w:tcW w:w="360" w:type="dxa"/>
            <w:vAlign w:val="bottom"/>
            <w:tcBorders>
              <w:right w:val="single" w:sz="8" w:color="auto"/>
            </w:tcBorders>
            <w:vMerge w:val="restart"/>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4"/>
              </w:rPr>
              <w:t>1,397,283</w:t>
            </w:r>
          </w:p>
        </w:tc>
        <w:tc>
          <w:tcPr>
            <w:tcW w:w="80" w:type="dxa"/>
            <w:vAlign w:val="bottom"/>
            <w:shd w:val="clear" w:color="auto" w:fill="CCEEFF"/>
          </w:tcPr>
          <w:p>
            <w:pPr>
              <w:spacing w:after="0"/>
              <w:rPr>
                <w:sz w:val="8"/>
                <w:szCs w:val="8"/>
                <w:color w:val="auto"/>
              </w:rPr>
            </w:pPr>
          </w:p>
        </w:tc>
        <w:tc>
          <w:tcPr>
            <w:tcW w:w="520" w:type="dxa"/>
            <w:vAlign w:val="bottom"/>
            <w:tcBorders>
              <w:right w:val="single" w:sz="8" w:color="auto"/>
            </w:tcBorders>
            <w:vMerge w:val="restart"/>
            <w:shd w:val="clear" w:color="auto" w:fill="CCEEFF"/>
          </w:tcPr>
          <w:p>
            <w:pPr>
              <w:jc w:val="center"/>
              <w:ind w:right="55"/>
              <w:spacing w:after="0"/>
              <w:rPr>
                <w:sz w:val="20"/>
                <w:szCs w:val="20"/>
                <w:color w:val="auto"/>
              </w:rPr>
            </w:pPr>
            <w:r>
              <w:rPr>
                <w:rFonts w:ascii="Arial" w:cs="Arial" w:eastAsia="Arial" w:hAnsi="Arial"/>
                <w:sz w:val="9"/>
                <w:szCs w:val="9"/>
                <w:color w:val="auto"/>
                <w:w w:val="94"/>
              </w:rPr>
              <w:t>1,606,875</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3"/>
              </w:rPr>
              <w:t>23,517,559</w:t>
            </w:r>
          </w:p>
        </w:tc>
        <w:tc>
          <w:tcPr>
            <w:tcW w:w="8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3"/>
              </w:rPr>
              <w:t>10.3%</w:t>
            </w:r>
          </w:p>
        </w:tc>
        <w:tc>
          <w:tcPr>
            <w:tcW w:w="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7"/>
              </w:rPr>
              <w:t>22,298,554</w:t>
            </w:r>
          </w:p>
        </w:tc>
        <w:tc>
          <w:tcPr>
            <w:tcW w:w="6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3"/>
              </w:rPr>
              <w:t>10.1%</w:t>
            </w:r>
          </w:p>
        </w:tc>
        <w:tc>
          <w:tcPr>
            <w:tcW w:w="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3"/>
              </w:rPr>
              <w:t>22,115,704</w:t>
            </w: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10.1%</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4"/>
              </w:rPr>
              <w:t>3,439,413</w:t>
            </w:r>
          </w:p>
        </w:tc>
        <w:tc>
          <w:tcPr>
            <w:tcW w:w="8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7"/>
              </w:rPr>
              <w:t>3.8%</w:t>
            </w:r>
          </w:p>
        </w:tc>
        <w:tc>
          <w:tcPr>
            <w:tcW w:w="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4"/>
              </w:rPr>
              <w:t>3,261,135</w:t>
            </w:r>
          </w:p>
        </w:tc>
        <w:tc>
          <w:tcPr>
            <w:tcW w:w="8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7"/>
              </w:rPr>
              <w:t>3.8%</w:t>
            </w:r>
          </w:p>
        </w:tc>
        <w:tc>
          <w:tcPr>
            <w:tcW w:w="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9"/>
              </w:rPr>
              <w:t>3,234,393</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tcBorders>
              <w:right w:val="single" w:sz="8" w:color="auto"/>
            </w:tcBorders>
            <w:vMerge w:val="restart"/>
            <w:shd w:val="clear" w:color="auto" w:fill="CCEEFF"/>
          </w:tcPr>
          <w:p>
            <w:pPr>
              <w:jc w:val="center"/>
              <w:ind w:right="94"/>
              <w:spacing w:after="0"/>
              <w:rPr>
                <w:sz w:val="20"/>
                <w:szCs w:val="20"/>
                <w:color w:val="auto"/>
              </w:rPr>
            </w:pPr>
            <w:r>
              <w:rPr>
                <w:rFonts w:ascii="Arial" w:cs="Arial" w:eastAsia="Arial" w:hAnsi="Arial"/>
                <w:sz w:val="9"/>
                <w:szCs w:val="9"/>
                <w:color w:val="auto"/>
                <w:w w:val="97"/>
              </w:rPr>
              <w:t>3.8%</w:t>
            </w: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97"/>
              </w:rPr>
              <w:t>8.2%</w:t>
            </w:r>
          </w:p>
        </w:tc>
        <w:tc>
          <w:tcPr>
            <w:tcW w:w="600" w:type="dxa"/>
            <w:vAlign w:val="bottom"/>
            <w:gridSpan w:val="2"/>
            <w:vMerge w:val="restart"/>
            <w:shd w:val="clear" w:color="auto" w:fill="CCEEFF"/>
          </w:tcPr>
          <w:p>
            <w:pPr>
              <w:jc w:val="center"/>
              <w:ind w:left="34"/>
              <w:spacing w:after="0"/>
              <w:rPr>
                <w:sz w:val="20"/>
                <w:szCs w:val="20"/>
                <w:color w:val="auto"/>
              </w:rPr>
            </w:pPr>
            <w:r>
              <w:rPr>
                <w:rFonts w:ascii="Arial" w:cs="Arial" w:eastAsia="Arial" w:hAnsi="Arial"/>
                <w:sz w:val="9"/>
                <w:szCs w:val="9"/>
                <w:color w:val="auto"/>
                <w:w w:val="97"/>
              </w:rPr>
              <w:t>8.1%</w:t>
            </w:r>
          </w:p>
        </w:tc>
        <w:tc>
          <w:tcPr>
            <w:tcW w:w="80" w:type="dxa"/>
            <w:vAlign w:val="bottom"/>
            <w:shd w:val="clear" w:color="auto" w:fill="CCEEFF"/>
          </w:tcPr>
          <w:p>
            <w:pPr>
              <w:spacing w:after="0"/>
              <w:rPr>
                <w:sz w:val="8"/>
                <w:szCs w:val="8"/>
                <w:color w:val="auto"/>
              </w:rPr>
            </w:pPr>
          </w:p>
        </w:tc>
        <w:tc>
          <w:tcPr>
            <w:tcW w:w="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9"/>
                <w:szCs w:val="9"/>
                <w:color w:val="auto"/>
                <w:w w:val="97"/>
              </w:rPr>
              <w:t>8.1%</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160"/>
              <w:spacing w:after="0" w:line="129" w:lineRule="exact"/>
              <w:rPr>
                <w:sz w:val="20"/>
                <w:szCs w:val="20"/>
                <w:color w:val="auto"/>
              </w:rPr>
            </w:pPr>
            <w:r>
              <w:rPr>
                <w:rFonts w:ascii="Arial" w:cs="Arial" w:eastAsia="Arial" w:hAnsi="Arial"/>
                <w:sz w:val="9"/>
                <w:szCs w:val="9"/>
                <w:color w:val="auto"/>
              </w:rPr>
              <w:t>Winn</w:t>
            </w:r>
            <w:r>
              <w:rPr>
                <w:rFonts w:ascii="Arial" w:cs="Arial" w:eastAsia="Arial" w:hAnsi="Arial"/>
                <w:sz w:val="12"/>
                <w:szCs w:val="12"/>
                <w:color w:val="auto"/>
                <w:vertAlign w:val="superscript"/>
              </w:rPr>
              <w:t>(21)</w:t>
            </w:r>
          </w:p>
        </w:tc>
        <w:tc>
          <w:tcPr>
            <w:tcW w:w="140" w:type="dxa"/>
            <w:vAlign w:val="bottom"/>
            <w:tcBorders>
              <w:right w:val="single" w:sz="8" w:color="auto"/>
            </w:tcBorders>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360" w:type="dxa"/>
            <w:vAlign w:val="bottom"/>
            <w:tcBorders>
              <w:right w:val="single" w:sz="8" w:color="auto"/>
            </w:tcBorders>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right w:val="single" w:sz="8" w:color="auto"/>
            </w:tcBorders>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right w:val="single" w:sz="8" w:color="auto"/>
            </w:tcBorders>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w w:val="97"/>
              </w:rPr>
              <w:t>Directors and</w:t>
            </w:r>
          </w:p>
        </w:tc>
        <w:tc>
          <w:tcPr>
            <w:tcW w:w="14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w w:val="94"/>
              </w:rPr>
              <w:t>executive</w:t>
            </w:r>
          </w:p>
        </w:tc>
        <w:tc>
          <w:tcPr>
            <w:tcW w:w="1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Borders>
              <w:right w:val="single" w:sz="8" w:color="auto"/>
            </w:tcBorders>
            <w:gridSpan w:val="3"/>
          </w:tcPr>
          <w:p>
            <w:pPr>
              <w:ind w:left="160"/>
              <w:spacing w:after="0" w:line="91" w:lineRule="exact"/>
              <w:rPr>
                <w:sz w:val="20"/>
                <w:szCs w:val="20"/>
                <w:color w:val="auto"/>
              </w:rPr>
            </w:pPr>
            <w:r>
              <w:rPr>
                <w:rFonts w:ascii="Arial" w:cs="Arial" w:eastAsia="Arial" w:hAnsi="Arial"/>
                <w:sz w:val="9"/>
                <w:szCs w:val="9"/>
                <w:color w:val="auto"/>
                <w:w w:val="98"/>
              </w:rPr>
              <w:t>officers as a</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40" w:type="dxa"/>
            <w:vAlign w:val="bottom"/>
            <w:gridSpan w:val="2"/>
          </w:tcPr>
          <w:p>
            <w:pPr>
              <w:ind w:left="160"/>
              <w:spacing w:after="0" w:line="91" w:lineRule="exact"/>
              <w:rPr>
                <w:sz w:val="20"/>
                <w:szCs w:val="20"/>
                <w:color w:val="auto"/>
              </w:rPr>
            </w:pPr>
            <w:r>
              <w:rPr>
                <w:rFonts w:ascii="Arial" w:cs="Arial" w:eastAsia="Arial" w:hAnsi="Arial"/>
                <w:sz w:val="9"/>
                <w:szCs w:val="9"/>
                <w:color w:val="auto"/>
              </w:rPr>
              <w:t>group</w:t>
            </w:r>
          </w:p>
        </w:tc>
        <w:tc>
          <w:tcPr>
            <w:tcW w:w="140" w:type="dxa"/>
            <w:vAlign w:val="bottom"/>
            <w:tcBorders>
              <w:right w:val="single" w:sz="8" w:color="auto"/>
            </w:tcBorders>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2,681,699</w:t>
            </w:r>
          </w:p>
        </w:tc>
        <w:tc>
          <w:tcPr>
            <w:tcW w:w="320" w:type="dxa"/>
            <w:vAlign w:val="bottom"/>
            <w:gridSpan w:val="2"/>
            <w:vMerge w:val="restart"/>
          </w:tcPr>
          <w:p>
            <w:pPr>
              <w:jc w:val="center"/>
              <w:ind w:left="37"/>
              <w:spacing w:after="0"/>
              <w:rPr>
                <w:sz w:val="20"/>
                <w:szCs w:val="20"/>
                <w:color w:val="auto"/>
              </w:rPr>
            </w:pPr>
            <w:r>
              <w:rPr>
                <w:rFonts w:ascii="Arial" w:cs="Arial" w:eastAsia="Arial" w:hAnsi="Arial"/>
                <w:sz w:val="9"/>
                <w:szCs w:val="9"/>
                <w:color w:val="auto"/>
                <w:w w:val="97"/>
              </w:rPr>
              <w:t>3.9%</w:t>
            </w:r>
          </w:p>
        </w:tc>
        <w:tc>
          <w:tcPr>
            <w:tcW w:w="80" w:type="dxa"/>
            <w:vAlign w:val="bottom"/>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2,681,699</w:t>
            </w:r>
          </w:p>
        </w:tc>
        <w:tc>
          <w:tcPr>
            <w:tcW w:w="80" w:type="dxa"/>
            <w:vAlign w:val="bottom"/>
          </w:tcPr>
          <w:p>
            <w:pPr>
              <w:spacing w:after="0"/>
              <w:rPr>
                <w:sz w:val="7"/>
                <w:szCs w:val="7"/>
                <w:color w:val="auto"/>
              </w:rPr>
            </w:pPr>
          </w:p>
        </w:tc>
        <w:tc>
          <w:tcPr>
            <w:tcW w:w="240" w:type="dxa"/>
            <w:vAlign w:val="bottom"/>
            <w:vMerge w:val="restart"/>
          </w:tcPr>
          <w:p>
            <w:pPr>
              <w:jc w:val="center"/>
              <w:spacing w:after="0"/>
              <w:rPr>
                <w:sz w:val="20"/>
                <w:szCs w:val="20"/>
                <w:color w:val="auto"/>
              </w:rPr>
            </w:pPr>
            <w:r>
              <w:rPr>
                <w:rFonts w:ascii="Arial" w:cs="Arial" w:eastAsia="Arial" w:hAnsi="Arial"/>
                <w:sz w:val="9"/>
                <w:szCs w:val="9"/>
                <w:color w:val="auto"/>
                <w:w w:val="97"/>
              </w:rPr>
              <w:t>3.3%</w:t>
            </w:r>
          </w:p>
        </w:tc>
        <w:tc>
          <w:tcPr>
            <w:tcW w:w="80" w:type="dxa"/>
            <w:vAlign w:val="bottom"/>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9"/>
                <w:szCs w:val="9"/>
                <w:color w:val="auto"/>
                <w:w w:val="94"/>
              </w:rPr>
              <w:t>2,681,699</w:t>
            </w:r>
          </w:p>
        </w:tc>
        <w:tc>
          <w:tcPr>
            <w:tcW w:w="80" w:type="dxa"/>
            <w:vAlign w:val="bottom"/>
          </w:tcPr>
          <w:p>
            <w:pPr>
              <w:spacing w:after="0"/>
              <w:rPr>
                <w:sz w:val="7"/>
                <w:szCs w:val="7"/>
                <w:color w:val="auto"/>
              </w:rPr>
            </w:pPr>
          </w:p>
        </w:tc>
        <w:tc>
          <w:tcPr>
            <w:tcW w:w="36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w w:val="97"/>
              </w:rPr>
              <w:t>3.2%</w:t>
            </w:r>
          </w:p>
        </w:tc>
        <w:tc>
          <w:tcPr>
            <w:tcW w:w="400" w:type="dxa"/>
            <w:vAlign w:val="bottom"/>
            <w:vMerge w:val="restart"/>
          </w:tcPr>
          <w:p>
            <w:pPr>
              <w:jc w:val="center"/>
              <w:spacing w:after="0"/>
              <w:rPr>
                <w:sz w:val="20"/>
                <w:szCs w:val="20"/>
                <w:color w:val="auto"/>
              </w:rPr>
            </w:pPr>
            <w:r>
              <w:rPr>
                <w:rFonts w:ascii="Arial" w:cs="Arial" w:eastAsia="Arial" w:hAnsi="Arial"/>
                <w:sz w:val="9"/>
                <w:szCs w:val="9"/>
                <w:color w:val="auto"/>
                <w:w w:val="94"/>
              </w:rPr>
              <w:t>1,397,283</w:t>
            </w:r>
          </w:p>
        </w:tc>
        <w:tc>
          <w:tcPr>
            <w:tcW w:w="80" w:type="dxa"/>
            <w:vAlign w:val="bottom"/>
          </w:tcPr>
          <w:p>
            <w:pPr>
              <w:spacing w:after="0"/>
              <w:rPr>
                <w:sz w:val="7"/>
                <w:szCs w:val="7"/>
                <w:color w:val="auto"/>
              </w:rPr>
            </w:pPr>
          </w:p>
        </w:tc>
        <w:tc>
          <w:tcPr>
            <w:tcW w:w="5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9"/>
                <w:szCs w:val="9"/>
                <w:color w:val="auto"/>
                <w:w w:val="94"/>
              </w:rPr>
              <w:t>1,606,875</w:t>
            </w:r>
          </w:p>
        </w:tc>
        <w:tc>
          <w:tcPr>
            <w:tcW w:w="500" w:type="dxa"/>
            <w:vAlign w:val="bottom"/>
            <w:vMerge w:val="restart"/>
          </w:tcPr>
          <w:p>
            <w:pPr>
              <w:jc w:val="center"/>
              <w:spacing w:after="0"/>
              <w:rPr>
                <w:sz w:val="20"/>
                <w:szCs w:val="20"/>
                <w:color w:val="auto"/>
              </w:rPr>
            </w:pPr>
            <w:r>
              <w:rPr>
                <w:rFonts w:ascii="Arial" w:cs="Arial" w:eastAsia="Arial" w:hAnsi="Arial"/>
                <w:sz w:val="9"/>
                <w:szCs w:val="9"/>
                <w:color w:val="auto"/>
                <w:w w:val="95"/>
              </w:rPr>
              <w:t>100,239,602</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43.9%</w:t>
            </w:r>
          </w:p>
        </w:tc>
        <w:tc>
          <w:tcPr>
            <w:tcW w:w="8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97"/>
              </w:rPr>
              <w:t>99,020,597</w:t>
            </w:r>
          </w:p>
        </w:tc>
        <w:tc>
          <w:tcPr>
            <w:tcW w:w="6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3"/>
              </w:rPr>
              <w:t>44.9%</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3"/>
              </w:rPr>
              <w:t>98,837,747</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74"/>
              <w:spacing w:after="0"/>
              <w:rPr>
                <w:sz w:val="20"/>
                <w:szCs w:val="20"/>
                <w:color w:val="auto"/>
              </w:rPr>
            </w:pPr>
            <w:r>
              <w:rPr>
                <w:rFonts w:ascii="Arial" w:cs="Arial" w:eastAsia="Arial" w:hAnsi="Arial"/>
                <w:sz w:val="9"/>
                <w:szCs w:val="9"/>
                <w:color w:val="auto"/>
              </w:rPr>
              <w:t>45.0%</w:t>
            </w: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4"/>
              </w:rPr>
              <w:t>3,439,413</w:t>
            </w:r>
          </w:p>
        </w:tc>
        <w:tc>
          <w:tcPr>
            <w:tcW w:w="80" w:type="dxa"/>
            <w:vAlign w:val="bottom"/>
          </w:tcPr>
          <w:p>
            <w:pPr>
              <w:spacing w:after="0"/>
              <w:rPr>
                <w:sz w:val="7"/>
                <w:szCs w:val="7"/>
                <w:color w:val="auto"/>
              </w:rPr>
            </w:pP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87"/>
              </w:rPr>
              <w:t>3.8%</w:t>
            </w:r>
          </w:p>
        </w:tc>
        <w:tc>
          <w:tcPr>
            <w:tcW w:w="80" w:type="dxa"/>
            <w:vAlign w:val="bottom"/>
          </w:tcPr>
          <w:p>
            <w:pPr>
              <w:spacing w:after="0"/>
              <w:rPr>
                <w:sz w:val="7"/>
                <w:szCs w:val="7"/>
                <w:color w:val="auto"/>
              </w:rPr>
            </w:pPr>
          </w:p>
        </w:tc>
        <w:tc>
          <w:tcPr>
            <w:tcW w:w="460" w:type="dxa"/>
            <w:vAlign w:val="bottom"/>
            <w:vMerge w:val="restart"/>
          </w:tcPr>
          <w:p>
            <w:pPr>
              <w:jc w:val="center"/>
              <w:spacing w:after="0"/>
              <w:rPr>
                <w:sz w:val="20"/>
                <w:szCs w:val="20"/>
                <w:color w:val="auto"/>
              </w:rPr>
            </w:pPr>
            <w:r>
              <w:rPr>
                <w:rFonts w:ascii="Arial" w:cs="Arial" w:eastAsia="Arial" w:hAnsi="Arial"/>
                <w:sz w:val="9"/>
                <w:szCs w:val="9"/>
                <w:color w:val="auto"/>
                <w:w w:val="94"/>
              </w:rPr>
              <w:t>3,261,135</w:t>
            </w:r>
          </w:p>
        </w:tc>
        <w:tc>
          <w:tcPr>
            <w:tcW w:w="80" w:type="dxa"/>
            <w:vAlign w:val="bottom"/>
          </w:tcPr>
          <w:p>
            <w:pPr>
              <w:spacing w:after="0"/>
              <w:rPr>
                <w:sz w:val="7"/>
                <w:szCs w:val="7"/>
                <w:color w:val="auto"/>
              </w:rPr>
            </w:pPr>
          </w:p>
        </w:tc>
        <w:tc>
          <w:tcPr>
            <w:tcW w:w="320" w:type="dxa"/>
            <w:vAlign w:val="bottom"/>
            <w:vMerge w:val="restart"/>
          </w:tcPr>
          <w:p>
            <w:pPr>
              <w:jc w:val="center"/>
              <w:spacing w:after="0"/>
              <w:rPr>
                <w:sz w:val="20"/>
                <w:szCs w:val="20"/>
                <w:color w:val="auto"/>
              </w:rPr>
            </w:pPr>
            <w:r>
              <w:rPr>
                <w:rFonts w:ascii="Arial" w:cs="Arial" w:eastAsia="Arial" w:hAnsi="Arial"/>
                <w:sz w:val="9"/>
                <w:szCs w:val="9"/>
                <w:color w:val="auto"/>
                <w:w w:val="97"/>
              </w:rPr>
              <w:t>3.8%</w:t>
            </w:r>
          </w:p>
        </w:tc>
        <w:tc>
          <w:tcPr>
            <w:tcW w:w="60" w:type="dxa"/>
            <w:vAlign w:val="bottom"/>
          </w:tcPr>
          <w:p>
            <w:pPr>
              <w:spacing w:after="0"/>
              <w:rPr>
                <w:sz w:val="7"/>
                <w:szCs w:val="7"/>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color w:val="auto"/>
                <w:w w:val="89"/>
              </w:rPr>
              <w:t>3,234,393</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restart"/>
          </w:tcPr>
          <w:p>
            <w:pPr>
              <w:jc w:val="center"/>
              <w:ind w:right="94"/>
              <w:spacing w:after="0"/>
              <w:rPr>
                <w:sz w:val="20"/>
                <w:szCs w:val="20"/>
                <w:color w:val="auto"/>
              </w:rPr>
            </w:pPr>
            <w:r>
              <w:rPr>
                <w:rFonts w:ascii="Arial" w:cs="Arial" w:eastAsia="Arial" w:hAnsi="Arial"/>
                <w:sz w:val="9"/>
                <w:szCs w:val="9"/>
                <w:color w:val="auto"/>
                <w:w w:val="97"/>
              </w:rPr>
              <w:t>3.8%</w:t>
            </w:r>
          </w:p>
        </w:tc>
        <w:tc>
          <w:tcPr>
            <w:tcW w:w="300" w:type="dxa"/>
            <w:vAlign w:val="bottom"/>
            <w:vMerge w:val="restart"/>
          </w:tcPr>
          <w:p>
            <w:pPr>
              <w:jc w:val="center"/>
              <w:spacing w:after="0"/>
              <w:rPr>
                <w:sz w:val="20"/>
                <w:szCs w:val="20"/>
                <w:color w:val="auto"/>
              </w:rPr>
            </w:pPr>
            <w:r>
              <w:rPr>
                <w:rFonts w:ascii="Arial" w:cs="Arial" w:eastAsia="Arial" w:hAnsi="Arial"/>
                <w:sz w:val="9"/>
                <w:szCs w:val="9"/>
                <w:color w:val="auto"/>
                <w:w w:val="93"/>
              </w:rPr>
              <w:t>31.8%</w:t>
            </w:r>
          </w:p>
        </w:tc>
        <w:tc>
          <w:tcPr>
            <w:tcW w:w="600" w:type="dxa"/>
            <w:vAlign w:val="bottom"/>
            <w:gridSpan w:val="2"/>
            <w:vMerge w:val="restart"/>
          </w:tcPr>
          <w:p>
            <w:pPr>
              <w:jc w:val="center"/>
              <w:ind w:left="34"/>
              <w:spacing w:after="0"/>
              <w:rPr>
                <w:sz w:val="20"/>
                <w:szCs w:val="20"/>
                <w:color w:val="auto"/>
              </w:rPr>
            </w:pPr>
            <w:r>
              <w:rPr>
                <w:rFonts w:ascii="Arial" w:cs="Arial" w:eastAsia="Arial" w:hAnsi="Arial"/>
                <w:sz w:val="9"/>
                <w:szCs w:val="9"/>
                <w:color w:val="auto"/>
                <w:w w:val="93"/>
              </w:rPr>
              <w:t>32.5%</w:t>
            </w:r>
          </w:p>
        </w:tc>
        <w:tc>
          <w:tcPr>
            <w:tcW w:w="80" w:type="dxa"/>
            <w:vAlign w:val="bottom"/>
          </w:tcPr>
          <w:p>
            <w:pPr>
              <w:spacing w:after="0"/>
              <w:rPr>
                <w:sz w:val="7"/>
                <w:szCs w:val="7"/>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3"/>
              </w:rPr>
              <w:t>32.6%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Borders>
              <w:right w:val="single" w:sz="8" w:color="auto"/>
            </w:tcBorders>
            <w:gridSpan w:val="3"/>
          </w:tcPr>
          <w:p>
            <w:pPr>
              <w:ind w:left="160"/>
              <w:spacing w:after="0"/>
              <w:rPr>
                <w:sz w:val="20"/>
                <w:szCs w:val="20"/>
                <w:color w:val="auto"/>
              </w:rPr>
            </w:pPr>
            <w:r>
              <w:rPr>
                <w:rFonts w:ascii="Arial" w:cs="Arial" w:eastAsia="Arial" w:hAnsi="Arial"/>
                <w:sz w:val="9"/>
                <w:szCs w:val="9"/>
                <w:color w:val="auto"/>
                <w:w w:val="94"/>
              </w:rPr>
              <w:t>(12 persons)</w:t>
            </w:r>
          </w:p>
        </w:tc>
        <w:tc>
          <w:tcPr>
            <w:tcW w:w="42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right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right w:val="single" w:sz="8" w:color="auto"/>
            </w:tcBorders>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9"/>
                <w:szCs w:val="9"/>
                <w:color w:val="auto"/>
                <w:w w:val="99"/>
              </w:rPr>
              <w:t>Other Selling</w:t>
            </w:r>
          </w:p>
        </w:tc>
        <w:tc>
          <w:tcPr>
            <w:tcW w:w="140" w:type="dxa"/>
            <w:vAlign w:val="bottom"/>
            <w:tcBorders>
              <w:right w:val="single" w:sz="8" w:color="auto"/>
            </w:tcBorders>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24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vMerge w:val="restart"/>
            <w:shd w:val="clear" w:color="auto" w:fill="CCEEFF"/>
          </w:tcPr>
          <w:p>
            <w:pPr>
              <w:spacing w:after="0"/>
              <w:rPr>
                <w:sz w:val="9"/>
                <w:szCs w:val="9"/>
                <w:color w:val="auto"/>
              </w:rPr>
            </w:pP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360" w:type="dxa"/>
            <w:vAlign w:val="bottom"/>
            <w:tcBorders>
              <w:right w:val="single" w:sz="8" w:color="auto"/>
            </w:tcBorders>
            <w:vMerge w:val="restart"/>
            <w:shd w:val="clear" w:color="auto" w:fill="CCEEFF"/>
          </w:tcPr>
          <w:p>
            <w:pPr>
              <w:jc w:val="center"/>
              <w:ind w:right="54"/>
              <w:spacing w:after="0"/>
              <w:rPr>
                <w:sz w:val="20"/>
                <w:szCs w:val="20"/>
                <w:color w:val="auto"/>
              </w:rPr>
            </w:pPr>
            <w:r>
              <w:rPr>
                <w:rFonts w:ascii="Arial" w:cs="Arial" w:eastAsia="Arial" w:hAnsi="Arial"/>
                <w:sz w:val="9"/>
                <w:szCs w:val="9"/>
                <w:color w:val="auto"/>
              </w:rPr>
              <w:t>—</w:t>
            </w:r>
          </w:p>
        </w:tc>
        <w:tc>
          <w:tcPr>
            <w:tcW w:w="4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520" w:type="dxa"/>
            <w:vAlign w:val="bottom"/>
            <w:tcBorders>
              <w:right w:val="single" w:sz="8" w:color="auto"/>
            </w:tcBorders>
            <w:vMerge w:val="restart"/>
            <w:shd w:val="clear" w:color="auto" w:fill="CCEEFF"/>
          </w:tcPr>
          <w:p>
            <w:pPr>
              <w:jc w:val="center"/>
              <w:ind w:right="55"/>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60" w:type="dxa"/>
            <w:vAlign w:val="bottom"/>
            <w:vMerge w:val="restart"/>
            <w:shd w:val="clear" w:color="auto" w:fill="CCEEFF"/>
          </w:tcPr>
          <w:p>
            <w:pPr>
              <w:spacing w:after="0"/>
              <w:rPr>
                <w:sz w:val="9"/>
                <w:szCs w:val="9"/>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vMerge w:val="restart"/>
            <w:shd w:val="clear" w:color="auto" w:fill="CCEEFF"/>
          </w:tcPr>
          <w:p>
            <w:pPr>
              <w:spacing w:after="0"/>
              <w:rPr>
                <w:sz w:val="9"/>
                <w:szCs w:val="9"/>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20" w:type="dxa"/>
            <w:vAlign w:val="bottom"/>
            <w:vMerge w:val="restart"/>
            <w:shd w:val="clear" w:color="auto" w:fill="CCEEFF"/>
          </w:tcPr>
          <w:p>
            <w:pPr>
              <w:spacing w:after="0"/>
              <w:rPr>
                <w:sz w:val="9"/>
                <w:szCs w:val="9"/>
                <w:color w:val="auto"/>
              </w:rPr>
            </w:pP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46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vMerge w:val="restart"/>
            <w:shd w:val="clear" w:color="auto" w:fill="CCEEFF"/>
          </w:tcPr>
          <w:p>
            <w:pPr>
              <w:spacing w:after="0"/>
              <w:rPr>
                <w:sz w:val="9"/>
                <w:szCs w:val="9"/>
                <w:color w:val="auto"/>
              </w:rPr>
            </w:pPr>
          </w:p>
        </w:tc>
        <w:tc>
          <w:tcPr>
            <w:tcW w:w="3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60" w:type="dxa"/>
            <w:vAlign w:val="bottom"/>
            <w:vMerge w:val="restart"/>
            <w:shd w:val="clear" w:color="auto" w:fill="CCEEFF"/>
          </w:tcPr>
          <w:p>
            <w:pPr>
              <w:spacing w:after="0"/>
              <w:rPr>
                <w:sz w:val="9"/>
                <w:szCs w:val="9"/>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60" w:type="dxa"/>
            <w:vAlign w:val="bottom"/>
            <w:vMerge w:val="restart"/>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380" w:type="dxa"/>
            <w:vAlign w:val="bottom"/>
            <w:tcBorders>
              <w:right w:val="single" w:sz="8" w:color="auto"/>
            </w:tcBorders>
            <w:vMerge w:val="restart"/>
            <w:shd w:val="clear" w:color="auto" w:fill="CCEEFF"/>
          </w:tcPr>
          <w:p>
            <w:pPr>
              <w:jc w:val="center"/>
              <w:ind w:right="74"/>
              <w:spacing w:after="0"/>
              <w:rPr>
                <w:sz w:val="20"/>
                <w:szCs w:val="20"/>
                <w:color w:val="auto"/>
              </w:rPr>
            </w:pPr>
            <w:r>
              <w:rPr>
                <w:rFonts w:ascii="Arial" w:cs="Arial" w:eastAsia="Arial" w:hAnsi="Arial"/>
                <w:sz w:val="9"/>
                <w:szCs w:val="9"/>
                <w:color w:val="auto"/>
              </w:rPr>
              <w:t>—</w:t>
            </w:r>
          </w:p>
        </w:tc>
        <w:tc>
          <w:tcPr>
            <w:tcW w:w="30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80" w:type="dxa"/>
            <w:vAlign w:val="bottom"/>
            <w:vMerge w:val="restart"/>
            <w:shd w:val="clear" w:color="auto" w:fill="CCEEFF"/>
          </w:tcPr>
          <w:p>
            <w:pPr>
              <w:spacing w:after="0"/>
              <w:rPr>
                <w:sz w:val="9"/>
                <w:szCs w:val="9"/>
                <w:color w:val="auto"/>
              </w:rPr>
            </w:pPr>
          </w:p>
        </w:tc>
        <w:tc>
          <w:tcPr>
            <w:tcW w:w="5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9"/>
                <w:szCs w:val="9"/>
                <w:color w:val="auto"/>
                <w:w w:val="88"/>
              </w:rPr>
              <w: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0"/>
                <w:szCs w:val="10"/>
                <w:color w:val="auto"/>
              </w:rPr>
            </w:pPr>
          </w:p>
        </w:tc>
        <w:tc>
          <w:tcPr>
            <w:tcW w:w="680" w:type="dxa"/>
            <w:vAlign w:val="bottom"/>
            <w:tcBorders>
              <w:right w:val="single" w:sz="8" w:color="auto"/>
            </w:tcBorders>
            <w:gridSpan w:val="3"/>
            <w:shd w:val="clear" w:color="auto" w:fill="CCEEFF"/>
          </w:tcPr>
          <w:p>
            <w:pPr>
              <w:ind w:left="160"/>
              <w:spacing w:after="0"/>
              <w:rPr>
                <w:sz w:val="20"/>
                <w:szCs w:val="20"/>
                <w:color w:val="auto"/>
              </w:rPr>
            </w:pPr>
            <w:r>
              <w:rPr>
                <w:rFonts w:ascii="Arial" w:cs="Arial" w:eastAsia="Arial" w:hAnsi="Arial"/>
                <w:sz w:val="9"/>
                <w:szCs w:val="9"/>
                <w:color w:val="auto"/>
                <w:w w:val="92"/>
              </w:rPr>
              <w:t>Stockholders</w:t>
            </w: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24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36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4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2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3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3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20" w:type="dxa"/>
            <w:vAlign w:val="bottom"/>
            <w:tcBorders>
              <w:bottom w:val="single" w:sz="8" w:color="auto"/>
            </w:tcBorders>
            <w:vMerge w:val="continue"/>
            <w:shd w:val="clear" w:color="auto" w:fill="CCEEFF"/>
          </w:tcPr>
          <w:p>
            <w:pPr>
              <w:spacing w:after="0"/>
              <w:rPr>
                <w:sz w:val="10"/>
                <w:szCs w:val="10"/>
                <w:color w:val="auto"/>
              </w:rPr>
            </w:pPr>
          </w:p>
        </w:tc>
        <w:tc>
          <w:tcPr>
            <w:tcW w:w="3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4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3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4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3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0" w:type="dxa"/>
            <w:vAlign w:val="bottom"/>
            <w:tcBorders>
              <w:bottom w:val="single" w:sz="8" w:color="auto"/>
            </w:tcBorders>
            <w:vMerge w:val="continue"/>
            <w:shd w:val="clear" w:color="auto" w:fill="CCEEFF"/>
          </w:tcPr>
          <w:p>
            <w:pPr>
              <w:spacing w:after="0"/>
              <w:rPr>
                <w:sz w:val="10"/>
                <w:szCs w:val="10"/>
                <w:color w:val="auto"/>
              </w:rPr>
            </w:pPr>
          </w:p>
        </w:tc>
        <w:tc>
          <w:tcPr>
            <w:tcW w:w="38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3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40" w:type="dxa"/>
            <w:vAlign w:val="bottom"/>
            <w:tcBorders>
              <w:bottom w:val="single" w:sz="8" w:color="auto"/>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1400" w:right="23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color w:val="auto"/>
        </w:rPr>
        <w:t>________________</w:t>
      </w:r>
    </w:p>
    <w:p>
      <w:pPr>
        <w:ind w:left="300" w:hanging="297"/>
        <w:spacing w:after="0"/>
        <w:tabs>
          <w:tab w:leader="none" w:pos="3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Represents less than 1%.</w:t>
      </w:r>
    </w:p>
    <w:p>
      <w:pPr>
        <w:jc w:val="both"/>
        <w:ind w:left="320" w:hanging="317"/>
        <w:spacing w:after="0" w:line="248" w:lineRule="auto"/>
        <w:tabs>
          <w:tab w:leader="none" w:pos="31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See “Organizational Structure,” “Certain Relationships and Related Person Transactions—ZoomInfo OpCo Amended and Restated Limited Liability Company Agreement,” and “Certain Relationships and Related Person Transactions—ZoomInfo HoldCo Amended and Restated Limited Liability Company Agreement.”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ind w:left="300" w:hanging="297"/>
        <w:spacing w:after="0" w:line="230"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Represents OpCo Units which are paired with an equal number of shares of Class B common stock, except as noted in footnote (7) below.</w:t>
      </w:r>
    </w:p>
    <w:p>
      <w:pPr>
        <w:jc w:val="both"/>
        <w:ind w:left="320" w:hanging="317"/>
        <w:spacing w:after="0" w:line="248" w:lineRule="auto"/>
        <w:tabs>
          <w:tab w:leader="none" w:pos="31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See “Description of Capital Stock—Common Stock—Class C Common Stock.” Beneficial ownership of shares of Class C common stock reflected in this table has not been also reflected as beneficial ownership of shares of our Class A common stock for which such shares may be converted.</w:t>
      </w:r>
    </w:p>
    <w:p>
      <w:pPr>
        <w:ind w:left="320" w:hanging="317"/>
        <w:spacing w:after="0" w:line="230" w:lineRule="auto"/>
        <w:tabs>
          <w:tab w:leader="none" w:pos="313"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Represents percentage of voting power of the Class A common stock, Class B common stock, and Class C common stock of ZoomInfo Technologies Inc. voting together as a single class. See “Description of Capital Stock—Common Stock.”</w:t>
      </w:r>
    </w:p>
    <w:p>
      <w:pPr>
        <w:jc w:val="both"/>
        <w:ind w:left="320" w:hanging="317"/>
        <w:spacing w:after="0" w:line="248" w:lineRule="auto"/>
        <w:tabs>
          <w:tab w:leader="none" w:pos="31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Amounts beneficially owned reflect (i) 58,592,420 OpCo Units (and associated shares of Class B common stock) held by TA XI DO AIV, L.P., (ii) 1,512,585 OpCo Units (and associated shares of Class B common stock) held by TA SDF III DO AIV, L.P., (iii) 10,118,857 OpCo Units (and associated shares of Class B common stock) held by TA Atlantic and Pacific VII-A, L.P., (iv) 2,176,096 OpCo Units (and associated shares of Class B common stock) held by TA Investors IV, L.P., (v) 3,831,635 OpCo Units (and associated shares of Class B common stock) held by TA XI DO AIV II, L.P., (vi) 72,255 OpCo Units (and associated shares of Class B common stock) held by TA SDF III DO AIV II, L.P., (vii) 3,437,631 OpCo Units (and associated shares of Class B common stock) held by TA AP VII-B DO Subsidiary Partnership, L.P., (viii) 15,326,540 shares of Class C common stock held by TA XI DO Feeder, L.P., (ix) 289,023 shares of Class C common stock held by TA SDF III DO Feeder, L.P., and (x) 13,750,524 shares of Class C common stock held by TA Atlantic and Pacific VII-B, L.P. (collectively, the “TA Associates Funds”) in each case, following this offering.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jc w:val="both"/>
        <w:ind w:left="320" w:hanging="317"/>
        <w:spacing w:after="0" w:line="248" w:lineRule="auto"/>
        <w:tabs>
          <w:tab w:leader="none" w:pos="31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Carlyle Partners VI Evergreen Holdings, L.P. (“Carlyle Evergreen”) is the record holder of 39,779,964 OpCo Units (and associated shares of Class B common stock) following this offering. CP VI Evergreen Holdings, L.P. (“CP VI Evergreen”) is the record holder of 40,001,302 shares of Class C common stock following this offering. Carlyle Partners VI Dash Holdings, L.P. (together with Carlyle Evergreen and CP VI Evergreen, the “Carlyle Investors”) is the record holder of 14,206,765 shares of Class C common stock following this offering.</w:t>
      </w:r>
    </w:p>
    <w:p>
      <w:pPr>
        <w:jc w:val="both"/>
        <w:ind w:left="320"/>
        <w:spacing w:after="0" w:line="230" w:lineRule="auto"/>
        <w:rPr>
          <w:rFonts w:ascii="Arial" w:cs="Arial" w:eastAsia="Arial" w:hAnsi="Arial"/>
          <w:sz w:val="13"/>
          <w:szCs w:val="13"/>
          <w:color w:val="auto"/>
        </w:rPr>
      </w:pPr>
      <w:r>
        <w:rPr>
          <w:rFonts w:ascii="Arial" w:cs="Arial" w:eastAsia="Arial" w:hAnsi="Arial"/>
          <w:sz w:val="14"/>
          <w:szCs w:val="14"/>
          <w:color w:val="auto"/>
        </w:rPr>
        <w:t>Carlyle Group Management L.L.C. holds an irrevocable proxy to vote a majority of the shares of The Carlyle Group Inc., which is a publicly traded entity listed on the Nasdaq. The Carlyle Group Inc. is the sole shareholder of Carlyle Holdings I GP Inc., which is the managing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1" w:lineRule="exact"/>
        <w:rPr>
          <w:rFonts w:ascii="Arial" w:cs="Arial" w:eastAsia="Arial" w:hAnsi="Arial"/>
          <w:sz w:val="13"/>
          <w:szCs w:val="13"/>
          <w:color w:val="auto"/>
        </w:rPr>
      </w:pPr>
    </w:p>
    <w:p>
      <w:pPr>
        <w:jc w:val="both"/>
        <w:ind w:left="320"/>
        <w:spacing w:after="0" w:line="230" w:lineRule="auto"/>
        <w:rPr>
          <w:rFonts w:ascii="Arial" w:cs="Arial" w:eastAsia="Arial" w:hAnsi="Arial"/>
          <w:sz w:val="13"/>
          <w:szCs w:val="13"/>
          <w:color w:val="auto"/>
        </w:rPr>
      </w:pPr>
      <w:r>
        <w:rPr>
          <w:rFonts w:ascii="Arial" w:cs="Arial" w:eastAsia="Arial" w:hAnsi="Arial"/>
          <w:sz w:val="14"/>
          <w:szCs w:val="14"/>
          <w:color w:val="auto"/>
        </w:rPr>
        <w:t>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jc w:val="both"/>
        <w:ind w:left="320"/>
        <w:spacing w:after="0" w:line="230" w:lineRule="auto"/>
        <w:rPr>
          <w:rFonts w:ascii="Arial" w:cs="Arial" w:eastAsia="Arial" w:hAnsi="Arial"/>
          <w:sz w:val="13"/>
          <w:szCs w:val="13"/>
          <w:color w:val="auto"/>
        </w:rPr>
      </w:pPr>
      <w:r>
        <w:rPr>
          <w:rFonts w:ascii="Arial" w:cs="Arial" w:eastAsia="Arial" w:hAnsi="Arial"/>
          <w:sz w:val="14"/>
          <w:szCs w:val="14"/>
          <w:color w:val="auto"/>
        </w:rPr>
        <w:t>Voting and investment determinations with respect to the securities held by Carlyle Evergreen and CP VI Evergreen are made by an investment committee of TC Group VI S1, L.P., and voting and investment determinations with respect to the securities held by Carlyle Partners VI Dash Holdings, L.P. are made by an investment committee of TC Group VI, L.P., each of which is comprised of Allan Holt, William Conway, Jr., Daniel D’Aniello, David Rubenstein, Peter Clare, Kewsong Lee, Norma Kuntz, Sandra Horbach, and Marco De Benedetti, as a non-voting observer. Accordingly, each of the entities and individuals named in this footnote may be deemed to share beneficial ownership of the securities held of record by the Carlyle Investors. Each of them disclaims beneficial ownership of such securities.</w:t>
      </w:r>
    </w:p>
    <w:p>
      <w:pPr>
        <w:spacing w:after="0" w:line="1" w:lineRule="exact"/>
        <w:rPr>
          <w:rFonts w:ascii="Arial" w:cs="Arial" w:eastAsia="Arial" w:hAnsi="Arial"/>
          <w:sz w:val="13"/>
          <w:szCs w:val="13"/>
          <w:color w:val="auto"/>
        </w:rPr>
      </w:pPr>
    </w:p>
    <w:p>
      <w:pPr>
        <w:jc w:val="both"/>
        <w:ind w:left="320"/>
        <w:spacing w:after="0" w:line="230" w:lineRule="auto"/>
        <w:rPr>
          <w:rFonts w:ascii="Arial" w:cs="Arial" w:eastAsia="Arial" w:hAnsi="Arial"/>
          <w:sz w:val="13"/>
          <w:szCs w:val="13"/>
          <w:color w:val="auto"/>
        </w:rPr>
      </w:pPr>
      <w:r>
        <w:rPr>
          <w:rFonts w:ascii="Arial" w:cs="Arial" w:eastAsia="Arial" w:hAnsi="Arial"/>
          <w:sz w:val="14"/>
          <w:szCs w:val="14"/>
          <w:color w:val="auto"/>
        </w:rPr>
        <w:t>The address of each of TC Group Cayman Investment Holdings, L.P. and TC Group Cayman Investment Holdings Sub L.P. is c/o Walkers, Cayman Corporate Center, 27 Hospital Road, George Town, Grand Cayman KY1-9008, Cayman Islands. The address of each of the other entities named in this footnote is c/o The Carlyle Group Inc., 1001 Pennsylvania Avenue, NW, Suite 220 South, Washington, District of Columbia 20004.</w:t>
      </w:r>
    </w:p>
    <w:p>
      <w:pPr>
        <w:jc w:val="both"/>
        <w:ind w:left="320" w:hanging="317"/>
        <w:spacing w:after="0" w:line="234" w:lineRule="auto"/>
        <w:tabs>
          <w:tab w:leader="none" w:pos="313"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Amounts beneficially owned reflect (i) 2,833,583 shares of Class C common stock and 15,912,638 OpCo Units (and associated shares of Class B common stock) held directly following this offering by 22C Magellan Holdings LLC, whose two principal members are 22C DiscoverOrg Investors, LLC and 22C Capital I, L.P., and (ii) 427,552 shares of Class C common stock and 77,447 HoldCo Units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90" w:name="page191"/>
    <w:bookmarkEnd w:id="190"/>
    <w:p>
      <w:pPr>
        <w:jc w:val="both"/>
        <w:ind w:left="320"/>
        <w:spacing w:after="0" w:line="250" w:lineRule="auto"/>
        <w:rPr>
          <w:sz w:val="20"/>
          <w:szCs w:val="20"/>
          <w:color w:val="auto"/>
        </w:rPr>
      </w:pPr>
      <w:r>
        <w:rPr>
          <w:rFonts w:ascii="Arial" w:cs="Arial" w:eastAsia="Arial" w:hAnsi="Arial"/>
          <w:sz w:val="13"/>
          <w:szCs w:val="13"/>
          <w:color w:val="auto"/>
        </w:rPr>
        <w:t>associated shares of Class B common stock) held directly by 22C Capital I-A, L.P. 22C DiscoverOrg MM, LLC is the managing member of 22C DiscoverOrg Investors, LLC. 22C DiscoverOrg Advisors, LLC is the managing member of 22C DiscoverOrg MM, LLC. 22C Capital GP I, L.L.C. is the general partner of 22C Capital I, L.P. and of 22C Capital I-A, L.P. 22C Capital GP I MM LLC is the managing member of 22C Capital GP I, L.L.C. Eric Edell and D. Randall Winn are co-managing members of 22C DiscoverOrg Advisors, LLC and co-members of 22C Capital GP I MM LLC and, in such capacities, exercise voting or investment power over the shares of Class C common stock and OpCo Units (and associated shares of Class B common stock) held directly by 22C Magellan Holdings LLC and the shares of Class C common stock and HoldCo Units (and associated shares of Class B common stock) held directly by 22C Capital I-A, L.P. In addition, following this offering, as disclosed in footnote (21) below, D. Randall Winn exercises voting and investment power over OpCo Units (and associated shares of Class B common stock) held directly by Mr. Winn in his individual capacity, and over OpCo Units (and associated shares of Class B common stock) held directly by FiveW DiscoverOrg LLC. The address of 22C Magellan Holdings LLC, 22C Capital I-A, L.P., Eric Edell and D. Randall Winn is 445 Park Avenue, 13th Floor, New York, New York 10022.</w:t>
      </w:r>
    </w:p>
    <w:p>
      <w:pPr>
        <w:spacing w:after="0" w:line="2" w:lineRule="exact"/>
        <w:rPr>
          <w:sz w:val="20"/>
          <w:szCs w:val="20"/>
          <w:color w:val="auto"/>
        </w:rPr>
      </w:pPr>
    </w:p>
    <w:p>
      <w:pPr>
        <w:jc w:val="both"/>
        <w:ind w:left="320" w:hanging="317"/>
        <w:spacing w:after="0" w:line="230" w:lineRule="auto"/>
        <w:tabs>
          <w:tab w:leader="none" w:pos="313"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Amounts beneficially owned reflect 58,647,878 OpCo Units (and associated shares of Class B common stock) held directly by DO Holdings (WA), LLC. DO Holdings (WA), LLC is owned by Henry Schuck and Kirk Brown. Messrs. Schuck and Brown may be deemed to share voting and dispositive power over the securities held by DO Holdings (WA), LLC. The principal business address of DO Holdings (WA), LLC is c/o 805 Broadway Street, Suite 900 Vancouver, Washington 98660.</w:t>
      </w:r>
    </w:p>
    <w:p>
      <w:pPr>
        <w:ind w:left="320" w:hanging="317"/>
        <w:spacing w:after="0" w:line="230" w:lineRule="auto"/>
        <w:tabs>
          <w:tab w:leader="none" w:pos="313"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Amounts beneficially owned reflect the 58,647,878 OpCo Units (and associated shares of Class B common stock) held directly by DO Holdings (WA), LLC (as described above). The principal business address of Mr. Brown is c/o 1012 SE 64th Court, Vancouver, Washington 98661.</w:t>
      </w:r>
    </w:p>
    <w:p>
      <w:pPr>
        <w:jc w:val="both"/>
        <w:ind w:left="320" w:hanging="317"/>
        <w:spacing w:after="0" w:line="248" w:lineRule="auto"/>
        <w:tabs>
          <w:tab w:leader="none" w:pos="31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Amounts beneficially owned reflect the vested Class P Units held by Henry Schuck (including 80,370 Class P Units that vest within 60 days) convertible for 1,186,472 shares of Class A common stock (based on the closing price of our Class A common stock of $37.99 per share reported on Nasdaq on October 30, 2020), OpCo Units (and associated shares of Class B common stock) held directly by HSKB Funds, LLC, 58,647,878 OpCo Units (and associated shares of Class B common stock) held directly by DO Holdings (WA), LLC (as described above), and 2,778,810 HoldCo Units (and associated shares of Class B common stock) held by HSKB Funds II, LLC. HSKB Funds, LLC and HSKB Funds II, LLC are managed by HLS Management, LLC. Henry Schuck is the sole member of HLS Management, LLC. The principal business address of Mr. Schuck is c/o 805 Broadway Street, Suite 900 Vancouver, Washington 98660.</w:t>
      </w:r>
    </w:p>
    <w:p>
      <w:pPr>
        <w:ind w:left="300" w:hanging="297"/>
        <w:spacing w:after="0" w:line="230" w:lineRule="auto"/>
        <w:tabs>
          <w:tab w:leader="none" w:pos="3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principal business address of Mr. Hyzer is c/o 805 Broadway Street, Suite 900 Vancouver, Washington 98660.</w:t>
      </w:r>
    </w:p>
    <w:p>
      <w:pPr>
        <w:jc w:val="both"/>
        <w:ind w:left="320" w:hanging="317"/>
        <w:spacing w:after="0" w:line="230" w:lineRule="auto"/>
        <w:tabs>
          <w:tab w:leader="none" w:pos="317"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Amounts beneficially owned reflect Class P Units held by Chris Hays (including 14,612 Class P Units that vest within 60 days) convertible for 189,574 shares of Class A common stock (based on the closing price of our Class A common stock of $37.99 per share reported on Nasdaq on October 30, 2020). The principal business address of Mr. Hays is c/o 805 Broadway Street, Suite 900 Vancouver, Washington 98660.</w:t>
      </w:r>
    </w:p>
    <w:p>
      <w:pPr>
        <w:ind w:left="320" w:hanging="317"/>
        <w:spacing w:after="0" w:line="293" w:lineRule="auto"/>
        <w:tabs>
          <w:tab w:leader="none" w:pos="317" w:val="left"/>
        </w:tabs>
        <w:numPr>
          <w:ilvl w:val="0"/>
          <w:numId w:val="126"/>
        </w:numPr>
        <w:rPr>
          <w:rFonts w:ascii="Arial" w:cs="Arial" w:eastAsia="Arial" w:hAnsi="Arial"/>
          <w:sz w:val="11"/>
          <w:szCs w:val="11"/>
          <w:color w:val="auto"/>
        </w:rPr>
      </w:pPr>
      <w:r>
        <w:rPr>
          <w:rFonts w:ascii="Arial" w:cs="Arial" w:eastAsia="Arial" w:hAnsi="Arial"/>
          <w:sz w:val="11"/>
          <w:szCs w:val="11"/>
          <w:color w:val="auto"/>
        </w:rPr>
        <w:t>Amounts beneficially owned reflect the vested Class P Units held directly by Nir Keren convertible for 1,305,653 shares of Class A common stock (based on the closing price of our Class A common stock of $37.99 per share reported on Nasdaq on October 30, 2020). The principal business address of Mr. Keren is c/o 805 Broadway Street, Suite 900 Vancouver, Washington 98660.</w:t>
      </w:r>
    </w:p>
    <w:p>
      <w:pPr>
        <w:ind w:left="300" w:hanging="297"/>
        <w:spacing w:after="0" w:line="230" w:lineRule="auto"/>
        <w:tabs>
          <w:tab w:leader="none" w:pos="3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principal business address of Mr. Crockett is c/o 200 Clarendon Street, 56th floor, Boston, Massachusetts 02116.</w:t>
      </w:r>
    </w:p>
    <w:p>
      <w:pPr>
        <w:ind w:left="300" w:hanging="297"/>
        <w:spacing w:after="0" w:line="230" w:lineRule="auto"/>
        <w:tabs>
          <w:tab w:leader="none" w:pos="3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principal business address of Mr. Dhruv is c/o 20 Davis Drive, Belmont, California 94002.</w:t>
      </w:r>
    </w:p>
    <w:p>
      <w:pPr>
        <w:ind w:left="300" w:hanging="297"/>
        <w:spacing w:after="0" w:line="230" w:lineRule="auto"/>
        <w:tabs>
          <w:tab w:leader="none" w:pos="3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principal business address of Mr. Enright is c/o 345 Spear Street, 4th Floor, San Francisco, California 94105.</w:t>
      </w:r>
    </w:p>
    <w:p>
      <w:pPr>
        <w:ind w:left="300" w:hanging="297"/>
        <w:spacing w:after="0" w:line="230" w:lineRule="auto"/>
        <w:tabs>
          <w:tab w:leader="none" w:pos="3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principal business address of Ms. Evans is c/o 2710 Sand Hill Road, Menlo Park, California 94025.</w:t>
      </w:r>
    </w:p>
    <w:p>
      <w:pPr>
        <w:ind w:left="300" w:hanging="297"/>
        <w:spacing w:after="0" w:line="230" w:lineRule="auto"/>
        <w:tabs>
          <w:tab w:leader="none" w:pos="3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principal business address of Mr. Mader is c/o 10500 NE 8th Street, Suite 1300, Bellevue, Washington 98004.</w:t>
      </w:r>
    </w:p>
    <w:p>
      <w:pPr>
        <w:ind w:left="300" w:hanging="297"/>
        <w:spacing w:after="0" w:line="230" w:lineRule="auto"/>
        <w:tabs>
          <w:tab w:leader="none" w:pos="3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principal business address of Mr. McCarter is c/o 2710 Sand Hill Road, Menlo Park, California 94025.</w:t>
      </w:r>
    </w:p>
    <w:p>
      <w:pPr>
        <w:ind w:left="300" w:hanging="297"/>
        <w:spacing w:after="0" w:line="230" w:lineRule="auto"/>
        <w:tabs>
          <w:tab w:leader="none" w:pos="3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principal business address of Mr. Mironov is c/o 200 Clarendon Street, 56th floor, Boston, Massachusetts 02116.</w:t>
      </w:r>
    </w:p>
    <w:p>
      <w:pPr>
        <w:jc w:val="both"/>
        <w:ind w:left="320" w:hanging="317"/>
        <w:spacing w:after="0" w:line="248" w:lineRule="auto"/>
        <w:tabs>
          <w:tab w:leader="none" w:pos="31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Amounts beneficially owned reflect: (i) 3,261,135 shares of Class C common stock, 15,912,638 OpCo Units (and associated shares of Class B common stock), and 77,447 HoldCo Units (and associated shares of Class B common stock) beneficially owned by 22C Capital, as disclosed in footnote (7) above; (ii) 1,324,368 OpCo Units (and associated shares of Class B common stock) directly held by Mr. Winn in his individual capacity; and (iii) 4,984,101 OpCo Units (and associated shares of Class B common stock) held directly by FiveW DiscoverOrg LLC, over which Mr. Winn exercises voting and investment power. The principal business address of Mr. Winn is 445 Park Avenue, 13th Floor, New York, New York 10022.</w:t>
      </w:r>
    </w:p>
    <w:p>
      <w:pPr>
        <w:jc w:val="both"/>
        <w:ind w:left="320" w:hanging="317"/>
        <w:spacing w:after="0" w:line="233" w:lineRule="auto"/>
        <w:tabs>
          <w:tab w:leader="none" w:pos="317" w:val="left"/>
        </w:tabs>
        <w:numPr>
          <w:ilvl w:val="0"/>
          <w:numId w:val="126"/>
        </w:numPr>
        <w:rPr>
          <w:rFonts w:ascii="Arial" w:cs="Arial" w:eastAsia="Arial" w:hAnsi="Arial"/>
          <w:sz w:val="14"/>
          <w:szCs w:val="14"/>
          <w:color w:val="auto"/>
        </w:rPr>
      </w:pPr>
      <w:r>
        <w:rPr>
          <w:rFonts w:ascii="Arial" w:cs="Arial" w:eastAsia="Arial" w:hAnsi="Arial"/>
          <w:sz w:val="14"/>
          <w:szCs w:val="14"/>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191" w:name="page192"/>
    <w:bookmarkEnd w:id="191"/>
    <w:p>
      <w:pPr>
        <w:ind w:left="3800"/>
        <w:spacing w:after="0"/>
        <w:rPr>
          <w:sz w:val="20"/>
          <w:szCs w:val="20"/>
          <w:color w:val="auto"/>
        </w:rPr>
      </w:pPr>
      <w:r>
        <w:rPr>
          <w:rFonts w:ascii="Arial" w:cs="Arial" w:eastAsia="Arial" w:hAnsi="Arial"/>
          <w:sz w:val="17"/>
          <w:szCs w:val="17"/>
          <w:b w:val="1"/>
          <w:bCs w:val="1"/>
          <w:color w:val="auto"/>
        </w:rPr>
        <w:t>DESCRIPTION OF CERTAIN INDEBTEDNESS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section summarizes the terms of our material principal indebtedness.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Lien Credit Agreement</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On February 1, 2019, ZoomInfo LLC (formerly known as DiscoverOrg, LLC) and ZoomInfo Midco LLC (formerly known as DiscoverOrg Midco, LLC) entered into a first lien credit agreement with Morgan Stanley Senior Funding, Inc., as the administrative agent, collateral agent and a letter of credit issuer, Morgan Stanley Senior Funding, Inc., Barclays Bank plc and Antares Capital LP, as joint lead arrangers and joint bookrunners and the other lenders and letter of credit issuers from time to time party thereto (as amended from time to time, the “first lien credit agreement”). On February 19, 2020, ZoomInfo LLC and ZoomInfo Midco LLC entered into an amendment to the first lien credit agreement with Morgan Stanley Bank, N.A., as the new term loan lender, the revolving credit lenders party thereto and Morgan Stanley Senior Funding, Inc. as administrative agent, collateral agent and letter of credit issuer to amend certain pricing terms of the first lien credit agreement.</w:t>
      </w:r>
    </w:p>
    <w:p>
      <w:pPr>
        <w:spacing w:after="0" w:line="13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borrowings under the first lien credit agreement consist of $865.0 million initial term loans, maturing February 1, 2026, and a $100.0 million revolving credit facility, maturing February 1, 2024. Of these first lien term loans, $756.4 million was outstanding as of September 30, 2020. In June 2020, we used a portion of the net proceeds from the IPO to prepay $100.0 million aggregate principal amount of the first lien term loans outstanding under the first lien credit agreement, including accrued interest thereon.</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 portion of the revolving credit facility is available for letters of credit, of which none was utilized as of September 30, 2020. Including letters of credit, there were no borrowings outstanding under the revolving credit facility as of September 30, 2020. In connection with the IPO, we used a portion of the net proceeds from the IPO to repay $35.0 million of outstanding borrowings under the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Borrowings under the first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1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With respect to the first lien term loans that bear interest by reference to an adjusted LIBOR rate, the applicable margin is 4.00% per annum and with respect to the first lien term loans that bear interest by reference to a base rate, the applicable margin is 3.00% per annum. The applicable margin for the borrowings under the revolving credit facility varies depending on a consolidated first lien debt to consolidated EBITDA ratio calculated pursuant to the first lien credit agreement (the “consolidated first lien net leverage ratio”) and is 3.75% or 4.00% per annum for the loans that bear interest by reference to the adjusted LIBOR rate and 2.75% of 3.00% per annum for the loans that bear interest by reference to the base rate. Upon the completion of our IPO and as of September 30, 2020, the applicable margin was reduced 0.25% from 4.00% to 3.75% in the case of LIBOR rate loans, and from 3.00% to 2.75% in the case of base rate loans.</w:t>
      </w:r>
    </w:p>
    <w:p>
      <w:pPr>
        <w:spacing w:after="0" w:line="10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addition, we pay certain recurring fees with respect to the first lien credit agreement, including (i) a fee for the unused commitments of the lenders under the revolving credit facility, accruing at a rate equal to (x) 0.50% per annum if the consolidated first lien net leverage ratio is greater than 4.40 to 1.00, (y) 0.375% if the consolidated first lien secured leverage ratio is equal to or less than 4.40 to 1.00 but greater than 3.90 to 1.00 or (z) 0.125% if the consolidated first lien leverage ratio is equal to or less than 3.90 to 1.00, (ii) letter of credit fees, including a fronting fee and processing fees to each issuing bank, which vary depending on the consolidated first lien net leverage ratio, and (iii) administration fees. We paid $0.5 million of such fees for fiscal year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may prepay, in full or in part, borrowings under the first lien credit agreement, subject to notice requirements, minimum prepayment amounts, and increment limitations. If any prepayment of term loans is made in connection with a repricing event prior to the six-month anniversary of the amendment no. 1 effective date, a premium of 1.00% of the principal amount prepaid is required to be paid. After the six-month anniversary of the amendment no. 1 effective date, no premium is required.</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first lien credit agreement requires us to prepay outstanding first lien term loans, subject to certain exceptions, with:</w:t>
      </w:r>
    </w:p>
    <w:p>
      <w:pPr>
        <w:spacing w:after="0" w:line="165" w:lineRule="exact"/>
        <w:rPr>
          <w:sz w:val="20"/>
          <w:szCs w:val="20"/>
          <w:color w:val="auto"/>
        </w:rPr>
      </w:pPr>
    </w:p>
    <w:p>
      <w:pPr>
        <w:ind w:left="620" w:hanging="308"/>
        <w:spacing w:after="0" w:line="311" w:lineRule="auto"/>
        <w:tabs>
          <w:tab w:leader="none" w:pos="61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50% (which percentage will be reduced to (i) 25%, if the consolidated first lien net leverage ratio is less than or equal to 4.40 to 1.00 but greater than 3.90 to 1.00 and to (ii) 0%, if the consolidated first lien net leverage ratio is less than or equal to 3.90 to 1.00) of our annual excess cash flow;</w:t>
      </w:r>
    </w:p>
    <w:p>
      <w:pPr>
        <w:spacing w:after="0" w:line="89" w:lineRule="exact"/>
        <w:rPr>
          <w:rFonts w:ascii="Arial" w:cs="Arial" w:eastAsia="Arial" w:hAnsi="Arial"/>
          <w:sz w:val="16"/>
          <w:szCs w:val="16"/>
          <w:color w:val="auto"/>
        </w:rPr>
      </w:pPr>
    </w:p>
    <w:p>
      <w:pPr>
        <w:jc w:val="both"/>
        <w:ind w:left="620" w:hanging="308"/>
        <w:spacing w:after="0" w:line="277" w:lineRule="auto"/>
        <w:tabs>
          <w:tab w:leader="none" w:pos="61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or any loss or government taking of property for which insurance proceeds or condemnation awards are received, if ZoomInfo LLC (formerly known as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ZoomInfo LLC or certain of its subsidiaries may use a portion of such net cash proceeds to prepay or repurchase certain permitted other indebtedness with a lien in accordance with the terms of the first lien credit agreement;</w:t>
      </w:r>
    </w:p>
    <w:p>
      <w:pPr>
        <w:spacing w:after="0" w:line="116" w:lineRule="exact"/>
        <w:rPr>
          <w:rFonts w:ascii="Arial" w:cs="Arial" w:eastAsia="Arial" w:hAnsi="Arial"/>
          <w:sz w:val="16"/>
          <w:szCs w:val="16"/>
          <w:color w:val="auto"/>
        </w:rPr>
      </w:pPr>
    </w:p>
    <w:p>
      <w:pPr>
        <w:ind w:left="620" w:hanging="308"/>
        <w:spacing w:after="0" w:line="279" w:lineRule="auto"/>
        <w:tabs>
          <w:tab w:leader="none" w:pos="61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100% of the net cash proceeds of all incurrence or issuance by ZoomInfo LLC or certain of its subsidiaries of any indebtedness (except for permitted debt (other than refinancing debt)); and</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100% of the net cash proceeds of the incurrence of any specified refinancing debt constituting revolving credit facilities.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also required to prepay the amount by which we exceed the revolving credit commitment.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165" w:lineRule="exact"/>
        <w:rPr>
          <w:sz w:val="20"/>
          <w:szCs w:val="20"/>
          <w:color w:val="auto"/>
        </w:rPr>
      </w:pPr>
    </w:p>
    <w:p>
      <w:pPr>
        <w:ind w:firstLine="309"/>
        <w:spacing w:after="0" w:line="311" w:lineRule="auto"/>
        <w:rPr>
          <w:sz w:val="20"/>
          <w:szCs w:val="20"/>
          <w:color w:val="auto"/>
        </w:rPr>
      </w:pPr>
      <w:r>
        <w:rPr>
          <w:rFonts w:ascii="Arial" w:cs="Arial" w:eastAsia="Arial" w:hAnsi="Arial"/>
          <w:sz w:val="16"/>
          <w:szCs w:val="16"/>
          <w:color w:val="auto"/>
        </w:rPr>
        <w:t>We are required to repay installments of the first lien term loans in quarterly installments equal to 0.25% of the aggregate principal amount of the initial term loan facility funded on February 1, 2019, with the remaining amount payable on the applicable maturity date with respect to such term loans.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Principal amounts outstanding under the revolving credit facility are due and payable in full at maturity.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All obligations under the first lien credit agreement are unconditionally guaranteed by substantially all existing and future, direct and indirect, wholly owned material domestic subsidiaries of ZoomInfo LLC, subject to certain exceptions.</w:t>
      </w:r>
    </w:p>
    <w:p>
      <w:pPr>
        <w:spacing w:after="0" w:line="112" w:lineRule="exact"/>
        <w:rPr>
          <w:sz w:val="20"/>
          <w:szCs w:val="20"/>
          <w:color w:val="auto"/>
        </w:rPr>
      </w:pPr>
    </w:p>
    <w:p>
      <w:pPr>
        <w:ind w:firstLine="309"/>
        <w:spacing w:after="0" w:line="311" w:lineRule="auto"/>
        <w:rPr>
          <w:sz w:val="20"/>
          <w:szCs w:val="20"/>
          <w:color w:val="auto"/>
        </w:rPr>
      </w:pPr>
      <w:r>
        <w:rPr>
          <w:rFonts w:ascii="Arial" w:cs="Arial" w:eastAsia="Arial" w:hAnsi="Arial"/>
          <w:sz w:val="16"/>
          <w:szCs w:val="16"/>
          <w:color w:val="auto"/>
        </w:rPr>
        <w:t>All obligations under the first lien credit agreement, and the guarantees of such obligations, are secured, subject to permitted liens and other exceptions, by the equity interests of ZoomInfo LLC and substantially all assets of DiscoverOrg, LLC and certain of its subsidiaries, subject to certain exceptions.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165" w:lineRule="exact"/>
        <w:rPr>
          <w:sz w:val="20"/>
          <w:szCs w:val="20"/>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6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Lien Credit Agreement</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February 1, 2019, ZoomInfo LLC (formerly known as DiscoverOrg, LLC) and ZoomInfo Midco LLC (formerly known as DiscoverOrg Midco, LLC) entered into a second lien credit agreement with Morgan Stanley Senior Funding, Inc., as the administrative agent and collateral agent, Morgan Stanley Senior Funding, Inc., Barclays Bank plc and Antares Capital LP, as joint lead arrangers and joint bookrunners and the other lenders from time to time party thereto (as amended from time to time, the “second lien credit agreement”).</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second lien credit agreement provides for $370.0 million initial term loan facility, maturing on February 1, 2027 of which none was outstanding as of September 30, 2020. In connection with the IPO, we used a portion of the net proceeds of the IPO to prepay in full all outstanding indebtedness under the second lien credit agreement and terminated the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7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following is a description of the material terms of, and is qualified in its entirety by, our amended and restated certificate of incorporation and amended and restated bylaws, each of which is filed as an exhibit to the registration statement of which this prospectus forms a part. Under “Description of Capital Stock,” “we,” “us,” “our,” the “Company” and “our Company” refer to ZoomInfo Technologies Inc. and not to any of its subsidiaries.</w:t>
      </w:r>
    </w:p>
    <w:p>
      <w:pPr>
        <w:spacing w:after="0" w:line="10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Our purpose is to engage in any lawful act or activity for which corporations may be organized under the DGCL. 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No shares of preferred stock have been issued or are currently outstanding. Unless our board of directors determines otherwise, we will issue all shares of our capital stock in uncertificated form.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71"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the certificate of incorporation, any amendment to the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and Class C common stock will be entitled to receive pro rata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95" w:name="page196"/>
    <w:bookmarkEnd w:id="195"/>
    <w:p>
      <w:pPr>
        <w:jc w:val="both"/>
        <w:ind w:firstLine="309"/>
        <w:spacing w:after="0" w:line="259"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to which this prospectus relates will be fully paid and non-assessable. The Class A common stock is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 See “Certain Relationships and Related Person Transactions—ZoomInfo OpCo Amended and Restated Limited Liability Company Agreement” and “Certain Relationships and Related Person Transactions—ZoomInfo HoldCo Amended and Restated Limited Liability Company Agreement.”</w:t>
      </w:r>
    </w:p>
    <w:p>
      <w:pPr>
        <w:spacing w:after="0" w:line="1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Shares of Class B common stock are not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C Common Stock</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shares of Class A common stock and Class C common stock are identical in all respects, except for voting rights, certain conversion rights and transfer restrictions in respect of the shares of Class C common stock, as described below.</w:t>
      </w:r>
    </w:p>
    <w:p>
      <w:pPr>
        <w:spacing w:after="0" w:line="112"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Holders of shares of our Class C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13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outstanding shares of Class C common stock are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96" w:name="page197"/>
    <w:bookmarkEnd w:id="196"/>
    <w:p>
      <w:pPr>
        <w:jc w:val="both"/>
        <w:spacing w:after="0" w:line="279" w:lineRule="auto"/>
        <w:rPr>
          <w:sz w:val="20"/>
          <w:szCs w:val="20"/>
          <w:color w:val="auto"/>
        </w:rPr>
      </w:pPr>
      <w:r>
        <w:rPr>
          <w:rFonts w:ascii="Arial" w:cs="Arial" w:eastAsia="Arial" w:hAnsi="Arial"/>
          <w:sz w:val="17"/>
          <w:szCs w:val="17"/>
          <w:color w:val="auto"/>
        </w:rPr>
        <w:t>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1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All outstanding shares of our Class C common stock are fully paid and non-assessable. The Class C common stock is not subject to further calls or assessments by us. Holders of shares of our Class C common stock do not have preemptive, subscription or redemption rights. There is no redemption or sinking fund provisions applicable to the Class C common stock. The rights, powers, preferences and privileges of holders of our Class C common stock is subject to those of the holders of any shares of our preferred stock or any other series or class of stock we may authorize and issue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5" w:lineRule="exact"/>
        <w:rPr>
          <w:sz w:val="20"/>
          <w:szCs w:val="20"/>
          <w:color w:val="auto"/>
        </w:rPr>
      </w:pPr>
    </w:p>
    <w:p>
      <w:pPr>
        <w:ind w:left="620" w:hanging="308"/>
        <w:spacing w:after="0"/>
        <w:tabs>
          <w:tab w:leader="none" w:pos="6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65" w:lineRule="exact"/>
        <w:rPr>
          <w:rFonts w:ascii="Arial" w:cs="Arial" w:eastAsia="Arial" w:hAnsi="Arial"/>
          <w:sz w:val="17"/>
          <w:szCs w:val="17"/>
          <w:color w:val="auto"/>
        </w:rPr>
      </w:pPr>
    </w:p>
    <w:p>
      <w:pPr>
        <w:ind w:left="620" w:hanging="308"/>
        <w:spacing w:after="0" w:line="311" w:lineRule="auto"/>
        <w:tabs>
          <w:tab w:leader="none" w:pos="61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89" w:lineRule="exact"/>
        <w:rPr>
          <w:rFonts w:ascii="Arial" w:cs="Arial" w:eastAsia="Arial" w:hAnsi="Arial"/>
          <w:sz w:val="16"/>
          <w:szCs w:val="16"/>
          <w:color w:val="auto"/>
        </w:rPr>
      </w:pPr>
    </w:p>
    <w:p>
      <w:pPr>
        <w:ind w:left="620" w:hanging="308"/>
        <w:spacing w:after="0"/>
        <w:tabs>
          <w:tab w:leader="none" w:pos="6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 on shares of such series;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redemption of shares of the series;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our affairs or other event;</w:t>
      </w:r>
    </w:p>
    <w:p>
      <w:pPr>
        <w:spacing w:after="0" w:line="112"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2" w:lineRule="exact"/>
        <w:rPr>
          <w:rFonts w:ascii="Arial" w:cs="Arial" w:eastAsia="Arial" w:hAnsi="Arial"/>
          <w:sz w:val="17"/>
          <w:szCs w:val="17"/>
          <w:color w:val="auto"/>
        </w:rPr>
      </w:pPr>
    </w:p>
    <w:p>
      <w:pPr>
        <w:ind w:left="620" w:hanging="308"/>
        <w:spacing w:after="0"/>
        <w:tabs>
          <w:tab w:leader="none" w:pos="6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of our capital stock;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b w:val="1"/>
          <w:bCs w:val="1"/>
          <w:color w:val="auto"/>
        </w:rPr>
        <w:t>Dividends</w:t>
      </w:r>
    </w:p>
    <w:p>
      <w:pPr>
        <w:spacing w:after="0" w:line="171"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Stockholder Meetings</w:t>
      </w:r>
    </w:p>
    <w:p>
      <w:pPr>
        <w:spacing w:after="0" w:line="171"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84" w:lineRule="exact"/>
        <w:rPr>
          <w:sz w:val="20"/>
          <w:szCs w:val="20"/>
          <w:color w:val="auto"/>
        </w:rPr>
      </w:pPr>
    </w:p>
    <w:p>
      <w:pPr>
        <w:ind w:right="720"/>
        <w:spacing w:after="0" w:line="286"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107"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Multi-Class Structure</w:t>
      </w:r>
    </w:p>
    <w:p>
      <w:pPr>
        <w:spacing w:after="0" w:line="16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As described above in “—Common Stock,” our amended and restated certificate of incorporation provides for a multi-class common stock structure, under which each share of our Class A common stock has one vote per share while each share of our Class B common stock and Class C common stock has ten votes per share until such time as the aggregate number of outstanding shares of our Class B common stock and Class C common stock is less than 5% of the aggregate number of our outstanding shares of common stock. Because of this multi-class structure, certain of our stockholders will be able to control all matters submitted to our stockholders for approval, even if they own significantly less than 50% of the shares of our outstanding common stock. This concentrated control could discourage others from initiating a potential merger, takeover or other change of control transaction that other stockholders may view as beneficial.</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 of Directors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amended and restated certificate of incorporation provides that, subject to the rights of holders of any series of preferred stock, our board of directors is divided into three classes of directors, as nearly equal in number as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98" w:name="page199"/>
    <w:bookmarkEnd w:id="198"/>
    <w:p>
      <w:pPr>
        <w:jc w:val="both"/>
        <w:spacing w:after="0" w:line="259" w:lineRule="auto"/>
        <w:rPr>
          <w:sz w:val="20"/>
          <w:szCs w:val="20"/>
          <w:color w:val="auto"/>
        </w:rPr>
      </w:pPr>
      <w:r>
        <w:rPr>
          <w:rFonts w:ascii="Arial" w:cs="Arial" w:eastAsia="Arial" w:hAnsi="Arial"/>
          <w:sz w:val="17"/>
          <w:szCs w:val="17"/>
          <w:color w:val="auto"/>
        </w:rPr>
        <w:t>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23" w:lineRule="exact"/>
        <w:rPr>
          <w:sz w:val="20"/>
          <w:szCs w:val="20"/>
          <w:color w:val="auto"/>
        </w:rPr>
      </w:pPr>
    </w:p>
    <w:p>
      <w:pPr>
        <w:ind w:left="620" w:hanging="308"/>
        <w:spacing w:after="0" w:line="279" w:lineRule="auto"/>
        <w:tabs>
          <w:tab w:leader="none" w:pos="61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9" w:lineRule="exact"/>
        <w:rPr>
          <w:rFonts w:ascii="Arial" w:cs="Arial" w:eastAsia="Arial" w:hAnsi="Arial"/>
          <w:sz w:val="17"/>
          <w:szCs w:val="17"/>
          <w:color w:val="auto"/>
        </w:rPr>
      </w:pPr>
    </w:p>
    <w:p>
      <w:pPr>
        <w:ind w:left="620" w:hanging="308"/>
        <w:spacing w:after="0" w:line="319" w:lineRule="auto"/>
        <w:tabs>
          <w:tab w:leader="none" w:pos="61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79"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amended and restated certificate of incorporation provides that our Sponsors and their affiliates and any of their respective direct or indirect transferees, and any group as to which such persons are a party, do not constitute “interested stockholders” for purposes of this provision.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 Vacancies and Newly Created Directorships</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99" w:name="page200"/>
    <w:bookmarkEnd w:id="199"/>
    <w:p>
      <w:pPr>
        <w:jc w:val="both"/>
        <w:spacing w:after="0" w:line="257" w:lineRule="auto"/>
        <w:rPr>
          <w:sz w:val="20"/>
          <w:szCs w:val="20"/>
          <w:color w:val="auto"/>
        </w:rPr>
      </w:pPr>
      <w:r>
        <w:rPr>
          <w:rFonts w:ascii="Arial" w:cs="Arial" w:eastAsia="Arial" w:hAnsi="Arial"/>
          <w:sz w:val="17"/>
          <w:szCs w:val="17"/>
          <w:color w:val="auto"/>
        </w:rPr>
        <w:t>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Nominations and Stockholder Proposals</w:t>
      </w:r>
    </w:p>
    <w:p>
      <w:pPr>
        <w:spacing w:after="0" w:line="165" w:lineRule="exact"/>
        <w:rPr>
          <w:sz w:val="20"/>
          <w:szCs w:val="20"/>
          <w:color w:val="auto"/>
        </w:rPr>
      </w:pPr>
    </w:p>
    <w:p>
      <w:pPr>
        <w:jc w:val="both"/>
        <w:ind w:firstLine="309"/>
        <w:spacing w:after="0" w:line="255"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00" w:name="page201"/>
    <w:bookmarkEnd w:id="200"/>
    <w:p>
      <w:pPr>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130"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98" w:lineRule="exact"/>
        <w:rPr>
          <w:sz w:val="20"/>
          <w:szCs w:val="20"/>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 requiring a 66⅔% supermajority vote for stockholders to amend our amended and restated bylaws;</w:t>
      </w:r>
    </w:p>
    <w:p>
      <w:pPr>
        <w:spacing w:after="0" w:line="197"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provisions regarding entering into business combinations with interested stockholders;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provision regarding forum selection; and</w:t>
      </w:r>
    </w:p>
    <w:p>
      <w:pPr>
        <w:spacing w:after="0" w:line="132" w:lineRule="exact"/>
        <w:rPr>
          <w:rFonts w:ascii="Arial" w:cs="Arial" w:eastAsia="Arial" w:hAnsi="Arial"/>
          <w:sz w:val="17"/>
          <w:szCs w:val="17"/>
          <w:color w:val="auto"/>
        </w:rPr>
      </w:pPr>
    </w:p>
    <w:p>
      <w:pPr>
        <w:ind w:left="620" w:hanging="308"/>
        <w:spacing w:after="0"/>
        <w:tabs>
          <w:tab w:leader="none" w:pos="6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66⅔% supermajority vote.</w:t>
      </w:r>
    </w:p>
    <w:p>
      <w:pPr>
        <w:spacing w:after="0" w:line="19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8"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01" w:name="page202"/>
    <w:bookmarkEnd w:id="201"/>
    <w:p>
      <w:pPr>
        <w:jc w:val="both"/>
        <w:spacing w:after="0" w:line="279" w:lineRule="auto"/>
        <w:rPr>
          <w:sz w:val="20"/>
          <w:szCs w:val="20"/>
          <w:color w:val="auto"/>
        </w:rPr>
      </w:pPr>
      <w:r>
        <w:rPr>
          <w:rFonts w:ascii="Arial" w:cs="Arial" w:eastAsia="Arial" w:hAnsi="Arial"/>
          <w:sz w:val="17"/>
          <w:szCs w:val="17"/>
          <w:color w:val="auto"/>
        </w:rPr>
        <w:t>fluctuations in the market price of our shares that could result from actual or rumored takeover attempts. Such provisions may also have the effect of preventing changes in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Derivative Actions</w:t>
      </w:r>
    </w:p>
    <w:p>
      <w:pPr>
        <w:spacing w:after="0" w:line="17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71" w:lineRule="exact"/>
        <w:rPr>
          <w:sz w:val="20"/>
          <w:szCs w:val="20"/>
          <w:color w:val="auto"/>
        </w:rPr>
      </w:pPr>
    </w:p>
    <w:p>
      <w:pPr>
        <w:jc w:val="both"/>
        <w:ind w:firstLine="309"/>
        <w:spacing w:after="0" w:line="293"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an alternative forum, the Court of Chancery of the State of Delaware will, to the fullest extent permitted by law, be the sole and exclusive forum for any (1) derivative action or proceeding brought on behalf of our Company, (2) action asserting a claim of breach of a fiduciary duty owed by any current or former director, officer, stockholder or employee of our Company to our Company or our Company’s stockholders, (3) action asserting a claim arising under any provision of the DGCL, our amended and restated certificate of incorporation or our amended and restated bylaws or as to which the DGCL confers jurisdiction on the Court of Chancery of the State of Delaware, or (4)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71" w:lineRule="exact"/>
        <w:rPr>
          <w:sz w:val="20"/>
          <w:szCs w:val="20"/>
          <w:color w:val="auto"/>
        </w:rPr>
      </w:pPr>
    </w:p>
    <w:p>
      <w:pPr>
        <w:jc w:val="both"/>
        <w:ind w:firstLine="309"/>
        <w:spacing w:after="0" w:line="292" w:lineRule="auto"/>
        <w:rPr>
          <w:sz w:val="20"/>
          <w:szCs w:val="20"/>
          <w:color w:val="auto"/>
        </w:rPr>
      </w:pPr>
      <w:r>
        <w:rPr>
          <w:rFonts w:ascii="Arial" w:cs="Arial" w:eastAsia="Arial" w:hAnsi="Arial"/>
          <w:sz w:val="15"/>
          <w:szCs w:val="15"/>
          <w:color w:val="auto"/>
        </w:rPr>
        <w:t>Delaware law permits corporations to adopt provisions renouncing any interest or expectancy in certain opportunities that are presented to the corporation or its officers, directors or stockholders. Our amended and restated certificate of incorporation renounces, to the maximum extent permitted from time to time by Delaware law,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has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Sponsors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02" w:name="page203"/>
    <w:bookmarkEnd w:id="202"/>
    <w:p>
      <w:pPr>
        <w:jc w:val="both"/>
        <w:spacing w:after="0" w:line="290" w:lineRule="auto"/>
        <w:rPr>
          <w:sz w:val="20"/>
          <w:szCs w:val="20"/>
          <w:color w:val="auto"/>
        </w:rPr>
      </w:pPr>
      <w:r>
        <w:rPr>
          <w:rFonts w:ascii="Arial" w:cs="Arial" w:eastAsia="Arial" w:hAnsi="Arial"/>
          <w:sz w:val="16"/>
          <w:szCs w:val="16"/>
          <w:color w:val="auto"/>
        </w:rPr>
        <w:t>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17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3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There is currently no pending material litigation or proceeding involving any of our directors, officers or employees for which indemnification is sought.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transfer agent and registrar for shares of our Class A common stock is Equiniti Trust Company.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Our Class A common stock is listed on the Nasdaq under the symbol “ZI.” We do not anticipate listing our Class B common stock or Class C common stock on any stock market or exchange.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7"/>
          <w:szCs w:val="17"/>
          <w:b w:val="1"/>
          <w:bCs w:val="1"/>
          <w:color w:val="auto"/>
        </w:rPr>
        <w:t>CERTAIN U.S. FEDERAL INCOME AND ESTATE TAX CONSEQUENCES TO NON-U.S. HOLDERS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12" w:lineRule="exact"/>
        <w:rPr>
          <w:sz w:val="20"/>
          <w:szCs w:val="20"/>
          <w:color w:val="auto"/>
        </w:rPr>
      </w:pPr>
    </w:p>
    <w:p>
      <w:pPr>
        <w:ind w:left="620" w:hanging="308"/>
        <w:spacing w:after="0"/>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65"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165" w:lineRule="exact"/>
        <w:rPr>
          <w:rFonts w:ascii="Arial" w:cs="Arial" w:eastAsia="Arial" w:hAnsi="Arial"/>
          <w:sz w:val="17"/>
          <w:szCs w:val="17"/>
          <w:color w:val="auto"/>
        </w:rPr>
      </w:pPr>
    </w:p>
    <w:p>
      <w:pPr>
        <w:jc w:val="both"/>
        <w:ind w:left="620" w:hanging="308"/>
        <w:spacing w:after="0" w:line="266" w:lineRule="auto"/>
        <w:tabs>
          <w:tab w:leader="none" w:pos="61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23"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1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17"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04" w:name="page205"/>
    <w:bookmarkEnd w:id="204"/>
    <w:p>
      <w:pPr>
        <w:jc w:val="both"/>
        <w:spacing w:after="0" w:line="266" w:lineRule="auto"/>
        <w:rPr>
          <w:sz w:val="20"/>
          <w:szCs w:val="20"/>
          <w:color w:val="auto"/>
        </w:rPr>
      </w:pPr>
      <w:r>
        <w:rPr>
          <w:rFonts w:ascii="Arial" w:cs="Arial" w:eastAsia="Arial" w:hAnsi="Arial"/>
          <w:sz w:val="17"/>
          <w:szCs w:val="17"/>
          <w:color w:val="auto"/>
        </w:rPr>
        <w:t>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“—Gain on Disposition of Class A Common Stock”).</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for dividends will be required (a) to provide the applicable withholding agent with a properly executed IRS Form W-BEN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Class A Common Stock</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112" w:lineRule="exact"/>
        <w:rPr>
          <w:sz w:val="20"/>
          <w:szCs w:val="20"/>
          <w:color w:val="auto"/>
        </w:rPr>
      </w:pPr>
    </w:p>
    <w:p>
      <w:pPr>
        <w:ind w:left="620" w:hanging="308"/>
        <w:spacing w:after="0" w:line="279" w:lineRule="auto"/>
        <w:tabs>
          <w:tab w:leader="none" w:pos="61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that disposition, and certain other conditions are met; or</w:t>
      </w:r>
    </w:p>
    <w:p>
      <w:pPr>
        <w:spacing w:after="0" w:line="112"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United States federal income tax purposes and certain other conditions are met.</w:t>
      </w:r>
    </w:p>
    <w:p>
      <w:pPr>
        <w:spacing w:after="0" w:line="11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05" w:name="page206"/>
    <w:bookmarkEnd w:id="205"/>
    <w:p>
      <w:pPr>
        <w:jc w:val="both"/>
        <w:spacing w:after="0" w:line="279" w:lineRule="auto"/>
        <w:rPr>
          <w:sz w:val="20"/>
          <w:szCs w:val="20"/>
          <w:color w:val="auto"/>
        </w:rPr>
      </w:pPr>
      <w:r>
        <w:rPr>
          <w:rFonts w:ascii="Arial" w:cs="Arial" w:eastAsia="Arial" w:hAnsi="Arial"/>
          <w:sz w:val="17"/>
          <w:szCs w:val="17"/>
          <w:color w:val="auto"/>
        </w:rPr>
        <w:t>federal income tax purposes). We believe we are not and do not anticipate becoming a “United States real property holding corporation” for United States federal income tax purposes.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Requirements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171"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 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0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Upon the completion of this offering, we will have a total of 81,740,501 shares of our Class A common stock outstanding (or 83,615,501 shares of our Class A common stock if the underwriters exercise in full their option to purchase additional shares of Class A common stock). Of these shares, all of the shares of our Class A common stock sold in this offering, the IPO, and the Secondary Offering (totaling 63,675,000 shares of our Class A common stock)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remaining shares of our Class A common stock will be “restricted securities,” as defined in Rule 144, and may not be sold absent registration under the Securities Act or compliance with Rule 144 thereunder or in reliance on another exemption from registration.</w:t>
      </w:r>
    </w:p>
    <w:p>
      <w:pPr>
        <w:spacing w:after="0" w:line="132"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In addition, subject to certain limitations and exceptions, pursuant to the terms of the amended and restated limited liability company agreement of ZoomInfo OpCo or ZoomInfo HoldCo, holders of OpCo Units or HoldCo Units may (subject to the terms of the applicable limited liability company agreement) exchange OpCo Units or HoldCo Units (together with a corresponding number of shares of Class B common stock), as applicable, for shares of our Class A common stock on a one-for-one basis, subject to customary conversion rate adjustments for stock splits, stock dividends, and reclassifications.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under certain circumstances, subject to certain exceptions. As of October 31, 2020, after giving effect to this offering, the Pre-IPO OpCo Unitholders and the Pre-IPO HoldCo Unitholders would have held 216,534,801 OpCo Units and 4,200,425 HoldCo Units, respectively, all of which are exchangeable for shares of our Class A common stock, and the Pre-IPO Blocker Holders would have held 86,835,289 shares of Class C common stock, all of which are convertible into shares of our Class A common stock. 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 Moreover, as a result of the registration rights agreement, all or a portion of these shares may be eligible for future sale without restriction, subject to the lock-up arrangements described below. See “—Registration Rights” and “Certain Relationships and Related Person Transactions—Registration Rights Agreement.”</w:t>
      </w:r>
    </w:p>
    <w:p>
      <w:pPr>
        <w:spacing w:after="0" w:line="120"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Subject to certain limitations and exceptions, pursuant to the terms of the amended and restated limited liability company agreement of ZoomInfo OpCo, the holders of 14,383,955 Class P Units, which have a weighted-average per unit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the strike price) of $5.53 per Class P Unit, are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18,650,000 shares of Class A common stock may be granted under the 2020 Plan. In connection with the IPO, 513,440 restricted stock units, 47,620 LTIP Units, 577,879 stock options, which we refer to as “leverage restoration options,” with a strike price equal to the public offering price per share of Class A common stock, and 630,000 Class P Units with a participation threshold (</w:t>
      </w:r>
      <w:r>
        <w:rPr>
          <w:rFonts w:ascii="Arial" w:cs="Arial" w:eastAsia="Arial" w:hAnsi="Arial"/>
          <w:sz w:val="17"/>
          <w:szCs w:val="17"/>
          <w:i w:val="1"/>
          <w:iCs w:val="1"/>
          <w:color w:val="auto"/>
        </w:rPr>
        <w:t>i</w:t>
      </w:r>
      <w:r>
        <w:rPr>
          <w:rFonts w:ascii="Arial" w:cs="Arial" w:eastAsia="Arial" w:hAnsi="Arial"/>
          <w:sz w:val="17"/>
          <w:szCs w:val="17"/>
          <w:color w:val="auto"/>
        </w:rPr>
        <w:t>.</w:t>
      </w:r>
      <w:r>
        <w:rPr>
          <w:rFonts w:ascii="Arial" w:cs="Arial" w:eastAsia="Arial" w:hAnsi="Arial"/>
          <w:sz w:val="17"/>
          <w:szCs w:val="17"/>
          <w:i w:val="1"/>
          <w:iCs w:val="1"/>
          <w:color w:val="auto"/>
        </w:rPr>
        <w:t>e</w:t>
      </w:r>
      <w:r>
        <w:rPr>
          <w:rFonts w:ascii="Arial" w:cs="Arial" w:eastAsia="Arial" w:hAnsi="Arial"/>
          <w:sz w:val="17"/>
          <w:szCs w:val="17"/>
          <w:color w:val="auto"/>
        </w:rPr>
        <w:t>., strike price) equal to the initial public offering price per share of Class A common stock in the IPO were granted under the 2020 Plan. See “Executive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07" w:name="page208"/>
    <w:bookmarkEnd w:id="207"/>
    <w:p>
      <w:pPr>
        <w:jc w:val="both"/>
        <w:spacing w:after="0" w:line="261" w:lineRule="auto"/>
        <w:rPr>
          <w:sz w:val="20"/>
          <w:szCs w:val="20"/>
          <w:color w:val="auto"/>
        </w:rPr>
      </w:pPr>
      <w:r>
        <w:rPr>
          <w:rFonts w:ascii="Arial" w:cs="Arial" w:eastAsia="Arial" w:hAnsi="Arial"/>
          <w:sz w:val="17"/>
          <w:szCs w:val="17"/>
          <w:color w:val="auto"/>
        </w:rPr>
        <w:t>Compensation—Compensation Arrangements Adopted in Connection with the IPO—2020 Omnibus Incentive Plan.” We have filed a registration statement on Form S-8 under the Securities Act to register shares of Class A common stock or securities convertible into or exchangeable for shares of Class A common stock issued under or covered by the 2020 Plan. Such Form S-8 registration statement automatically became effective upon filing. Accordingly, shares of Class A common stock registered under such registration statements are available for sale in the open market.</w:t>
      </w:r>
    </w:p>
    <w:p>
      <w:pPr>
        <w:spacing w:after="0" w:line="128"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liability company agreements of ZoomInfo OpCo and ZoomInfo HoldCo permit ZoomInfo OpCo and ZoomInfo HoldCo, respectively, to issue an unlimited number of additional limited liability company interests of ZoomInfo OpCo or ZoomInfo HoldCo, as applicable, with designations, preferences, rights, powers, and duties that are different from, and may be senior to, those applicable to the OpCo Units or the HoldCo Units, as applicable, and which may be exchangeable for shares of our Class A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connection with the IPO, we entered into a registration rights agreement with certain of our pre-IPO owners pursuant to which we granted them and their affiliates the right, under certain circumstances and subject to certain restrictions, to require us to register under the Securities Act shares of Class A common stock delivered in exchange for OpCo Units or HoldCo Units, as applicable, or upon the conversion of shares of Class C common stock. Following completion of this offering and assuming exchange of all OpCo Units and HoldCo Units held by the Pre-IPO OpCo Unitholders and the Pre-IPO HoldCo Unitholders, respectively, and conversion of all shares of Class C common stock held by the Pre-IPO Blocker Holders, the shares covered by registration rights represent approximately 76.1% of our outstanding Class A common stock (or 75.6%, if the underwriters exercise in full their option to purchase additional shares), assuming exchange of all OpCo Units and HoldCo Units and conversion of all shares of our Class C common stock. These shares also may be sold under Rule 144 under the Securities Act, depending on their holding period and subject to restrictions in the case of shares held by persons deemed to be our affiliates. See “Certain Relationships and Related Person Transactions—Registration Rights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71"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We, our executive officers, our directors, the holders of all of our Class C common stock, the holders of substantially all of our outstanding OpCo Units, and certain holders of our HoldCo Units have agreed, subject to enumerated exceptions, that we and they will not offer, sell, contract to sell or otherwise dispose of, directly or indirectly, any shares of our Class A common stock or securities convertible into or exercisable or exchangeable for shares of our Class A common stock, including our Class B and Class C common stock, or enter into any swap or other arrangement that transfers to another, in whole or in part, any of the economic consequences of ownership of our Class A common stock, whether any of these transactions are to be settled by delivery of our Class A common stock or other securities, in cash or otherwise, or publicly disclose the intention to undertake any of the foregoing, without, in each case, the prior written consent of certain underwriters for a period of 60 days from the date of this prospectus. The lock-up agreements do not preclude holders of OpCo Units or HoldCo Units from exchanging such units (together with a corresponding number of shares of our Class B common stock) for shares of our Class A common stock or holders of shares of Class C common stock from converting such shares into shares of our Class A common stock, provided that shares of Class A common stock acquired in connection with any such exchanges or conversions, as applicable, will be subject to the restrictions provided for in the lock-up agreements. For a discussion of the exceptions to the lock-up agreements, see “Underwriting.”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08" w:name="page209"/>
    <w:bookmarkEnd w:id="208"/>
    <w:p>
      <w:pPr>
        <w:spacing w:after="0"/>
        <w:rPr>
          <w:sz w:val="20"/>
          <w:szCs w:val="20"/>
          <w:color w:val="auto"/>
        </w:rPr>
      </w:pPr>
      <w:r>
        <w:rPr>
          <w:rFonts w:ascii="Arial" w:cs="Arial" w:eastAsia="Arial" w:hAnsi="Arial"/>
          <w:sz w:val="17"/>
          <w:szCs w:val="17"/>
          <w:b w:val="1"/>
          <w:bCs w:val="1"/>
          <w:color w:val="auto"/>
        </w:rPr>
        <w:t>Rule 144</w:t>
      </w:r>
    </w:p>
    <w:p>
      <w:pPr>
        <w:spacing w:after="0" w:line="171"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on the Nasdaq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2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7"/>
          <w:szCs w:val="17"/>
          <w:b w:val="1"/>
          <w:bCs w:val="1"/>
          <w:color w:val="auto"/>
        </w:rPr>
        <w:t>UNDERWRITING</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J.P. Morgan Securities LLC and Morgan Stanley &amp; Co. LLC are acting as representatives, have severally agreed to purchase, and the selling stockholders have agreed to sell to them, the number of shares of Class A common stock indicated below:</w:t>
      </w:r>
    </w:p>
    <w:p>
      <w:pPr>
        <w:spacing w:after="0" w:line="151" w:lineRule="exact"/>
        <w:rPr>
          <w:sz w:val="20"/>
          <w:szCs w:val="20"/>
          <w:color w:val="auto"/>
        </w:rPr>
      </w:pPr>
    </w:p>
    <w:p>
      <w:pPr>
        <w:ind w:left="20"/>
        <w:spacing w:after="0"/>
        <w:tabs>
          <w:tab w:leader="none" w:pos="98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390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J.P. Morgan Securities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8670" cy="1714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the selling stockholders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 The underwriting agreement also provides that if an underwriter defaults, the purchase commitments of non-defaulting underwriters may also be increased or the offering may be terminated.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this prospectus and part to certain dealers at a price that represents a concession not in excess of $ per share under the public offering price. After the initial offering of the shares of Class A common stock, the offering price and other selling terms may from time to time be varied by the representatives. Sales of shares of Class A common stock made outside of the United States may be made by affiliates of the underwriters.</w:t>
      </w:r>
    </w:p>
    <w:p>
      <w:pPr>
        <w:spacing w:after="0" w:line="129"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selling stockholders have granted to the underwriters an option, exercisable for 30 days from the date of this prospectus, to purchase up to 1,875,000 additional shares of Class A common stock at the public offering price listed on the cover page of this prospectus, less the underwriting discount.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17"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The following table shows the per share and total public offering price, the underwriting discount and proceeds to the selling stockholders. These amounts are shown assuming both no exercise and full exercise of the underwriters’ option to purchase up to an additional 1,875,000 shares of Class A common stock.</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391"/>
              <w:spacing w:after="0"/>
              <w:rPr>
                <w:sz w:val="20"/>
                <w:szCs w:val="20"/>
                <w:color w:val="auto"/>
              </w:rPr>
            </w:pPr>
            <w:r>
              <w:rPr>
                <w:rFonts w:ascii="Arial" w:cs="Arial" w:eastAsia="Arial" w:hAnsi="Arial"/>
                <w:sz w:val="14"/>
                <w:szCs w:val="14"/>
                <w:b w:val="1"/>
                <w:bCs w:val="1"/>
                <w:color w:val="auto"/>
              </w:rPr>
              <w:t>Total</w:t>
            </w:r>
          </w:p>
        </w:tc>
      </w:tr>
      <w:tr>
        <w:trPr>
          <w:trHeight w:val="179"/>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No Exercise</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Full Exercise</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1560" w:type="dxa"/>
            <w:vAlign w:val="bottom"/>
            <w:shd w:val="clear" w:color="auto" w:fill="CCEEFF"/>
          </w:tcPr>
          <w:p>
            <w:pPr>
              <w:jc w:val="right"/>
              <w:ind w:right="1378"/>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8"/>
              <w:spacing w:after="0"/>
              <w:rPr>
                <w:sz w:val="20"/>
                <w:szCs w:val="20"/>
                <w:color w:val="auto"/>
              </w:rPr>
            </w:pPr>
            <w:r>
              <w:rPr>
                <w:rFonts w:ascii="Arial" w:cs="Arial" w:eastAsia="Arial" w:hAnsi="Arial"/>
                <w:sz w:val="17"/>
                <w:szCs w:val="17"/>
                <w:color w:val="auto"/>
                <w:w w:val="84"/>
              </w:rPr>
              <w:t>$</w:t>
            </w:r>
          </w:p>
        </w:tc>
        <w:tc>
          <w:tcPr>
            <w:tcW w:w="1920" w:type="dxa"/>
            <w:vAlign w:val="bottom"/>
            <w:gridSpan w:val="3"/>
            <w:shd w:val="clear" w:color="auto" w:fill="CCEEFF"/>
          </w:tcPr>
          <w:p>
            <w:pPr>
              <w:jc w:val="right"/>
              <w:ind w:right="1391"/>
              <w:spacing w:after="0"/>
              <w:rPr>
                <w:sz w:val="20"/>
                <w:szCs w:val="20"/>
                <w:color w:val="auto"/>
              </w:rPr>
            </w:pPr>
            <w:r>
              <w:rPr>
                <w:rFonts w:ascii="Arial" w:cs="Arial" w:eastAsia="Arial" w:hAnsi="Arial"/>
                <w:sz w:val="17"/>
                <w:szCs w:val="17"/>
                <w:color w:val="auto"/>
              </w:rPr>
              <w:t>$</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Underwriting discount to be paid by the selling stockholders</w:t>
            </w:r>
          </w:p>
        </w:tc>
        <w:tc>
          <w:tcPr>
            <w:tcW w:w="1560" w:type="dxa"/>
            <w:vAlign w:val="bottom"/>
          </w:tcPr>
          <w:p>
            <w:pPr>
              <w:jc w:val="right"/>
              <w:ind w:right="1378"/>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1300" w:type="dxa"/>
            <w:vAlign w:val="bottom"/>
          </w:tcPr>
          <w:p>
            <w:pPr>
              <w:jc w:val="right"/>
              <w:ind w:right="1118"/>
              <w:spacing w:after="0"/>
              <w:rPr>
                <w:sz w:val="20"/>
                <w:szCs w:val="20"/>
                <w:color w:val="auto"/>
              </w:rPr>
            </w:pPr>
            <w:r>
              <w:rPr>
                <w:rFonts w:ascii="Arial" w:cs="Arial" w:eastAsia="Arial" w:hAnsi="Arial"/>
                <w:sz w:val="17"/>
                <w:szCs w:val="17"/>
                <w:color w:val="auto"/>
                <w:w w:val="84"/>
              </w:rPr>
              <w:t>$</w:t>
            </w:r>
          </w:p>
        </w:tc>
        <w:tc>
          <w:tcPr>
            <w:tcW w:w="1920" w:type="dxa"/>
            <w:vAlign w:val="bottom"/>
            <w:gridSpan w:val="3"/>
          </w:tcPr>
          <w:p>
            <w:pPr>
              <w:jc w:val="right"/>
              <w:ind w:right="1391"/>
              <w:spacing w:after="0"/>
              <w:rPr>
                <w:sz w:val="20"/>
                <w:szCs w:val="20"/>
                <w:color w:val="auto"/>
              </w:rPr>
            </w:pPr>
            <w:r>
              <w:rPr>
                <w:rFonts w:ascii="Arial" w:cs="Arial" w:eastAsia="Arial" w:hAnsi="Arial"/>
                <w:sz w:val="17"/>
                <w:szCs w:val="17"/>
                <w:color w:val="auto"/>
              </w:rPr>
              <w:t>$</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the selling stockholders</w:t>
            </w:r>
          </w:p>
        </w:tc>
        <w:tc>
          <w:tcPr>
            <w:tcW w:w="1560" w:type="dxa"/>
            <w:vAlign w:val="bottom"/>
            <w:shd w:val="clear" w:color="auto" w:fill="CCEEFF"/>
          </w:tcPr>
          <w:p>
            <w:pPr>
              <w:jc w:val="right"/>
              <w:ind w:right="1378"/>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8"/>
              <w:spacing w:after="0"/>
              <w:rPr>
                <w:sz w:val="20"/>
                <w:szCs w:val="20"/>
                <w:color w:val="auto"/>
              </w:rPr>
            </w:pPr>
            <w:r>
              <w:rPr>
                <w:rFonts w:ascii="Arial" w:cs="Arial" w:eastAsia="Arial" w:hAnsi="Arial"/>
                <w:sz w:val="17"/>
                <w:szCs w:val="17"/>
                <w:color w:val="auto"/>
                <w:w w:val="84"/>
              </w:rPr>
              <w:t>$</w:t>
            </w:r>
          </w:p>
        </w:tc>
        <w:tc>
          <w:tcPr>
            <w:tcW w:w="1920" w:type="dxa"/>
            <w:vAlign w:val="bottom"/>
            <w:gridSpan w:val="3"/>
            <w:shd w:val="clear" w:color="auto" w:fill="CCEEFF"/>
          </w:tcPr>
          <w:p>
            <w:pPr>
              <w:jc w:val="right"/>
              <w:ind w:right="1391"/>
              <w:spacing w:after="0"/>
              <w:rPr>
                <w:sz w:val="20"/>
                <w:szCs w:val="20"/>
                <w:color w:val="auto"/>
              </w:rPr>
            </w:pPr>
            <w:r>
              <w:rPr>
                <w:rFonts w:ascii="Arial" w:cs="Arial" w:eastAsia="Arial" w:hAnsi="Arial"/>
                <w:sz w:val="17"/>
                <w:szCs w:val="17"/>
                <w:color w:val="auto"/>
              </w:rPr>
              <w:t>$</w:t>
            </w:r>
          </w:p>
        </w:tc>
      </w:tr>
    </w:tbl>
    <w:p>
      <w:pPr>
        <w:spacing w:after="0" w:line="142"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The estimated offering expenses payable by us, exclusive of the underwriting discount, are approximately $ . The selling stockholders will bear the underwriting discount attributable to their sale of shares of our Class A common stock and we will bear the remaining expenses. We have agreed to reimburse the</w:t>
      </w:r>
    </w:p>
    <w:tbl>
      <w:tblPr>
        <w:tblLayout w:type="fixed"/>
        <w:tblInd w:w="0" w:type="dxa"/>
        <w:tblCellMar>
          <w:top w:w="0" w:type="dxa"/>
          <w:left w:w="0" w:type="dxa"/>
          <w:bottom w:w="0" w:type="dxa"/>
          <w:right w:w="0" w:type="dxa"/>
        </w:tblCellMar>
      </w:tblPr>
      <w:tr>
        <w:trPr>
          <w:trHeight w:val="195"/>
        </w:trPr>
        <w:tc>
          <w:tcPr>
            <w:tcW w:w="8740" w:type="dxa"/>
            <w:vAlign w:val="bottom"/>
          </w:tcPr>
          <w:p>
            <w:pPr>
              <w:spacing w:after="0"/>
              <w:rPr>
                <w:sz w:val="20"/>
                <w:szCs w:val="20"/>
                <w:color w:val="auto"/>
              </w:rPr>
            </w:pPr>
            <w:r>
              <w:rPr>
                <w:rFonts w:ascii="Arial" w:cs="Arial" w:eastAsia="Arial" w:hAnsi="Arial"/>
                <w:sz w:val="17"/>
                <w:szCs w:val="17"/>
                <w:color w:val="auto"/>
                <w:w w:val="94"/>
              </w:rPr>
              <w:t>underwriters for expenses relating to clearance of this offering with the Financial Industry Regulatory Authority, Inc. up to $</w:t>
            </w:r>
          </w:p>
        </w:tc>
        <w:tc>
          <w:tcPr>
            <w:tcW w:w="2500" w:type="dxa"/>
            <w:vAlign w:val="bottom"/>
          </w:tcPr>
          <w:p>
            <w:pPr>
              <w:ind w:left="180"/>
              <w:spacing w:after="0"/>
              <w:rPr>
                <w:sz w:val="20"/>
                <w:szCs w:val="20"/>
                <w:color w:val="auto"/>
              </w:rPr>
            </w:pPr>
            <w:r>
              <w:rPr>
                <w:rFonts w:ascii="Arial" w:cs="Arial" w:eastAsia="Arial" w:hAnsi="Arial"/>
                <w:sz w:val="17"/>
                <w:szCs w:val="17"/>
                <w:color w:val="auto"/>
                <w:w w:val="90"/>
              </w:rPr>
              <w:t>. The underwriters have agreed to</w:t>
            </w:r>
          </w:p>
        </w:tc>
      </w:tr>
      <w:tr>
        <w:trPr>
          <w:trHeight w:val="217"/>
        </w:trPr>
        <w:tc>
          <w:tcPr>
            <w:tcW w:w="8740" w:type="dxa"/>
            <w:vAlign w:val="bottom"/>
          </w:tcPr>
          <w:p>
            <w:pPr>
              <w:spacing w:after="0"/>
              <w:rPr>
                <w:sz w:val="20"/>
                <w:szCs w:val="20"/>
                <w:color w:val="auto"/>
              </w:rPr>
            </w:pPr>
            <w:r>
              <w:rPr>
                <w:rFonts w:ascii="Arial" w:cs="Arial" w:eastAsia="Arial" w:hAnsi="Arial"/>
                <w:sz w:val="17"/>
                <w:szCs w:val="17"/>
                <w:color w:val="auto"/>
              </w:rPr>
              <w:t>reimburse us for certain expenses incurred by us in connection with this offering upon closing of the offering.</w:t>
            </w:r>
          </w:p>
        </w:tc>
        <w:tc>
          <w:tcPr>
            <w:tcW w:w="2500" w:type="dxa"/>
            <w:vAlign w:val="bottom"/>
          </w:tcPr>
          <w:p>
            <w:pPr>
              <w:spacing w:after="0"/>
              <w:rPr>
                <w:sz w:val="18"/>
                <w:szCs w:val="18"/>
                <w:color w:val="auto"/>
              </w:rPr>
            </w:pPr>
          </w:p>
        </w:tc>
      </w:tr>
      <w:tr>
        <w:trPr>
          <w:trHeight w:val="850"/>
        </w:trPr>
        <w:tc>
          <w:tcPr>
            <w:tcW w:w="8740" w:type="dxa"/>
            <w:vAlign w:val="bottom"/>
          </w:tcPr>
          <w:p>
            <w:pPr>
              <w:jc w:val="right"/>
              <w:ind w:right="2894"/>
              <w:spacing w:after="0"/>
              <w:rPr>
                <w:sz w:val="20"/>
                <w:szCs w:val="20"/>
                <w:color w:val="auto"/>
              </w:rPr>
            </w:pPr>
            <w:r>
              <w:rPr>
                <w:rFonts w:ascii="Arial" w:cs="Arial" w:eastAsia="Arial" w:hAnsi="Arial"/>
                <w:sz w:val="17"/>
                <w:szCs w:val="17"/>
                <w:color w:val="auto"/>
              </w:rPr>
              <w:t>204</w:t>
            </w:r>
          </w:p>
        </w:tc>
        <w:tc>
          <w:tcPr>
            <w:tcW w:w="2500" w:type="dxa"/>
            <w:vAlign w:val="bottom"/>
          </w:tcPr>
          <w:p>
            <w:pPr>
              <w:spacing w:after="0"/>
              <w:rPr>
                <w:sz w:val="24"/>
                <w:szCs w:val="24"/>
                <w:color w:val="auto"/>
              </w:rPr>
            </w:pPr>
          </w:p>
        </w:tc>
      </w:tr>
      <w:tr>
        <w:trPr>
          <w:trHeight w:val="651"/>
        </w:trPr>
        <w:tc>
          <w:tcPr>
            <w:tcW w:w="87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10" w:name="page211"/>
    <w:bookmarkEnd w:id="210"/>
    <w:p>
      <w:pPr>
        <w:jc w:val="both"/>
        <w:ind w:firstLine="309"/>
        <w:spacing w:after="0" w:line="279"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Class A common stock offered by them.</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Class A common stock is listed on the Nasdaq under the trading symbol “ZI.”</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our executive officers, our directors, the holders of all of our Class C common stock, the holders of substantially all of our outstanding OpCo Units, and certain holders of our HoldCo Units have agreed that, without the prior written consent of certain underwriters on behalf of the underwriters, we and they will not, during the period ending 60 days after the date of this prospectus (the “restricted period”):</w:t>
      </w:r>
    </w:p>
    <w:p>
      <w:pPr>
        <w:spacing w:after="0" w:line="123" w:lineRule="exact"/>
        <w:rPr>
          <w:sz w:val="20"/>
          <w:szCs w:val="20"/>
          <w:color w:val="auto"/>
        </w:rPr>
      </w:pPr>
    </w:p>
    <w:p>
      <w:pPr>
        <w:jc w:val="both"/>
        <w:ind w:left="620" w:hanging="308"/>
        <w:spacing w:after="0" w:line="261" w:lineRule="auto"/>
        <w:tabs>
          <w:tab w:leader="none" w:pos="61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including our Class B and Class C common stock (the “securities”), whether any such transaction is to be settled by delivery of such securities, in cash or otherwise;</w:t>
      </w:r>
    </w:p>
    <w:p>
      <w:pPr>
        <w:spacing w:after="0" w:line="128"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 our case, publicly file any registration statement with the SEC relating to the offering of any such securities;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or, in each case, publicly disclose the intention to undertake any of the foregoing. In addition, each such officer, director, stockholder, or unitholder has agreed that such person will not, without the prior written consent of J.P. Morgan Securities LLC and Morgan Stanley &amp; Co. LLC, during the restricted period, make any demand for, or exercise any right with respect to, the registration of any such securities.</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restrictions described in the immediately preceding paragraph are subject to certain exceptions, including customary exceptions related to open-market transactions in our Class A common stock, issuances or transfers in connection with incentive plans, establishment of, and transactions pursuant to, Rule 10b5-1 plans, exchanges of OpCo Units and HoldCo Units and corresponding number of shares of Class B common stock for shares of Class A common stock, and conversions of shares of Class C common stock into shares of Class A common stock.</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J.P. Morgan Securities LLC and Morgan Stanley &amp; Co. LLC, in their sole discretion, may release us or the securities of our officers, directors, stockholders, and unitholders subject to the lock-up agreements described above in whole or in part at any time.</w:t>
      </w:r>
    </w:p>
    <w:p>
      <w:pPr>
        <w:spacing w:after="0" w:line="112"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underwriters’ option to purchase additional shares. The underwriters can close out a covered short sale by exercising the option to purchase additional shares, in whole or in part, or purchasing shares in the open market. In determining the source of shares to close out a covered short sale, the underwriters will consider, among other things, the open-market price of shares compared to the price available under their option to purchases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in this offering. As an additional means of facilitating this offering, the underwriters may bid for, and purchase, shares of Class A common stock in the open market to stabilize the price of the Class A common stock. 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purchase common stock in the open market in stabilizing transactions or to cover short sales,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11" w:name="page212"/>
    <w:bookmarkEnd w:id="211"/>
    <w:p>
      <w:pPr>
        <w:jc w:val="both"/>
        <w:spacing w:after="0" w:line="261" w:lineRule="auto"/>
        <w:rPr>
          <w:sz w:val="20"/>
          <w:szCs w:val="20"/>
          <w:color w:val="auto"/>
        </w:rPr>
      </w:pPr>
      <w:r>
        <w:rPr>
          <w:rFonts w:ascii="Arial" w:cs="Arial" w:eastAsia="Arial" w:hAnsi="Arial"/>
          <w:sz w:val="17"/>
          <w:szCs w:val="17"/>
          <w:color w:val="auto"/>
        </w:rPr>
        <w:t>representatives can require the underwriters that sold those shares as part of this offering to repay the underwriting discount received by them.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The underwriters may carry out these transactions on the Nasdaq, in the over-the-counter market, or otherwise.</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the selling stockholders, and the underwriters have agreed to indemnify each other against certain liabilities, including liabilities under the Securities Act, or to contribute to payments that may be required to be made in respect of those liabilities.</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Class A common stock to underwriters and selling group members, if any, for sale to their online brokerage account holders. Internet distributions will be allocated by the representatives to underwriters and selling group members, if any, that may make internet distributions on the same basis as other allocations.</w:t>
      </w:r>
    </w:p>
    <w:p>
      <w:pPr>
        <w:spacing w:after="0" w:line="130"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respective affiliates, for which they received or will receive customary fees, commissions, and expenses. Certain of the underwriters or their respective affiliates are lenders under our first lien credit facilities, and an affiliate of Morgan Stanley &amp; Co. LLC acts as administrative agent and collateral agent under our first lien credit facilities. In addition, certain of the underwriters or their respective affiliates are, and from time to time may be, our customers.</w:t>
      </w:r>
    </w:p>
    <w:p>
      <w:pPr>
        <w:spacing w:after="0" w:line="132"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71"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Other than in the United States, no action has been taken by us, the underwriters, or the selling stockholders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 xml:space="preserve">The shares of our Class A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12" w:name="page213"/>
    <w:bookmarkEnd w:id="212"/>
    <w:p>
      <w:pPr>
        <w:jc w:val="both"/>
        <w:spacing w:after="0" w:line="279" w:lineRule="auto"/>
        <w:rPr>
          <w:sz w:val="20"/>
          <w:szCs w:val="20"/>
          <w:color w:val="auto"/>
        </w:rPr>
      </w:pPr>
      <w:r>
        <w:rPr>
          <w:rFonts w:ascii="Arial" w:cs="Arial" w:eastAsia="Arial" w:hAnsi="Arial"/>
          <w:sz w:val="17"/>
          <w:szCs w:val="17"/>
          <w:color w:val="auto"/>
        </w:rPr>
        <w:t>shares of our Class A common stock must be made in accordance with an exemption from, or in a transaction not subject to, the prospectus requirements of applicable securities laws.</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 xml:space="preserve">Pursuant to section 3A.3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 and United Kingdom</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offer to the public of any shares of our Class A common stock may be made in that Member State, except that an offer to the public in that Relevant State of any shares of our Class A common stock may be made at any time under the following exemptions under the Prospectus Directive:</w:t>
      </w:r>
    </w:p>
    <w:p>
      <w:pPr>
        <w:spacing w:after="0" w:line="123" w:lineRule="exact"/>
        <w:rPr>
          <w:sz w:val="20"/>
          <w:szCs w:val="20"/>
          <w:color w:val="auto"/>
        </w:rPr>
      </w:pPr>
    </w:p>
    <w:p>
      <w:pPr>
        <w:ind w:left="620" w:hanging="308"/>
        <w:spacing w:after="0"/>
        <w:tabs>
          <w:tab w:leader="none" w:pos="6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65" w:lineRule="exact"/>
        <w:rPr>
          <w:rFonts w:ascii="Arial" w:cs="Arial" w:eastAsia="Arial" w:hAnsi="Arial"/>
          <w:sz w:val="17"/>
          <w:szCs w:val="17"/>
          <w:color w:val="auto"/>
        </w:rPr>
      </w:pPr>
    </w:p>
    <w:p>
      <w:pPr>
        <w:ind w:left="620" w:hanging="308"/>
        <w:spacing w:after="0" w:line="279" w:lineRule="auto"/>
        <w:tabs>
          <w:tab w:leader="none" w:pos="61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provided that no such offer of shares of our Class A common stock shall result in a requirement for the publication by us or any underwriter of a prospectus pursuant to Article 3 of the Prospectus Directive, or supplement a prospectus pursuant to Article 16 of the Prospectus Directive.</w:t>
      </w:r>
    </w:p>
    <w:p>
      <w:pPr>
        <w:spacing w:after="0" w:line="112"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Each person located in a Relevant State to whom any offer of shares of Class A common stock is made or who receives any communication in respect of an offer of shares of Class A common stock, or who initially acquires any shares of Class A common stock, will be deemed to have represented, warranted, acknowledged and agreed to and with us and each underwriter that (1) it is a “qualified investor” within the meaning of the law in that Relevant State implementing Article 2(1)(e) of the Prospectus Directive; and (2) in the case of any shares of Class A common stock acquired by it as a financial intermediary as that term is used in Article 3(2) of the Prospectus Directive, the shares of Class A common stock acquired by it in the offer have not been acquired on behalf of, nor have they been acquired with a view to their offer or resale to, persons in any Relevant State other than qualified investors, as that term is defined in the Prospectus Directive, or in circumstances in which the prior consent of the representatives has been given to the offer or resale, or where shares of Class A common stock have been acquired by it on behalf of persons in any Relevant State other than qualified investors, the offer of those shares of Class A common stock to it is not treated under the Prospectus Directive as having been made to such persons.</w:t>
      </w:r>
    </w:p>
    <w:p>
      <w:pPr>
        <w:spacing w:after="0" w:line="11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the underwriters and our and their respective affiliates will rely upon the truth and accuracy of the foregoing representations, acknowledgments and agreements.</w:t>
      </w:r>
    </w:p>
    <w:p>
      <w:pPr>
        <w:spacing w:after="0" w:line="11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This prospectus has been prepared on the basis that any offer of shares of Class A common stock in any Relevant State will be made pursuant to an exemption under the Prospectus Directive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any of underwriter to publish a prospectus pursuant to Article 3 of the Prospectus Directive in relation to such offer. Neither we nor the underwriters have authorized, nor do they authorize, the making of any offer of shares of Class 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13" w:name="page214"/>
    <w:bookmarkEnd w:id="213"/>
    <w:p>
      <w:pPr>
        <w:spacing w:after="0"/>
        <w:rPr>
          <w:sz w:val="20"/>
          <w:szCs w:val="20"/>
          <w:color w:val="auto"/>
        </w:rPr>
      </w:pPr>
      <w:r>
        <w:rPr>
          <w:rFonts w:ascii="Arial" w:cs="Arial" w:eastAsia="Arial" w:hAnsi="Arial"/>
          <w:sz w:val="17"/>
          <w:szCs w:val="17"/>
          <w:color w:val="auto"/>
        </w:rPr>
        <w:t>common stock in circumstances in which an obligation arises for us or the underwriters to publish a prospectus for such offer.</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For the purposes of this provision: (i) the expression an “offer to the public” in relation to any shares of our Class A common stock in any Relevant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Relevant State by any measure implementing the Prospectus Directive in that Relevant State; and (ii) the expression “Prospectus Directive” means Prospectus Regulation (EU) 2017/1129 (as amended) and includes any relevant implementing measure in each Relevant State.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underwriter has represented and agreed that:</w:t>
      </w:r>
    </w:p>
    <w:p>
      <w:pPr>
        <w:spacing w:after="0" w:line="165" w:lineRule="exact"/>
        <w:rPr>
          <w:sz w:val="20"/>
          <w:szCs w:val="20"/>
          <w:color w:val="auto"/>
        </w:rPr>
      </w:pPr>
    </w:p>
    <w:p>
      <w:pPr>
        <w:jc w:val="both"/>
        <w:ind w:left="620" w:hanging="308"/>
        <w:spacing w:after="0" w:line="317" w:lineRule="auto"/>
        <w:tabs>
          <w:tab w:leader="none" w:pos="617" w:val="left"/>
        </w:tabs>
        <w:numPr>
          <w:ilvl w:val="0"/>
          <w:numId w:val="136"/>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Class A common stock in circumstances in which Section 21(1) of the FSMA does not apply to us; and</w:t>
      </w:r>
    </w:p>
    <w:p>
      <w:pPr>
        <w:spacing w:after="0" w:line="89" w:lineRule="exact"/>
        <w:rPr>
          <w:rFonts w:ascii="Arial" w:cs="Arial" w:eastAsia="Arial" w:hAnsi="Arial"/>
          <w:sz w:val="15"/>
          <w:szCs w:val="15"/>
          <w:color w:val="auto"/>
        </w:rPr>
      </w:pPr>
    </w:p>
    <w:p>
      <w:pPr>
        <w:ind w:left="620" w:hanging="308"/>
        <w:spacing w:after="0" w:line="279" w:lineRule="auto"/>
        <w:tabs>
          <w:tab w:leader="none" w:pos="61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Class A common stock in, from or otherwise involving the United Kingdom.</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This prospectus is not intended to constitute an offer or solicitation to purchase or invest in our shares of Class A common stock. The shares of Class A common stock may not be publicly offered, directly or indirectly, in Switzerland within the meaning of the Swiss Financial Services Act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 offering or marketing material relating to the shares of Class A common stock may be publicly distributed or otherwise made publicly available in Switzerland.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Dubai International Financial Centre</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14" w:name="page215"/>
    <w:bookmarkEnd w:id="214"/>
    <w:p>
      <w:pPr>
        <w:jc w:val="both"/>
        <w:spacing w:after="0" w:line="261" w:lineRule="auto"/>
        <w:rPr>
          <w:sz w:val="20"/>
          <w:szCs w:val="20"/>
          <w:color w:val="auto"/>
        </w:rPr>
      </w:pPr>
      <w:r>
        <w:rPr>
          <w:rFonts w:ascii="Arial" w:cs="Arial" w:eastAsia="Arial" w:hAnsi="Arial"/>
          <w:sz w:val="17"/>
          <w:szCs w:val="17"/>
          <w:color w:val="auto"/>
        </w:rPr>
        <w:t>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Where the shares of our Class A common stock are subscribed or purchased under Section 275 of the SFA by a relevant person which is:</w:t>
      </w:r>
    </w:p>
    <w:p>
      <w:pPr>
        <w:spacing w:after="0" w:line="165" w:lineRule="exact"/>
        <w:rPr>
          <w:sz w:val="20"/>
          <w:szCs w:val="20"/>
          <w:color w:val="auto"/>
        </w:rPr>
      </w:pPr>
    </w:p>
    <w:p>
      <w:pPr>
        <w:ind w:left="620" w:hanging="308"/>
        <w:spacing w:after="0" w:line="279" w:lineRule="auto"/>
        <w:tabs>
          <w:tab w:leader="none" w:pos="61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2" w:lineRule="exact"/>
        <w:rPr>
          <w:rFonts w:ascii="Arial" w:cs="Arial" w:eastAsia="Arial" w:hAnsi="Arial"/>
          <w:sz w:val="17"/>
          <w:szCs w:val="17"/>
          <w:color w:val="auto"/>
        </w:rPr>
      </w:pPr>
    </w:p>
    <w:p>
      <w:pPr>
        <w:ind w:left="620" w:hanging="308"/>
        <w:spacing w:after="0" w:line="279" w:lineRule="auto"/>
        <w:tabs>
          <w:tab w:leader="none" w:pos="61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the sole purpose of which is to hold investments and each beneficiary of the trust is an individual who is an accredited investor;</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23" w:lineRule="exact"/>
        <w:rPr>
          <w:sz w:val="20"/>
          <w:szCs w:val="20"/>
          <w:color w:val="auto"/>
        </w:rPr>
      </w:pPr>
    </w:p>
    <w:p>
      <w:pPr>
        <w:ind w:left="620" w:hanging="308"/>
        <w:spacing w:after="0" w:line="279" w:lineRule="auto"/>
        <w:tabs>
          <w:tab w:leader="none" w:pos="61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12" w:lineRule="exact"/>
        <w:rPr>
          <w:rFonts w:ascii="Arial" w:cs="Arial" w:eastAsia="Arial" w:hAnsi="Arial"/>
          <w:sz w:val="17"/>
          <w:szCs w:val="17"/>
          <w:color w:val="auto"/>
        </w:rPr>
      </w:pPr>
    </w:p>
    <w:p>
      <w:pPr>
        <w:ind w:left="620" w:hanging="308"/>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165"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15" w:name="page216"/>
    <w:bookmarkEnd w:id="215"/>
    <w:p>
      <w:pPr>
        <w:jc w:val="both"/>
        <w:ind w:firstLine="309"/>
        <w:spacing w:after="0" w:line="307" w:lineRule="auto"/>
        <w:rPr>
          <w:sz w:val="20"/>
          <w:szCs w:val="20"/>
          <w:color w:val="auto"/>
        </w:rPr>
      </w:pPr>
      <w:r>
        <w:rPr>
          <w:rFonts w:ascii="Arial" w:cs="Arial" w:eastAsia="Arial" w:hAnsi="Arial"/>
          <w:sz w:val="15"/>
          <w:szCs w:val="15"/>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Qualified Institutional Investors (“QII”)</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Non-QII Investors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Arial" w:cs="Arial" w:eastAsia="Arial" w:hAnsi="Arial"/>
          <w:sz w:val="17"/>
          <w:szCs w:val="17"/>
          <w:i w:val="1"/>
          <w:iCs w:val="1"/>
          <w:color w:val="auto"/>
        </w:rPr>
        <w:t>en bloc</w:t>
      </w:r>
      <w:r>
        <w:rPr>
          <w:rFonts w:ascii="Arial" w:cs="Arial" w:eastAsia="Arial" w:hAnsi="Arial"/>
          <w:sz w:val="17"/>
          <w:szCs w:val="17"/>
          <w:color w:val="auto"/>
        </w:rPr>
        <w:t xml:space="preserve"> without subdivision to a single investor.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Any offer in Australia of the shares of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2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Class A common stock must observe such Australian on-sale restrictions.</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7"/>
          <w:szCs w:val="17"/>
          <w:b w:val="1"/>
          <w:bCs w:val="1"/>
          <w:color w:val="auto"/>
        </w:rPr>
        <w:t>LEGAL MATTERS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validity of the shares of Class A common stock will be passed upon for us by Simpson Thacher &amp; Bartlett LLP, New York, New York. Certain legal matters in connection with this offering will be passed upon for the underwriters by Latham &amp; Watkins LLP, New York, New York.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 xml:space="preserve">The balance sheets of ZoomInfo Technologies Inc. as of December 31, 2019 and November 14, 2019 and the consolidated financial statements of DiscoverOrg Holdings, LLC as of December 31, 2019 and 2018 and for the years then ended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2019 consolidated financial statements of DiscoverOrg Holdings, LLC refers to a change in the method of accounting for leases due to the adoption of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consolidated financial statements of Zoom Information, Inc. and Subsidiaries as of January 31, 2019 and December 31, 2018 and for the period from January 1, 2019 through January 31, 2019 and the year ended December 31, 2018 have been audited by RSM US LLP, independent auditors, as stated in their report thereon, and are included in this prospectus and registration statement in reliance upon such report and upon the authority of such firm as experts in accounting and auditing.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7"/>
          <w:szCs w:val="17"/>
          <w:i w:val="1"/>
          <w:iCs w:val="1"/>
          <w:color w:val="auto"/>
        </w:rPr>
        <w:t>http://www.sec.gov.</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 xml:space="preserve">We maintain an internet site at </w:t>
      </w:r>
      <w:r>
        <w:rPr>
          <w:rFonts w:ascii="Arial" w:cs="Arial" w:eastAsia="Arial" w:hAnsi="Arial"/>
          <w:sz w:val="17"/>
          <w:szCs w:val="17"/>
          <w:i w:val="1"/>
          <w:iCs w:val="1"/>
          <w:color w:val="auto"/>
        </w:rPr>
        <w:t>http://www.zoominfo.com</w:t>
      </w:r>
      <w:r>
        <w:rPr>
          <w:rFonts w:ascii="Arial" w:cs="Arial" w:eastAsia="Arial" w:hAnsi="Arial"/>
          <w:sz w:val="17"/>
          <w:szCs w:val="17"/>
          <w:color w:val="auto"/>
        </w:rPr>
        <w:t>. The information on, or accessible from, our website is not part of this prospectus by reference or otherwise.</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We are subject to the informational requirements of the Exchange Act and are required to file reports and other information with the SEC at </w:t>
      </w:r>
      <w:r>
        <w:rPr>
          <w:rFonts w:ascii="Arial" w:cs="Arial" w:eastAsia="Arial" w:hAnsi="Arial"/>
          <w:sz w:val="17"/>
          <w:szCs w:val="17"/>
          <w:i w:val="1"/>
          <w:iCs w:val="1"/>
          <w:color w:val="auto"/>
        </w:rPr>
        <w:t xml:space="preserve">http://www.sec.gov. </w:t>
      </w:r>
      <w:r>
        <w:rPr>
          <w:rFonts w:ascii="Arial" w:cs="Arial" w:eastAsia="Arial" w:hAnsi="Arial"/>
          <w:sz w:val="17"/>
          <w:szCs w:val="17"/>
          <w:color w:val="auto"/>
        </w:rPr>
        <w:t>You may inspect copies of these materials without charge at the SEC’s website. We intend to make available to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annual reports containing consolidated financial statements audited by an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80" w:type="dxa"/>
            <w:vAlign w:val="bottom"/>
            <w:gridSpan w:val="2"/>
          </w:tcPr>
          <w:p>
            <w:pPr>
              <w:jc w:val="center"/>
              <w:ind w:right="1880"/>
              <w:spacing w:after="0"/>
              <w:rPr>
                <w:sz w:val="20"/>
                <w:szCs w:val="20"/>
                <w:color w:val="auto"/>
              </w:rPr>
            </w:pPr>
            <w:r>
              <w:rPr>
                <w:rFonts w:ascii="Arial" w:cs="Arial" w:eastAsia="Arial" w:hAnsi="Arial"/>
                <w:sz w:val="17"/>
                <w:szCs w:val="17"/>
                <w:b w:val="1"/>
                <w:bCs w:val="1"/>
                <w:color w:val="auto"/>
              </w:rPr>
              <w:t>INDEX TO FINANCIAL STATEMENTS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4"/>
        </w:trPr>
        <w:tc>
          <w:tcPr>
            <w:tcW w:w="20" w:type="dxa"/>
            <w:vAlign w:val="bottom"/>
          </w:tcPr>
          <w:p>
            <w:pPr>
              <w:spacing w:after="0"/>
              <w:rPr>
                <w:sz w:val="24"/>
                <w:szCs w:val="24"/>
                <w:color w:val="auto"/>
              </w:rPr>
            </w:pPr>
          </w:p>
        </w:tc>
        <w:tc>
          <w:tcPr>
            <w:tcW w:w="10480" w:type="dxa"/>
            <w:vAlign w:val="bottom"/>
            <w:gridSpan w:val="4"/>
          </w:tcPr>
          <w:p>
            <w:pPr>
              <w:ind w:left="40"/>
              <w:spacing w:after="0"/>
              <w:rPr>
                <w:sz w:val="20"/>
                <w:szCs w:val="20"/>
                <w:color w:val="auto"/>
              </w:rPr>
            </w:pPr>
            <w:r>
              <w:rPr>
                <w:rFonts w:ascii="Arial" w:cs="Arial" w:eastAsia="Arial" w:hAnsi="Arial"/>
                <w:sz w:val="17"/>
                <w:szCs w:val="17"/>
                <w:b w:val="1"/>
                <w:bCs w:val="1"/>
                <w:color w:val="auto"/>
              </w:rPr>
              <w:t>Audited Balance Sheet of ZoomInfo Technologies Inc.</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19">
              <w:r>
                <w:rPr>
                  <w:rFonts w:ascii="Arial" w:cs="Arial" w:eastAsia="Arial" w:hAnsi="Arial"/>
                  <w:sz w:val="17"/>
                  <w:szCs w:val="17"/>
                  <w:u w:val="single" w:color="auto"/>
                  <w:color w:val="0000FF"/>
                </w:rPr>
                <w:t>Report of Independent Registered Public Accounting Firm</w:t>
              </w:r>
            </w:hyperlink>
          </w:p>
        </w:tc>
        <w:tc>
          <w:tcPr>
            <w:tcW w:w="740" w:type="dxa"/>
            <w:vAlign w:val="bottom"/>
          </w:tcPr>
          <w:p>
            <w:pPr>
              <w:jc w:val="center"/>
              <w:spacing w:after="0"/>
              <w:rPr>
                <w:rFonts w:ascii="Arial" w:cs="Arial" w:eastAsia="Arial" w:hAnsi="Arial"/>
                <w:sz w:val="17"/>
                <w:szCs w:val="17"/>
                <w:color w:val="auto"/>
                <w:w w:val="93"/>
              </w:rPr>
            </w:pPr>
            <w:hyperlink w:anchor="page219">
              <w:r>
                <w:rPr>
                  <w:rFonts w:ascii="Arial" w:cs="Arial" w:eastAsia="Arial" w:hAnsi="Arial"/>
                  <w:sz w:val="17"/>
                  <w:szCs w:val="17"/>
                  <w:color w:val="auto"/>
                  <w:w w:val="93"/>
                </w:rPr>
                <w:t>F-2</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19">
              <w:r>
                <w:rPr>
                  <w:rFonts w:ascii="Arial" w:cs="Arial" w:eastAsia="Arial" w:hAnsi="Arial"/>
                  <w:sz w:val="17"/>
                  <w:szCs w:val="17"/>
                  <w:u w:val="single" w:color="auto"/>
                  <w:color w:val="0000FF"/>
                </w:rPr>
                <w:t>Balance Sheets as of December 31, 2019 and November 14, 2019</w:t>
              </w:r>
            </w:hyperlink>
          </w:p>
        </w:tc>
        <w:tc>
          <w:tcPr>
            <w:tcW w:w="740" w:type="dxa"/>
            <w:vAlign w:val="bottom"/>
          </w:tcPr>
          <w:p>
            <w:pPr>
              <w:jc w:val="center"/>
              <w:spacing w:after="0"/>
              <w:rPr>
                <w:rFonts w:ascii="Arial" w:cs="Arial" w:eastAsia="Arial" w:hAnsi="Arial"/>
                <w:sz w:val="17"/>
                <w:szCs w:val="17"/>
                <w:color w:val="auto"/>
                <w:w w:val="93"/>
              </w:rPr>
            </w:pPr>
            <w:hyperlink w:anchor="page219">
              <w:r>
                <w:rPr>
                  <w:rFonts w:ascii="Arial" w:cs="Arial" w:eastAsia="Arial" w:hAnsi="Arial"/>
                  <w:sz w:val="17"/>
                  <w:szCs w:val="17"/>
                  <w:color w:val="auto"/>
                  <w:w w:val="93"/>
                </w:rPr>
                <w:t>F-3</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20">
              <w:r>
                <w:rPr>
                  <w:rFonts w:ascii="Arial" w:cs="Arial" w:eastAsia="Arial" w:hAnsi="Arial"/>
                  <w:sz w:val="17"/>
                  <w:szCs w:val="17"/>
                  <w:u w:val="single" w:color="auto"/>
                  <w:color w:val="0000FF"/>
                </w:rPr>
                <w:t>Notes to Balance Sheet</w:t>
              </w:r>
            </w:hyperlink>
          </w:p>
        </w:tc>
        <w:tc>
          <w:tcPr>
            <w:tcW w:w="740" w:type="dxa"/>
            <w:vAlign w:val="bottom"/>
          </w:tcPr>
          <w:p>
            <w:pPr>
              <w:jc w:val="center"/>
              <w:spacing w:after="0"/>
              <w:rPr>
                <w:rFonts w:ascii="Arial" w:cs="Arial" w:eastAsia="Arial" w:hAnsi="Arial"/>
                <w:sz w:val="17"/>
                <w:szCs w:val="17"/>
                <w:color w:val="auto"/>
                <w:w w:val="93"/>
              </w:rPr>
            </w:pPr>
            <w:hyperlink w:anchor="page220">
              <w:r>
                <w:rPr>
                  <w:rFonts w:ascii="Arial" w:cs="Arial" w:eastAsia="Arial" w:hAnsi="Arial"/>
                  <w:sz w:val="17"/>
                  <w:szCs w:val="17"/>
                  <w:color w:val="auto"/>
                  <w:w w:val="93"/>
                </w:rPr>
                <w:t>F-4</w:t>
              </w:r>
            </w:hyperlink>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10480" w:type="dxa"/>
            <w:vAlign w:val="bottom"/>
            <w:gridSpan w:val="4"/>
          </w:tcPr>
          <w:p>
            <w:pPr>
              <w:ind w:left="40"/>
              <w:spacing w:after="0"/>
              <w:rPr>
                <w:sz w:val="20"/>
                <w:szCs w:val="20"/>
                <w:color w:val="auto"/>
              </w:rPr>
            </w:pPr>
            <w:r>
              <w:rPr>
                <w:rFonts w:ascii="Arial" w:cs="Arial" w:eastAsia="Arial" w:hAnsi="Arial"/>
                <w:sz w:val="17"/>
                <w:szCs w:val="17"/>
                <w:b w:val="1"/>
                <w:bCs w:val="1"/>
                <w:color w:val="auto"/>
              </w:rPr>
              <w:t>Audited Consolidated Financial Statements of DiscoverOrg Holdings, LLC (“ZoomInfo OpCo”) and Subsidiaries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22">
              <w:r>
                <w:rPr>
                  <w:rFonts w:ascii="Arial" w:cs="Arial" w:eastAsia="Arial" w:hAnsi="Arial"/>
                  <w:sz w:val="17"/>
                  <w:szCs w:val="17"/>
                  <w:u w:val="single" w:color="auto"/>
                  <w:color w:val="0000FF"/>
                </w:rPr>
                <w:t>Report of Independent Registered Public Accounting Firm</w:t>
              </w:r>
            </w:hyperlink>
          </w:p>
        </w:tc>
        <w:tc>
          <w:tcPr>
            <w:tcW w:w="740" w:type="dxa"/>
            <w:vAlign w:val="bottom"/>
          </w:tcPr>
          <w:p>
            <w:pPr>
              <w:jc w:val="center"/>
              <w:spacing w:after="0"/>
              <w:rPr>
                <w:rFonts w:ascii="Arial" w:cs="Arial" w:eastAsia="Arial" w:hAnsi="Arial"/>
                <w:sz w:val="17"/>
                <w:szCs w:val="17"/>
                <w:color w:val="auto"/>
                <w:w w:val="93"/>
              </w:rPr>
            </w:pPr>
            <w:hyperlink w:anchor="page222">
              <w:r>
                <w:rPr>
                  <w:rFonts w:ascii="Arial" w:cs="Arial" w:eastAsia="Arial" w:hAnsi="Arial"/>
                  <w:sz w:val="17"/>
                  <w:szCs w:val="17"/>
                  <w:color w:val="auto"/>
                  <w:w w:val="93"/>
                </w:rPr>
                <w:t>F-5</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22">
              <w:r>
                <w:rPr>
                  <w:rFonts w:ascii="Arial" w:cs="Arial" w:eastAsia="Arial" w:hAnsi="Arial"/>
                  <w:sz w:val="17"/>
                  <w:szCs w:val="17"/>
                  <w:u w:val="single" w:color="auto"/>
                  <w:color w:val="0000FF"/>
                </w:rPr>
                <w:t>Consolidated Balance Sheets as of December 31, 2019 and December 31, 2018</w:t>
              </w:r>
            </w:hyperlink>
          </w:p>
        </w:tc>
        <w:tc>
          <w:tcPr>
            <w:tcW w:w="740" w:type="dxa"/>
            <w:vAlign w:val="bottom"/>
          </w:tcPr>
          <w:p>
            <w:pPr>
              <w:jc w:val="center"/>
              <w:spacing w:after="0"/>
              <w:rPr>
                <w:rFonts w:ascii="Arial" w:cs="Arial" w:eastAsia="Arial" w:hAnsi="Arial"/>
                <w:sz w:val="17"/>
                <w:szCs w:val="17"/>
                <w:color w:val="auto"/>
                <w:w w:val="93"/>
              </w:rPr>
            </w:pPr>
            <w:hyperlink w:anchor="page222">
              <w:r>
                <w:rPr>
                  <w:rFonts w:ascii="Arial" w:cs="Arial" w:eastAsia="Arial" w:hAnsi="Arial"/>
                  <w:sz w:val="17"/>
                  <w:szCs w:val="17"/>
                  <w:color w:val="auto"/>
                  <w:w w:val="93"/>
                </w:rPr>
                <w:t>F-6</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23">
              <w:r>
                <w:rPr>
                  <w:rFonts w:ascii="Arial" w:cs="Arial" w:eastAsia="Arial" w:hAnsi="Arial"/>
                  <w:sz w:val="17"/>
                  <w:szCs w:val="17"/>
                  <w:u w:val="single" w:color="auto"/>
                  <w:color w:val="0000FF"/>
                </w:rPr>
                <w:t>Consolidated Statements of Operations for the Years Ended December 31, 2019 and December 31, 2018</w:t>
              </w:r>
            </w:hyperlink>
          </w:p>
        </w:tc>
        <w:tc>
          <w:tcPr>
            <w:tcW w:w="740" w:type="dxa"/>
            <w:vAlign w:val="bottom"/>
          </w:tcPr>
          <w:p>
            <w:pPr>
              <w:jc w:val="center"/>
              <w:spacing w:after="0"/>
              <w:rPr>
                <w:rFonts w:ascii="Arial" w:cs="Arial" w:eastAsia="Arial" w:hAnsi="Arial"/>
                <w:sz w:val="17"/>
                <w:szCs w:val="17"/>
                <w:color w:val="auto"/>
                <w:w w:val="93"/>
              </w:rPr>
            </w:pPr>
            <w:hyperlink w:anchor="page223">
              <w:r>
                <w:rPr>
                  <w:rFonts w:ascii="Arial" w:cs="Arial" w:eastAsia="Arial" w:hAnsi="Arial"/>
                  <w:sz w:val="17"/>
                  <w:szCs w:val="17"/>
                  <w:color w:val="auto"/>
                  <w:w w:val="93"/>
                </w:rPr>
                <w:t>F-7</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24">
              <w:r>
                <w:rPr>
                  <w:rFonts w:ascii="Arial" w:cs="Arial" w:eastAsia="Arial" w:hAnsi="Arial"/>
                  <w:sz w:val="17"/>
                  <w:szCs w:val="17"/>
                  <w:u w:val="single" w:color="auto"/>
                  <w:color w:val="0000FF"/>
                </w:rPr>
                <w:t>Consolidated Statements of Comprehensive Loss for the Years Ended December 31, 2019 and December 31, 2018</w:t>
              </w:r>
            </w:hyperlink>
          </w:p>
        </w:tc>
        <w:tc>
          <w:tcPr>
            <w:tcW w:w="740" w:type="dxa"/>
            <w:vAlign w:val="bottom"/>
          </w:tcPr>
          <w:p>
            <w:pPr>
              <w:jc w:val="center"/>
              <w:spacing w:after="0"/>
              <w:rPr>
                <w:rFonts w:ascii="Arial" w:cs="Arial" w:eastAsia="Arial" w:hAnsi="Arial"/>
                <w:sz w:val="17"/>
                <w:szCs w:val="17"/>
                <w:color w:val="auto"/>
                <w:w w:val="93"/>
              </w:rPr>
            </w:pPr>
            <w:hyperlink w:anchor="page224">
              <w:r>
                <w:rPr>
                  <w:rFonts w:ascii="Arial" w:cs="Arial" w:eastAsia="Arial" w:hAnsi="Arial"/>
                  <w:sz w:val="17"/>
                  <w:szCs w:val="17"/>
                  <w:color w:val="auto"/>
                  <w:w w:val="93"/>
                </w:rPr>
                <w:t>F-8</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25">
              <w:r>
                <w:rPr>
                  <w:rFonts w:ascii="Arial" w:cs="Arial" w:eastAsia="Arial" w:hAnsi="Arial"/>
                  <w:sz w:val="17"/>
                  <w:szCs w:val="17"/>
                  <w:u w:val="single" w:color="auto"/>
                  <w:color w:val="0000FF"/>
                </w:rPr>
                <w:t>Consolidated Statements of Changes in Members’ Deficit for the Years Ended December 31, 2019 and December 31, 2018</w:t>
              </w:r>
            </w:hyperlink>
          </w:p>
        </w:tc>
        <w:tc>
          <w:tcPr>
            <w:tcW w:w="740" w:type="dxa"/>
            <w:vAlign w:val="bottom"/>
          </w:tcPr>
          <w:p>
            <w:pPr>
              <w:jc w:val="center"/>
              <w:spacing w:after="0"/>
              <w:rPr>
                <w:rFonts w:ascii="Arial" w:cs="Arial" w:eastAsia="Arial" w:hAnsi="Arial"/>
                <w:sz w:val="17"/>
                <w:szCs w:val="17"/>
                <w:color w:val="auto"/>
                <w:w w:val="93"/>
              </w:rPr>
            </w:pPr>
            <w:hyperlink w:anchor="page225">
              <w:r>
                <w:rPr>
                  <w:rFonts w:ascii="Arial" w:cs="Arial" w:eastAsia="Arial" w:hAnsi="Arial"/>
                  <w:sz w:val="17"/>
                  <w:szCs w:val="17"/>
                  <w:color w:val="auto"/>
                  <w:w w:val="93"/>
                </w:rPr>
                <w:t>F-9</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26">
              <w:r>
                <w:rPr>
                  <w:rFonts w:ascii="Arial" w:cs="Arial" w:eastAsia="Arial" w:hAnsi="Arial"/>
                  <w:sz w:val="17"/>
                  <w:szCs w:val="17"/>
                  <w:u w:val="single" w:color="auto"/>
                  <w:color w:val="0000FF"/>
                </w:rPr>
                <w:t>Consolidated Statements of Cash Flows for the Years Ended December 31, 2019 and December 31, 2018</w:t>
              </w:r>
            </w:hyperlink>
          </w:p>
        </w:tc>
        <w:tc>
          <w:tcPr>
            <w:tcW w:w="740" w:type="dxa"/>
            <w:vAlign w:val="bottom"/>
          </w:tcPr>
          <w:p>
            <w:pPr>
              <w:jc w:val="center"/>
              <w:spacing w:after="0"/>
              <w:rPr>
                <w:rFonts w:ascii="Arial" w:cs="Arial" w:eastAsia="Arial" w:hAnsi="Arial"/>
                <w:sz w:val="17"/>
                <w:szCs w:val="17"/>
                <w:color w:val="auto"/>
                <w:w w:val="91"/>
              </w:rPr>
            </w:pPr>
            <w:hyperlink w:anchor="page226">
              <w:r>
                <w:rPr>
                  <w:rFonts w:ascii="Arial" w:cs="Arial" w:eastAsia="Arial" w:hAnsi="Arial"/>
                  <w:sz w:val="17"/>
                  <w:szCs w:val="17"/>
                  <w:color w:val="auto"/>
                  <w:w w:val="91"/>
                </w:rPr>
                <w:t>F-10</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27">
              <w:r>
                <w:rPr>
                  <w:rFonts w:ascii="Arial" w:cs="Arial" w:eastAsia="Arial" w:hAnsi="Arial"/>
                  <w:sz w:val="17"/>
                  <w:szCs w:val="17"/>
                  <w:u w:val="single" w:color="auto"/>
                  <w:color w:val="0000FF"/>
                </w:rPr>
                <w:t>Notes to Consolidated Financial Statements</w:t>
              </w:r>
            </w:hyperlink>
          </w:p>
        </w:tc>
        <w:tc>
          <w:tcPr>
            <w:tcW w:w="740" w:type="dxa"/>
            <w:vAlign w:val="bottom"/>
          </w:tcPr>
          <w:p>
            <w:pPr>
              <w:jc w:val="center"/>
              <w:spacing w:after="0"/>
              <w:rPr>
                <w:rFonts w:ascii="Arial" w:cs="Arial" w:eastAsia="Arial" w:hAnsi="Arial"/>
                <w:sz w:val="17"/>
                <w:szCs w:val="17"/>
                <w:color w:val="auto"/>
                <w:w w:val="91"/>
              </w:rPr>
            </w:pPr>
            <w:hyperlink w:anchor="page227">
              <w:r>
                <w:rPr>
                  <w:rFonts w:ascii="Arial" w:cs="Arial" w:eastAsia="Arial" w:hAnsi="Arial"/>
                  <w:sz w:val="17"/>
                  <w:szCs w:val="17"/>
                  <w:color w:val="auto"/>
                  <w:w w:val="91"/>
                </w:rPr>
                <w:t>F-11</w:t>
              </w:r>
            </w:hyperlink>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10480" w:type="dxa"/>
            <w:vAlign w:val="bottom"/>
            <w:gridSpan w:val="4"/>
          </w:tcPr>
          <w:p>
            <w:pPr>
              <w:ind w:left="40"/>
              <w:spacing w:after="0"/>
              <w:rPr>
                <w:sz w:val="20"/>
                <w:szCs w:val="20"/>
                <w:color w:val="auto"/>
              </w:rPr>
            </w:pPr>
            <w:r>
              <w:rPr>
                <w:rFonts w:ascii="Arial" w:cs="Arial" w:eastAsia="Arial" w:hAnsi="Arial"/>
                <w:sz w:val="17"/>
                <w:szCs w:val="17"/>
                <w:b w:val="1"/>
                <w:bCs w:val="1"/>
                <w:color w:val="auto"/>
              </w:rPr>
              <w:t>Unaudited Consolidated Financial Statements of ZoomInfo Technologies Inc. and Subsidiaries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ind w:left="40"/>
              <w:spacing w:after="0"/>
              <w:rPr>
                <w:rFonts w:ascii="Arial" w:cs="Arial" w:eastAsia="Arial" w:hAnsi="Arial"/>
                <w:sz w:val="17"/>
                <w:szCs w:val="17"/>
                <w:u w:val="single" w:color="auto"/>
                <w:color w:val="0000FF"/>
              </w:rPr>
            </w:pPr>
            <w:hyperlink w:anchor="page259">
              <w:r>
                <w:rPr>
                  <w:rFonts w:ascii="Arial" w:cs="Arial" w:eastAsia="Arial" w:hAnsi="Arial"/>
                  <w:sz w:val="17"/>
                  <w:szCs w:val="17"/>
                  <w:u w:val="single" w:color="auto"/>
                  <w:color w:val="0000FF"/>
                </w:rPr>
                <w:t>Consolidated Balance Sheets as of September 30, 2020 and December 31, 2019</w:t>
              </w:r>
            </w:hyperlink>
          </w:p>
        </w:tc>
        <w:tc>
          <w:tcPr>
            <w:tcW w:w="740" w:type="dxa"/>
            <w:vAlign w:val="bottom"/>
          </w:tcPr>
          <w:p>
            <w:pPr>
              <w:jc w:val="center"/>
              <w:spacing w:after="0"/>
              <w:rPr>
                <w:rFonts w:ascii="Arial" w:cs="Arial" w:eastAsia="Arial" w:hAnsi="Arial"/>
                <w:sz w:val="17"/>
                <w:szCs w:val="17"/>
                <w:color w:val="auto"/>
                <w:w w:val="91"/>
              </w:rPr>
            </w:pPr>
            <w:hyperlink w:anchor="page259">
              <w:r>
                <w:rPr>
                  <w:rFonts w:ascii="Arial" w:cs="Arial" w:eastAsia="Arial" w:hAnsi="Arial"/>
                  <w:sz w:val="17"/>
                  <w:szCs w:val="17"/>
                  <w:color w:val="auto"/>
                  <w:w w:val="91"/>
                </w:rPr>
                <w:t>F-42</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ind w:left="40"/>
              <w:spacing w:after="0"/>
              <w:rPr>
                <w:rFonts w:ascii="Arial" w:cs="Arial" w:eastAsia="Arial" w:hAnsi="Arial"/>
                <w:sz w:val="17"/>
                <w:szCs w:val="17"/>
                <w:u w:val="single" w:color="auto"/>
                <w:color w:val="0000FF"/>
              </w:rPr>
            </w:pPr>
            <w:hyperlink w:anchor="page259">
              <w:r>
                <w:rPr>
                  <w:rFonts w:ascii="Arial" w:cs="Arial" w:eastAsia="Arial" w:hAnsi="Arial"/>
                  <w:sz w:val="17"/>
                  <w:szCs w:val="17"/>
                  <w:u w:val="single" w:color="auto"/>
                  <w:color w:val="0000FF"/>
                </w:rPr>
                <w:t>Consolidated Statements of Operations for the Nine Months Ended September 30, 2020 and September 30, 2019</w:t>
              </w:r>
            </w:hyperlink>
          </w:p>
        </w:tc>
        <w:tc>
          <w:tcPr>
            <w:tcW w:w="740" w:type="dxa"/>
            <w:vAlign w:val="bottom"/>
          </w:tcPr>
          <w:p>
            <w:pPr>
              <w:jc w:val="center"/>
              <w:spacing w:after="0"/>
              <w:rPr>
                <w:rFonts w:ascii="Arial" w:cs="Arial" w:eastAsia="Arial" w:hAnsi="Arial"/>
                <w:sz w:val="17"/>
                <w:szCs w:val="17"/>
                <w:color w:val="auto"/>
                <w:w w:val="91"/>
              </w:rPr>
            </w:pPr>
            <w:hyperlink w:anchor="page259">
              <w:r>
                <w:rPr>
                  <w:rFonts w:ascii="Arial" w:cs="Arial" w:eastAsia="Arial" w:hAnsi="Arial"/>
                  <w:sz w:val="17"/>
                  <w:szCs w:val="17"/>
                  <w:color w:val="auto"/>
                  <w:w w:val="91"/>
                </w:rPr>
                <w:t>F-43</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ind w:left="40"/>
              <w:spacing w:after="0"/>
              <w:rPr>
                <w:rFonts w:ascii="Arial" w:cs="Arial" w:eastAsia="Arial" w:hAnsi="Arial"/>
                <w:sz w:val="17"/>
                <w:szCs w:val="17"/>
                <w:u w:val="single" w:color="auto"/>
                <w:color w:val="0000FF"/>
              </w:rPr>
            </w:pPr>
            <w:hyperlink w:anchor="page260">
              <w:r>
                <w:rPr>
                  <w:rFonts w:ascii="Arial" w:cs="Arial" w:eastAsia="Arial" w:hAnsi="Arial"/>
                  <w:sz w:val="17"/>
                  <w:szCs w:val="17"/>
                  <w:u w:val="single" w:color="auto"/>
                  <w:color w:val="0000FF"/>
                </w:rPr>
                <w:t>Consolidated Statements of Comprehensive Loss for the Nine Months Ended September 30, 2020 and September 30, 2019</w:t>
              </w:r>
            </w:hyperlink>
          </w:p>
        </w:tc>
        <w:tc>
          <w:tcPr>
            <w:tcW w:w="740" w:type="dxa"/>
            <w:vAlign w:val="bottom"/>
          </w:tcPr>
          <w:p>
            <w:pPr>
              <w:jc w:val="center"/>
              <w:spacing w:after="0"/>
              <w:rPr>
                <w:rFonts w:ascii="Arial" w:cs="Arial" w:eastAsia="Arial" w:hAnsi="Arial"/>
                <w:sz w:val="17"/>
                <w:szCs w:val="17"/>
                <w:color w:val="auto"/>
                <w:w w:val="91"/>
              </w:rPr>
            </w:pPr>
            <w:hyperlink w:anchor="page260">
              <w:r>
                <w:rPr>
                  <w:rFonts w:ascii="Arial" w:cs="Arial" w:eastAsia="Arial" w:hAnsi="Arial"/>
                  <w:sz w:val="17"/>
                  <w:szCs w:val="17"/>
                  <w:color w:val="auto"/>
                  <w:w w:val="91"/>
                </w:rPr>
                <w:t>F-44</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ind w:left="40"/>
              <w:spacing w:after="0"/>
              <w:rPr>
                <w:rFonts w:ascii="Arial" w:cs="Arial" w:eastAsia="Arial" w:hAnsi="Arial"/>
                <w:sz w:val="17"/>
                <w:szCs w:val="17"/>
                <w:u w:val="single" w:color="auto"/>
                <w:color w:val="0000FF"/>
              </w:rPr>
            </w:pPr>
            <w:hyperlink w:anchor="page263">
              <w:r>
                <w:rPr>
                  <w:rFonts w:ascii="Arial" w:cs="Arial" w:eastAsia="Arial" w:hAnsi="Arial"/>
                  <w:sz w:val="17"/>
                  <w:szCs w:val="17"/>
                  <w:u w:val="single" w:color="auto"/>
                  <w:color w:val="0000FF"/>
                </w:rPr>
                <w:t>Consolidated Statements of Changes in Members’ Deficit for the Nine Months Ended September 30, 2020 and September 30, 2019</w:t>
              </w:r>
            </w:hyperlink>
          </w:p>
        </w:tc>
        <w:tc>
          <w:tcPr>
            <w:tcW w:w="740" w:type="dxa"/>
            <w:vAlign w:val="bottom"/>
          </w:tcPr>
          <w:p>
            <w:pPr>
              <w:jc w:val="center"/>
              <w:spacing w:after="0"/>
              <w:rPr>
                <w:rFonts w:ascii="Arial" w:cs="Arial" w:eastAsia="Arial" w:hAnsi="Arial"/>
                <w:sz w:val="17"/>
                <w:szCs w:val="17"/>
                <w:color w:val="auto"/>
                <w:w w:val="91"/>
              </w:rPr>
            </w:pPr>
            <w:hyperlink w:anchor="page263">
              <w:r>
                <w:rPr>
                  <w:rFonts w:ascii="Arial" w:cs="Arial" w:eastAsia="Arial" w:hAnsi="Arial"/>
                  <w:sz w:val="17"/>
                  <w:szCs w:val="17"/>
                  <w:color w:val="auto"/>
                  <w:w w:val="91"/>
                </w:rPr>
                <w:t>F-47</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ind w:left="40"/>
              <w:spacing w:after="0"/>
              <w:rPr>
                <w:rFonts w:ascii="Arial" w:cs="Arial" w:eastAsia="Arial" w:hAnsi="Arial"/>
                <w:sz w:val="17"/>
                <w:szCs w:val="17"/>
                <w:u w:val="single" w:color="auto"/>
                <w:color w:val="0000FF"/>
              </w:rPr>
            </w:pPr>
            <w:hyperlink w:anchor="page264">
              <w:r>
                <w:rPr>
                  <w:rFonts w:ascii="Arial" w:cs="Arial" w:eastAsia="Arial" w:hAnsi="Arial"/>
                  <w:sz w:val="17"/>
                  <w:szCs w:val="17"/>
                  <w:u w:val="single" w:color="auto"/>
                  <w:color w:val="0000FF"/>
                </w:rPr>
                <w:t>Consolidated Statements of Cash Flow for Nine Months Ended September 30, 2020 and September 30, 2019</w:t>
              </w:r>
            </w:hyperlink>
          </w:p>
        </w:tc>
        <w:tc>
          <w:tcPr>
            <w:tcW w:w="740" w:type="dxa"/>
            <w:vAlign w:val="bottom"/>
          </w:tcPr>
          <w:p>
            <w:pPr>
              <w:jc w:val="center"/>
              <w:spacing w:after="0"/>
              <w:rPr>
                <w:rFonts w:ascii="Arial" w:cs="Arial" w:eastAsia="Arial" w:hAnsi="Arial"/>
                <w:sz w:val="17"/>
                <w:szCs w:val="17"/>
                <w:color w:val="auto"/>
                <w:w w:val="91"/>
              </w:rPr>
            </w:pPr>
            <w:hyperlink w:anchor="page264">
              <w:r>
                <w:rPr>
                  <w:rFonts w:ascii="Arial" w:cs="Arial" w:eastAsia="Arial" w:hAnsi="Arial"/>
                  <w:sz w:val="17"/>
                  <w:szCs w:val="17"/>
                  <w:color w:val="auto"/>
                  <w:w w:val="91"/>
                </w:rPr>
                <w:t>F-48</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ind w:left="40"/>
              <w:spacing w:after="0"/>
              <w:rPr>
                <w:rFonts w:ascii="Arial" w:cs="Arial" w:eastAsia="Arial" w:hAnsi="Arial"/>
                <w:sz w:val="17"/>
                <w:szCs w:val="17"/>
                <w:u w:val="single" w:color="auto"/>
                <w:color w:val="0000FF"/>
              </w:rPr>
            </w:pPr>
            <w:hyperlink w:anchor="page265">
              <w:r>
                <w:rPr>
                  <w:rFonts w:ascii="Arial" w:cs="Arial" w:eastAsia="Arial" w:hAnsi="Arial"/>
                  <w:sz w:val="17"/>
                  <w:szCs w:val="17"/>
                  <w:u w:val="single" w:color="auto"/>
                  <w:color w:val="0000FF"/>
                </w:rPr>
                <w:t>Notes to Unaudited Consolidated Financial Statements</w:t>
              </w:r>
            </w:hyperlink>
          </w:p>
        </w:tc>
        <w:tc>
          <w:tcPr>
            <w:tcW w:w="740" w:type="dxa"/>
            <w:vAlign w:val="bottom"/>
          </w:tcPr>
          <w:p>
            <w:pPr>
              <w:jc w:val="center"/>
              <w:spacing w:after="0"/>
              <w:rPr>
                <w:rFonts w:ascii="Arial" w:cs="Arial" w:eastAsia="Arial" w:hAnsi="Arial"/>
                <w:sz w:val="17"/>
                <w:szCs w:val="17"/>
                <w:color w:val="auto"/>
                <w:w w:val="91"/>
              </w:rPr>
            </w:pPr>
            <w:hyperlink w:anchor="page265">
              <w:r>
                <w:rPr>
                  <w:rFonts w:ascii="Arial" w:cs="Arial" w:eastAsia="Arial" w:hAnsi="Arial"/>
                  <w:sz w:val="17"/>
                  <w:szCs w:val="17"/>
                  <w:color w:val="auto"/>
                  <w:w w:val="91"/>
                </w:rPr>
                <w:t>F-49</w:t>
              </w:r>
            </w:hyperlink>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10480" w:type="dxa"/>
            <w:vAlign w:val="bottom"/>
            <w:gridSpan w:val="4"/>
          </w:tcPr>
          <w:p>
            <w:pPr>
              <w:ind w:left="40"/>
              <w:spacing w:after="0"/>
              <w:rPr>
                <w:sz w:val="20"/>
                <w:szCs w:val="20"/>
                <w:color w:val="auto"/>
              </w:rPr>
            </w:pPr>
            <w:r>
              <w:rPr>
                <w:rFonts w:ascii="Arial" w:cs="Arial" w:eastAsia="Arial" w:hAnsi="Arial"/>
                <w:sz w:val="17"/>
                <w:szCs w:val="17"/>
                <w:b w:val="1"/>
                <w:bCs w:val="1"/>
                <w:color w:val="auto"/>
              </w:rPr>
              <w:t>Audited Consolidated Financial Statements of Zoom Information, Inc. (“Pre-Acquisition ZI”) and Subsidiaries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99">
              <w:r>
                <w:rPr>
                  <w:rFonts w:ascii="Arial" w:cs="Arial" w:eastAsia="Arial" w:hAnsi="Arial"/>
                  <w:sz w:val="17"/>
                  <w:szCs w:val="17"/>
                  <w:u w:val="single" w:color="auto"/>
                  <w:color w:val="0000FF"/>
                </w:rPr>
                <w:t>Report of Independent Registered Public Accounting Firm</w:t>
              </w:r>
            </w:hyperlink>
          </w:p>
        </w:tc>
        <w:tc>
          <w:tcPr>
            <w:tcW w:w="740" w:type="dxa"/>
            <w:vAlign w:val="bottom"/>
          </w:tcPr>
          <w:p>
            <w:pPr>
              <w:jc w:val="center"/>
              <w:spacing w:after="0"/>
              <w:rPr>
                <w:rFonts w:ascii="Arial" w:cs="Arial" w:eastAsia="Arial" w:hAnsi="Arial"/>
                <w:sz w:val="17"/>
                <w:szCs w:val="17"/>
                <w:color w:val="auto"/>
                <w:w w:val="91"/>
              </w:rPr>
            </w:pPr>
            <w:hyperlink w:anchor="page299">
              <w:r>
                <w:rPr>
                  <w:rFonts w:ascii="Arial" w:cs="Arial" w:eastAsia="Arial" w:hAnsi="Arial"/>
                  <w:sz w:val="17"/>
                  <w:szCs w:val="17"/>
                  <w:color w:val="auto"/>
                  <w:w w:val="91"/>
                </w:rPr>
                <w:t>F-82</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299">
              <w:r>
                <w:rPr>
                  <w:rFonts w:ascii="Arial" w:cs="Arial" w:eastAsia="Arial" w:hAnsi="Arial"/>
                  <w:sz w:val="17"/>
                  <w:szCs w:val="17"/>
                  <w:u w:val="single" w:color="auto"/>
                  <w:color w:val="0000FF"/>
                </w:rPr>
                <w:t>Consolidated Balance Sheets as of January 31, 2019 and December 31, 2018</w:t>
              </w:r>
            </w:hyperlink>
          </w:p>
        </w:tc>
        <w:tc>
          <w:tcPr>
            <w:tcW w:w="740" w:type="dxa"/>
            <w:vAlign w:val="bottom"/>
          </w:tcPr>
          <w:p>
            <w:pPr>
              <w:jc w:val="center"/>
              <w:spacing w:after="0"/>
              <w:rPr>
                <w:rFonts w:ascii="Arial" w:cs="Arial" w:eastAsia="Arial" w:hAnsi="Arial"/>
                <w:sz w:val="17"/>
                <w:szCs w:val="17"/>
                <w:color w:val="auto"/>
                <w:w w:val="91"/>
              </w:rPr>
            </w:pPr>
            <w:hyperlink w:anchor="page299">
              <w:r>
                <w:rPr>
                  <w:rFonts w:ascii="Arial" w:cs="Arial" w:eastAsia="Arial" w:hAnsi="Arial"/>
                  <w:sz w:val="17"/>
                  <w:szCs w:val="17"/>
                  <w:color w:val="auto"/>
                  <w:w w:val="91"/>
                </w:rPr>
                <w:t>F-83</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w w:val="96"/>
              </w:rPr>
            </w:pPr>
            <w:hyperlink w:anchor="page300">
              <w:r>
                <w:rPr>
                  <w:rFonts w:ascii="Arial" w:cs="Arial" w:eastAsia="Arial" w:hAnsi="Arial"/>
                  <w:sz w:val="17"/>
                  <w:szCs w:val="17"/>
                  <w:u w:val="single" w:color="auto"/>
                  <w:color w:val="0000FF"/>
                  <w:w w:val="96"/>
                </w:rPr>
                <w:t>Consolidated Statements of Operations for the Period from January 1, 2019 Through January 31, 2019 and the Year Ended December 31, 2018</w:t>
              </w:r>
            </w:hyperlink>
          </w:p>
        </w:tc>
        <w:tc>
          <w:tcPr>
            <w:tcW w:w="740" w:type="dxa"/>
            <w:vAlign w:val="bottom"/>
          </w:tcPr>
          <w:p>
            <w:pPr>
              <w:jc w:val="center"/>
              <w:spacing w:after="0"/>
              <w:rPr>
                <w:rFonts w:ascii="Arial" w:cs="Arial" w:eastAsia="Arial" w:hAnsi="Arial"/>
                <w:sz w:val="17"/>
                <w:szCs w:val="17"/>
                <w:color w:val="auto"/>
                <w:w w:val="91"/>
              </w:rPr>
            </w:pPr>
            <w:hyperlink w:anchor="page300">
              <w:r>
                <w:rPr>
                  <w:rFonts w:ascii="Arial" w:cs="Arial" w:eastAsia="Arial" w:hAnsi="Arial"/>
                  <w:sz w:val="17"/>
                  <w:szCs w:val="17"/>
                  <w:color w:val="auto"/>
                  <w:w w:val="91"/>
                </w:rPr>
                <w:t>F-84</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480" w:type="dxa"/>
            <w:vAlign w:val="bottom"/>
            <w:gridSpan w:val="4"/>
          </w:tcPr>
          <w:p>
            <w:pPr>
              <w:spacing w:after="0" w:line="182" w:lineRule="exact"/>
              <w:rPr>
                <w:rFonts w:ascii="Arial" w:cs="Arial" w:eastAsia="Arial" w:hAnsi="Arial"/>
                <w:sz w:val="17"/>
                <w:szCs w:val="17"/>
                <w:color w:val="0000FF"/>
                <w:w w:val="93"/>
              </w:rPr>
            </w:pPr>
            <w:hyperlink w:anchor="page301">
              <w:r>
                <w:rPr>
                  <w:rFonts w:ascii="Arial" w:cs="Arial" w:eastAsia="Arial" w:hAnsi="Arial"/>
                  <w:sz w:val="17"/>
                  <w:szCs w:val="17"/>
                  <w:color w:val="0000FF"/>
                  <w:w w:val="93"/>
                </w:rPr>
                <w:t>Consolidated Statements of Convertible Preferred Stock and Stockholders’ Equity for the Period from January 1, 2019 Through January 31, 2019 and</w:t>
              </w:r>
            </w:hyperlink>
          </w:p>
        </w:tc>
        <w:tc>
          <w:tcPr>
            <w:tcW w:w="740" w:type="dxa"/>
            <w:vAlign w:val="bottom"/>
            <w:vMerge w:val="restart"/>
          </w:tcPr>
          <w:p>
            <w:pPr>
              <w:jc w:val="center"/>
              <w:spacing w:after="0"/>
              <w:rPr>
                <w:rFonts w:ascii="Arial" w:cs="Arial" w:eastAsia="Arial" w:hAnsi="Arial"/>
                <w:sz w:val="17"/>
                <w:szCs w:val="17"/>
                <w:color w:val="auto"/>
                <w:w w:val="91"/>
              </w:rPr>
            </w:pPr>
            <w:hyperlink w:anchor="page301">
              <w:r>
                <w:rPr>
                  <w:rFonts w:ascii="Arial" w:cs="Arial" w:eastAsia="Arial" w:hAnsi="Arial"/>
                  <w:sz w:val="17"/>
                  <w:szCs w:val="17"/>
                  <w:color w:val="auto"/>
                  <w:w w:val="91"/>
                </w:rPr>
                <w:t>F-85</w:t>
              </w:r>
            </w:hyperlink>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440" w:type="dxa"/>
            <w:vAlign w:val="bottom"/>
            <w:tcBorders>
              <w:top w:val="single" w:sz="8" w:color="0000FF"/>
              <w:bottom w:val="single" w:sz="8" w:color="0000FF"/>
            </w:tcBorders>
          </w:tcPr>
          <w:p>
            <w:pPr>
              <w:spacing w:after="0" w:line="147" w:lineRule="exact"/>
              <w:rPr>
                <w:rFonts w:ascii="Arial" w:cs="Arial" w:eastAsia="Arial" w:hAnsi="Arial"/>
                <w:sz w:val="17"/>
                <w:szCs w:val="17"/>
                <w:color w:val="0000FF"/>
                <w:w w:val="88"/>
              </w:rPr>
            </w:pPr>
            <w:hyperlink w:anchor="page301">
              <w:r>
                <w:rPr>
                  <w:rFonts w:ascii="Arial" w:cs="Arial" w:eastAsia="Arial" w:hAnsi="Arial"/>
                  <w:sz w:val="17"/>
                  <w:szCs w:val="17"/>
                  <w:color w:val="0000FF"/>
                  <w:w w:val="88"/>
                </w:rPr>
                <w:t>the Year Ended December 31, 2018</w:t>
              </w:r>
            </w:hyperlink>
          </w:p>
        </w:tc>
        <w:tc>
          <w:tcPr>
            <w:tcW w:w="768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480" w:type="dxa"/>
            <w:vAlign w:val="bottom"/>
            <w:gridSpan w:val="4"/>
          </w:tcPr>
          <w:p>
            <w:pPr>
              <w:spacing w:after="0"/>
              <w:rPr>
                <w:rFonts w:ascii="Arial" w:cs="Arial" w:eastAsia="Arial" w:hAnsi="Arial"/>
                <w:sz w:val="17"/>
                <w:szCs w:val="17"/>
                <w:u w:val="single" w:color="auto"/>
                <w:color w:val="0000FF"/>
                <w:w w:val="96"/>
              </w:rPr>
            </w:pPr>
            <w:hyperlink w:anchor="page302">
              <w:r>
                <w:rPr>
                  <w:rFonts w:ascii="Arial" w:cs="Arial" w:eastAsia="Arial" w:hAnsi="Arial"/>
                  <w:sz w:val="17"/>
                  <w:szCs w:val="17"/>
                  <w:u w:val="single" w:color="auto"/>
                  <w:color w:val="0000FF"/>
                  <w:w w:val="96"/>
                </w:rPr>
                <w:t>Consolidated Statements of Cash Flows for the Period from January 1, 2019 through January 31, 2019 and the Year Ended December 31, 2018</w:t>
              </w:r>
            </w:hyperlink>
          </w:p>
        </w:tc>
        <w:tc>
          <w:tcPr>
            <w:tcW w:w="740" w:type="dxa"/>
            <w:vAlign w:val="bottom"/>
          </w:tcPr>
          <w:p>
            <w:pPr>
              <w:jc w:val="center"/>
              <w:spacing w:after="0"/>
              <w:rPr>
                <w:rFonts w:ascii="Arial" w:cs="Arial" w:eastAsia="Arial" w:hAnsi="Arial"/>
                <w:sz w:val="17"/>
                <w:szCs w:val="17"/>
                <w:color w:val="auto"/>
                <w:w w:val="91"/>
              </w:rPr>
            </w:pPr>
            <w:hyperlink w:anchor="page302">
              <w:r>
                <w:rPr>
                  <w:rFonts w:ascii="Arial" w:cs="Arial" w:eastAsia="Arial" w:hAnsi="Arial"/>
                  <w:sz w:val="17"/>
                  <w:szCs w:val="17"/>
                  <w:color w:val="auto"/>
                  <w:w w:val="91"/>
                </w:rPr>
                <w:t>F-86</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80" w:type="dxa"/>
            <w:vAlign w:val="bottom"/>
            <w:gridSpan w:val="4"/>
          </w:tcPr>
          <w:p>
            <w:pPr>
              <w:spacing w:after="0"/>
              <w:rPr>
                <w:rFonts w:ascii="Arial" w:cs="Arial" w:eastAsia="Arial" w:hAnsi="Arial"/>
                <w:sz w:val="17"/>
                <w:szCs w:val="17"/>
                <w:u w:val="single" w:color="auto"/>
                <w:color w:val="0000FF"/>
              </w:rPr>
            </w:pPr>
            <w:hyperlink w:anchor="page303">
              <w:r>
                <w:rPr>
                  <w:rFonts w:ascii="Arial" w:cs="Arial" w:eastAsia="Arial" w:hAnsi="Arial"/>
                  <w:sz w:val="17"/>
                  <w:szCs w:val="17"/>
                  <w:u w:val="single" w:color="auto"/>
                  <w:color w:val="0000FF"/>
                </w:rPr>
                <w:t>Notes to Consolidated Financial Statements</w:t>
              </w:r>
            </w:hyperlink>
          </w:p>
        </w:tc>
        <w:tc>
          <w:tcPr>
            <w:tcW w:w="740" w:type="dxa"/>
            <w:vAlign w:val="bottom"/>
          </w:tcPr>
          <w:p>
            <w:pPr>
              <w:jc w:val="center"/>
              <w:spacing w:after="0"/>
              <w:rPr>
                <w:rFonts w:ascii="Arial" w:cs="Arial" w:eastAsia="Arial" w:hAnsi="Arial"/>
                <w:sz w:val="17"/>
                <w:szCs w:val="17"/>
                <w:color w:val="auto"/>
                <w:w w:val="91"/>
              </w:rPr>
            </w:pPr>
            <w:hyperlink w:anchor="page303">
              <w:r>
                <w:rPr>
                  <w:rFonts w:ascii="Arial" w:cs="Arial" w:eastAsia="Arial" w:hAnsi="Arial"/>
                  <w:sz w:val="17"/>
                  <w:szCs w:val="17"/>
                  <w:color w:val="auto"/>
                  <w:w w:val="91"/>
                </w:rPr>
                <w:t>F-87</w:t>
              </w:r>
            </w:hyperlink>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880" w:type="dxa"/>
            <w:vAlign w:val="bottom"/>
            <w:gridSpan w:val="2"/>
          </w:tcPr>
          <w:p>
            <w:pPr>
              <w:jc w:val="center"/>
              <w:ind w:right="1880"/>
              <w:spacing w:after="0"/>
              <w:rPr>
                <w:sz w:val="20"/>
                <w:szCs w:val="20"/>
                <w:color w:val="auto"/>
              </w:rPr>
            </w:pPr>
            <w:r>
              <w:rPr>
                <w:rFonts w:ascii="Arial" w:cs="Arial" w:eastAsia="Arial" w:hAnsi="Arial"/>
                <w:sz w:val="17"/>
                <w:szCs w:val="17"/>
                <w:color w:val="auto"/>
                <w:w w:val="93"/>
              </w:rPr>
              <w:t>F-1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18" w:name="page219"/>
    <w:bookmarkEnd w:id="218"/>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Financial Statements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audited the accompanying balance sheets of ZoomInfo Technologies Inc. (the Company) as of December 31, 2019 and November 14, 2019, and the related notes (collectively, the financial statements). In our opinion, the financial statements present fairly, in all material respects, the financial position of the Company as of December 31, 2019 and November 14, 2019, in conformity with U.S. generally accepted accounting principles.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ZoomInfo Technologies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dollars)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20"/>
                <w:szCs w:val="20"/>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b w:val="1"/>
                <w:bCs w:val="1"/>
                <w:color w:val="auto"/>
                <w:w w:val="91"/>
              </w:rPr>
              <w:t>November 14, 2019</w:t>
            </w:r>
          </w:p>
        </w:tc>
        <w:tc>
          <w:tcPr>
            <w:tcW w:w="0" w:type="dxa"/>
            <w:vAlign w:val="bottom"/>
          </w:tcPr>
          <w:p>
            <w:pPr>
              <w:spacing w:after="0"/>
              <w:rPr>
                <w:sz w:val="1"/>
                <w:szCs w:val="1"/>
                <w:color w:val="auto"/>
              </w:rPr>
            </w:pPr>
          </w:p>
        </w:tc>
      </w:tr>
      <w:tr>
        <w:trPr>
          <w:trHeight w:val="205"/>
        </w:trPr>
        <w:tc>
          <w:tcPr>
            <w:tcW w:w="8020" w:type="dxa"/>
            <w:vAlign w:val="bottom"/>
            <w:tcBorders>
              <w:top w:val="single" w:sz="8" w:color="CCEEFF"/>
            </w:tcBorders>
            <w:shd w:val="clear" w:color="auto" w:fill="CCEEFF"/>
          </w:tcPr>
          <w:p>
            <w:pPr>
              <w:ind w:left="378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240"/>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w w:val="99"/>
              </w:rPr>
              <w:t>Class A Common Stock, par value $0.01 per share, 1,000 shares authorized, none issued and outstanding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B Common Stock, par value $0.01 per share, 1,000 shares authorized, 100 issued and outstanding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5500"/>
              <w:spacing w:after="0"/>
              <w:rPr>
                <w:sz w:val="20"/>
                <w:szCs w:val="20"/>
                <w:color w:val="auto"/>
              </w:rPr>
            </w:pPr>
            <w:r>
              <w:rPr>
                <w:rFonts w:ascii="Arial" w:cs="Arial" w:eastAsia="Arial" w:hAnsi="Arial"/>
                <w:sz w:val="17"/>
                <w:szCs w:val="17"/>
                <w:color w:val="auto"/>
              </w:rPr>
              <w:t>F-3</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8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rPr>
          <w:sz w:val="20"/>
          <w:szCs w:val="20"/>
          <w:color w:val="auto"/>
        </w:rPr>
      </w:pPr>
      <w:r>
        <w:rPr>
          <w:rFonts w:ascii="Arial" w:cs="Arial" w:eastAsia="Arial" w:hAnsi="Arial"/>
          <w:sz w:val="17"/>
          <w:szCs w:val="17"/>
          <w:b w:val="1"/>
          <w:bCs w:val="1"/>
          <w:color w:val="auto"/>
        </w:rPr>
        <w:t>Note 1 - Organization</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23"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Accounting</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Stockholder’s Equity</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Subsequent Events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21" w:name="page222"/>
    <w:bookmarkEnd w:id="221"/>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DiscoverOrg Holdings, LLC:</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audited the accompanying consolidated balance sheets of DiscoverOrg Holdings, LLC and subsidiaries (the Company) as of December 31, 2019 and 2018, the related consolidated statements of operations, comprehensive loss, changes in members’ deficit, and cash flows for the years then ended,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leases as of January 1, 2019 due to the adoption of Accounting Standards Codification Topic 842, </w:t>
      </w:r>
      <w:r>
        <w:rPr>
          <w:rFonts w:ascii="Arial" w:cs="Arial" w:eastAsia="Arial" w:hAnsi="Arial"/>
          <w:sz w:val="17"/>
          <w:szCs w:val="17"/>
          <w:i w:val="1"/>
          <w:iCs w:val="1"/>
          <w:color w:val="auto"/>
        </w:rPr>
        <w:t>Leases.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2020, except for the effects of the reverse unit split described in Note 18, as to which the date is May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3780"/>
              <w:spacing w:after="0"/>
              <w:rPr>
                <w:sz w:val="20"/>
                <w:szCs w:val="20"/>
                <w:color w:val="auto"/>
              </w:rPr>
            </w:pPr>
            <w:r>
              <w:rPr>
                <w:rFonts w:ascii="Arial" w:cs="Arial" w:eastAsia="Arial" w:hAnsi="Arial"/>
                <w:sz w:val="17"/>
                <w:szCs w:val="17"/>
                <w:b w:val="1"/>
                <w:bCs w:val="1"/>
                <w:color w:val="auto"/>
              </w:rPr>
              <w:t>Assets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costs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Income tax receivable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Related party receivable</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current assets</w:t>
            </w: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148.2</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122"/>
        </w:trPr>
        <w:tc>
          <w:tcPr>
            <w:tcW w:w="80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 net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Intangible assets, net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Goodwill</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445.7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costs, net of current portion</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3"/>
        </w:trPr>
        <w:tc>
          <w:tcPr>
            <w:tcW w:w="802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1,561.9</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1860"/>
              <w:spacing w:after="0"/>
              <w:rPr>
                <w:sz w:val="20"/>
                <w:szCs w:val="20"/>
                <w:color w:val="auto"/>
              </w:rPr>
            </w:pPr>
            <w:r>
              <w:rPr>
                <w:rFonts w:ascii="Arial" w:cs="Arial" w:eastAsia="Arial" w:hAnsi="Arial"/>
                <w:sz w:val="17"/>
                <w:szCs w:val="17"/>
                <w:b w:val="1"/>
                <w:bCs w:val="1"/>
                <w:color w:val="auto"/>
              </w:rPr>
              <w:t>Liabilities, Series A Preferred Units, and Members' Deficit</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Unearned revenue, current portion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payable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Related party payable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operating 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Current portion of long-term debt</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122"/>
        </w:trPr>
        <w:tc>
          <w:tcPr>
            <w:tcW w:w="8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Unearned revenue, net of current portion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net of current portion</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1,194.6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631.8</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liabilities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1,575.5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710.1</w:t>
            </w:r>
          </w:p>
        </w:tc>
        <w:tc>
          <w:tcPr>
            <w:tcW w:w="0" w:type="dxa"/>
            <w:vAlign w:val="bottom"/>
          </w:tcPr>
          <w:p>
            <w:pPr>
              <w:spacing w:after="0"/>
              <w:rPr>
                <w:sz w:val="1"/>
                <w:szCs w:val="1"/>
                <w:color w:val="auto"/>
              </w:rPr>
            </w:pPr>
          </w:p>
        </w:tc>
      </w:tr>
      <w:tr>
        <w:trPr>
          <w:trHeight w:val="122"/>
        </w:trPr>
        <w:tc>
          <w:tcPr>
            <w:tcW w:w="80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Series A Preferred Units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Members’ deficit: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Members' equity (deficit)</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income (loss)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equity (deficit)</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187"/>
        </w:trPr>
        <w:tc>
          <w:tcPr>
            <w:tcW w:w="80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440"/>
              <w:spacing w:after="0"/>
              <w:rPr>
                <w:sz w:val="20"/>
                <w:szCs w:val="20"/>
                <w:color w:val="auto"/>
              </w:rPr>
            </w:pPr>
            <w:r>
              <w:rPr>
                <w:rFonts w:ascii="Arial" w:cs="Arial" w:eastAsia="Arial" w:hAnsi="Arial"/>
                <w:sz w:val="17"/>
                <w:szCs w:val="17"/>
                <w:color w:val="auto"/>
              </w:rPr>
              <w:t>Total liabilities, Series A Preferred Units, and Members' Deficit</w:t>
            </w:r>
          </w:p>
        </w:tc>
        <w:tc>
          <w:tcPr>
            <w:tcW w:w="940" w:type="dxa"/>
            <w:vAlign w:val="bottom"/>
            <w:tcBorders>
              <w:bottom w:val="single" w:sz="8" w:color="auto"/>
            </w:tcBorders>
          </w:tcPr>
          <w:p>
            <w:pPr>
              <w:jc w:val="right"/>
              <w:ind w:right="760"/>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1,561.9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591.0</w:t>
            </w:r>
          </w:p>
        </w:tc>
        <w:tc>
          <w:tcPr>
            <w:tcW w:w="0" w:type="dxa"/>
            <w:vAlign w:val="bottom"/>
          </w:tcPr>
          <w:p>
            <w:pPr>
              <w:spacing w:after="0"/>
              <w:rPr>
                <w:sz w:val="1"/>
                <w:szCs w:val="1"/>
                <w:color w:val="auto"/>
              </w:rPr>
            </w:pPr>
          </w:p>
        </w:tc>
      </w:tr>
      <w:tr>
        <w:trPr>
          <w:trHeight w:val="20"/>
        </w:trPr>
        <w:tc>
          <w:tcPr>
            <w:tcW w:w="8020" w:type="dxa"/>
            <w:vAlign w:val="bottom"/>
            <w:vMerge w:val="restart"/>
          </w:tcPr>
          <w:p>
            <w:pPr>
              <w:ind w:left="5500"/>
              <w:spacing w:after="0"/>
              <w:rPr>
                <w:sz w:val="20"/>
                <w:szCs w:val="20"/>
                <w:color w:val="auto"/>
              </w:rPr>
            </w:pPr>
            <w:r>
              <w:rPr>
                <w:rFonts w:ascii="Arial" w:cs="Arial" w:eastAsia="Arial" w:hAnsi="Arial"/>
                <w:sz w:val="17"/>
                <w:szCs w:val="17"/>
                <w:color w:val="auto"/>
              </w:rPr>
              <w:t>F-6</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8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8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23" w:name="page224"/>
    <w:bookmarkEnd w:id="223"/>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7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8"/>
        </w:trPr>
        <w:tc>
          <w:tcPr>
            <w:tcW w:w="320" w:type="dxa"/>
            <w:vAlign w:val="bottom"/>
            <w:tcBorders>
              <w:bottom w:val="single" w:sz="8" w:color="CCEEFF"/>
            </w:tcBorders>
          </w:tcPr>
          <w:p>
            <w:pPr>
              <w:spacing w:after="0"/>
              <w:rPr>
                <w:sz w:val="15"/>
                <w:szCs w:val="15"/>
                <w:color w:val="auto"/>
              </w:rPr>
            </w:pPr>
          </w:p>
        </w:tc>
        <w:tc>
          <w:tcPr>
            <w:tcW w:w="4400" w:type="dxa"/>
            <w:vAlign w:val="bottom"/>
            <w:tcBorders>
              <w:bottom w:val="single" w:sz="8" w:color="CCEEFF"/>
            </w:tcBorders>
          </w:tcPr>
          <w:p>
            <w:pPr>
              <w:spacing w:after="0"/>
              <w:rPr>
                <w:sz w:val="15"/>
                <w:szCs w:val="15"/>
                <w:color w:val="auto"/>
              </w:rPr>
            </w:pPr>
          </w:p>
        </w:tc>
        <w:tc>
          <w:tcPr>
            <w:tcW w:w="29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144.3</w:t>
            </w: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service:</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20" w:type="dxa"/>
            <w:vAlign w:val="bottom"/>
            <w:gridSpan w:val="2"/>
          </w:tcPr>
          <w:p>
            <w:pPr>
              <w:ind w:left="220"/>
              <w:spacing w:after="0" w:line="219"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(1)</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4"/>
              </w:rPr>
              <w:t>43.6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Amortization of acquired technology</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25.0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1"/>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Gross profit</w:t>
            </w:r>
          </w:p>
        </w:tc>
        <w:tc>
          <w:tcPr>
            <w:tcW w:w="29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224.7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38"/>
        </w:trPr>
        <w:tc>
          <w:tcPr>
            <w:tcW w:w="32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20" w:type="dxa"/>
            <w:vAlign w:val="bottom"/>
            <w:gridSpan w:val="2"/>
            <w:shd w:val="clear" w:color="auto" w:fill="CCEEFF"/>
          </w:tcPr>
          <w:p>
            <w:pPr>
              <w:ind w:left="220"/>
              <w:spacing w:after="0" w:line="220"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(1)</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19"/>
        </w:trPr>
        <w:tc>
          <w:tcPr>
            <w:tcW w:w="4720" w:type="dxa"/>
            <w:vAlign w:val="bottom"/>
            <w:gridSpan w:val="2"/>
          </w:tcPr>
          <w:p>
            <w:pPr>
              <w:ind w:left="220"/>
              <w:spacing w:after="0" w:line="21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(1)</w:t>
            </w:r>
          </w:p>
        </w:tc>
        <w:tc>
          <w:tcPr>
            <w:tcW w:w="2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4"/>
              </w:rPr>
              <w:t>30.1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(1)</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18"/>
        </w:trPr>
        <w:tc>
          <w:tcPr>
            <w:tcW w:w="4720" w:type="dxa"/>
            <w:vAlign w:val="bottom"/>
            <w:gridSpan w:val="2"/>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4"/>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0"/>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Restructuring and transaction-related expenses</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1"/>
        </w:trPr>
        <w:tc>
          <w:tcPr>
            <w:tcW w:w="3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operating expenses</w:t>
            </w:r>
          </w:p>
        </w:tc>
        <w:tc>
          <w:tcPr>
            <w:tcW w:w="29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188.6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12"/>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36.1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18"/>
        </w:trPr>
        <w:tc>
          <w:tcPr>
            <w:tcW w:w="4720" w:type="dxa"/>
            <w:vAlign w:val="bottom"/>
            <w:gridSpan w:val="2"/>
          </w:tcPr>
          <w:p>
            <w:pPr>
              <w:ind w:left="220"/>
              <w:spacing w:after="0"/>
              <w:rPr>
                <w:sz w:val="20"/>
                <w:szCs w:val="20"/>
                <w:color w:val="auto"/>
              </w:rPr>
            </w:pPr>
            <w:r>
              <w:rPr>
                <w:rFonts w:ascii="Arial" w:cs="Arial" w:eastAsia="Arial" w:hAnsi="Arial"/>
                <w:sz w:val="17"/>
                <w:szCs w:val="17"/>
                <w:color w:val="auto"/>
              </w:rPr>
              <w:t>Loss on debt extinguishment</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w w:val="84"/>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(income) expense, net</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7"/>
                <w:szCs w:val="17"/>
                <w:color w:val="auto"/>
              </w:rPr>
              <w:t>Income (loss) before income taxes</w:t>
            </w:r>
          </w:p>
        </w:tc>
        <w:tc>
          <w:tcPr>
            <w:tcW w:w="2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center"/>
              <w:ind w:left="663"/>
              <w:spacing w:after="0"/>
              <w:rPr>
                <w:sz w:val="20"/>
                <w:szCs w:val="20"/>
                <w:color w:val="auto"/>
              </w:rPr>
            </w:pPr>
            <w:r>
              <w:rPr>
                <w:rFonts w:ascii="Arial" w:cs="Arial" w:eastAsia="Arial" w:hAnsi="Arial"/>
                <w:sz w:val="17"/>
                <w:szCs w:val="17"/>
                <w:color w:val="auto"/>
                <w:w w:val="94"/>
              </w:rPr>
              <w:t>(84.5)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58"/>
        </w:trPr>
        <w:tc>
          <w:tcPr>
            <w:tcW w:w="320" w:type="dxa"/>
            <w:vAlign w:val="bottom"/>
            <w:shd w:val="clear" w:color="auto" w:fill="CCEEFF"/>
          </w:tcPr>
          <w:p>
            <w:pPr>
              <w:spacing w:after="0"/>
              <w:rPr>
                <w:sz w:val="22"/>
                <w:szCs w:val="22"/>
                <w:color w:val="auto"/>
              </w:rPr>
            </w:pPr>
          </w:p>
        </w:tc>
        <w:tc>
          <w:tcPr>
            <w:tcW w:w="440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Benefit (expense) from income taxes</w:t>
            </w:r>
          </w:p>
        </w:tc>
        <w:tc>
          <w:tcPr>
            <w:tcW w:w="29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3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66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CCEEFF"/>
          </w:tcPr>
          <w:p>
            <w:pPr>
              <w:jc w:val="center"/>
              <w:ind w:left="663"/>
              <w:spacing w:after="0"/>
              <w:rPr>
                <w:sz w:val="20"/>
                <w:szCs w:val="20"/>
                <w:color w:val="auto"/>
              </w:rPr>
            </w:pPr>
            <w:r>
              <w:rPr>
                <w:rFonts w:ascii="Arial" w:cs="Arial" w:eastAsia="Arial" w:hAnsi="Arial"/>
                <w:sz w:val="17"/>
                <w:szCs w:val="17"/>
                <w:color w:val="auto"/>
                <w:w w:val="94"/>
              </w:rPr>
              <w:t>(78.0)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720" w:type="dxa"/>
            <w:vAlign w:val="bottom"/>
            <w:gridSpan w:val="2"/>
            <w:vMerge w:val="continue"/>
          </w:tcPr>
          <w:p>
            <w:pPr>
              <w:spacing w:after="0"/>
              <w:rPr>
                <w:sz w:val="13"/>
                <w:szCs w:val="13"/>
                <w:color w:val="auto"/>
              </w:rPr>
            </w:pPr>
          </w:p>
        </w:tc>
        <w:tc>
          <w:tcPr>
            <w:tcW w:w="2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20" w:type="dxa"/>
            <w:vAlign w:val="bottom"/>
            <w:gridSpan w:val="2"/>
          </w:tcPr>
          <w:p>
            <w:pPr>
              <w:spacing w:after="0"/>
              <w:rPr>
                <w:sz w:val="20"/>
                <w:szCs w:val="20"/>
                <w:color w:val="auto"/>
              </w:rPr>
            </w:pPr>
            <w:r>
              <w:rPr>
                <w:rFonts w:ascii="Arial" w:cs="Arial" w:eastAsia="Arial" w:hAnsi="Arial"/>
                <w:sz w:val="14"/>
                <w:szCs w:val="14"/>
                <w:color w:val="auto"/>
              </w:rPr>
              <w:t>(1)  Amounts include equity-based compensation expense, as follows:</w:t>
            </w:r>
          </w:p>
        </w:tc>
        <w:tc>
          <w:tcPr>
            <w:tcW w:w="2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w:t>
            </w:r>
          </w:p>
        </w:tc>
        <w:tc>
          <w:tcPr>
            <w:tcW w:w="3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360" w:type="dxa"/>
            <w:vAlign w:val="bottom"/>
            <w:gridSpan w:val="2"/>
            <w:shd w:val="clear" w:color="auto" w:fill="CCEEFF"/>
          </w:tcPr>
          <w:p>
            <w:pPr>
              <w:jc w:val="center"/>
              <w:ind w:right="14"/>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4"/>
                <w:szCs w:val="14"/>
                <w:color w:val="auto"/>
              </w:rPr>
              <w:t>Sales and marketing</w:t>
            </w:r>
          </w:p>
        </w:tc>
        <w:tc>
          <w:tcPr>
            <w:tcW w:w="2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2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29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equity-based compensation expense</w:t>
            </w:r>
          </w:p>
        </w:tc>
        <w:tc>
          <w:tcPr>
            <w:tcW w:w="3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360" w:type="dxa"/>
            <w:vAlign w:val="bottom"/>
            <w:gridSpan w:val="2"/>
            <w:shd w:val="clear" w:color="auto" w:fill="CCEEFF"/>
          </w:tcPr>
          <w:p>
            <w:pPr>
              <w:jc w:val="center"/>
              <w:ind w:right="14"/>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660" w:type="dxa"/>
            <w:vAlign w:val="bottom"/>
            <w:gridSpan w:val="3"/>
          </w:tcPr>
          <w:p>
            <w:pPr>
              <w:jc w:val="right"/>
              <w:ind w:right="2640"/>
              <w:spacing w:after="0"/>
              <w:rPr>
                <w:sz w:val="20"/>
                <w:szCs w:val="20"/>
                <w:color w:val="auto"/>
              </w:rPr>
            </w:pPr>
            <w:r>
              <w:rPr>
                <w:rFonts w:ascii="Arial" w:cs="Arial" w:eastAsia="Arial" w:hAnsi="Arial"/>
                <w:sz w:val="17"/>
                <w:szCs w:val="17"/>
                <w:color w:val="auto"/>
              </w:rPr>
              <w:t>F-7</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3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4" w:name="page225"/>
    <w:bookmarkEnd w:id="224"/>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78"/>
        </w:trPr>
        <w:tc>
          <w:tcPr>
            <w:tcW w:w="450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5"/>
                <w:szCs w:val="15"/>
                <w:color w:val="auto"/>
              </w:rPr>
            </w:pP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4540" w:type="dxa"/>
            <w:vAlign w:val="bottom"/>
            <w:gridSpan w:val="2"/>
            <w:shd w:val="clear" w:color="auto" w:fill="CCEEFF"/>
          </w:tcPr>
          <w:p>
            <w:pPr>
              <w:jc w:val="right"/>
              <w:ind w:right="85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Other comprehensive loss:</w:t>
            </w:r>
          </w:p>
        </w:tc>
        <w:tc>
          <w:tcPr>
            <w:tcW w:w="3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0"/>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unrealized loss on interest rate swaps</w:t>
            </w:r>
          </w:p>
        </w:tc>
        <w:tc>
          <w:tcPr>
            <w:tcW w:w="3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comprehensive income (loss)</w:t>
            </w:r>
          </w:p>
        </w:tc>
        <w:tc>
          <w:tcPr>
            <w:tcW w:w="35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4540" w:type="dxa"/>
            <w:vAlign w:val="bottom"/>
            <w:gridSpan w:val="2"/>
            <w:shd w:val="clear" w:color="auto" w:fill="CCEEFF"/>
          </w:tcPr>
          <w:p>
            <w:pPr>
              <w:jc w:val="right"/>
              <w:ind w:right="85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820"/>
        </w:trPr>
        <w:tc>
          <w:tcPr>
            <w:tcW w:w="4500" w:type="dxa"/>
            <w:vAlign w:val="bottom"/>
          </w:tcPr>
          <w:p>
            <w:pPr>
              <w:spacing w:after="0"/>
              <w:rPr>
                <w:sz w:val="24"/>
                <w:szCs w:val="24"/>
                <w:color w:val="auto"/>
              </w:rPr>
            </w:pPr>
          </w:p>
        </w:tc>
        <w:tc>
          <w:tcPr>
            <w:tcW w:w="4540" w:type="dxa"/>
            <w:vAlign w:val="bottom"/>
            <w:gridSpan w:val="2"/>
          </w:tcPr>
          <w:p>
            <w:pPr>
              <w:jc w:val="right"/>
              <w:ind w:right="3231"/>
              <w:spacing w:after="0"/>
              <w:rPr>
                <w:sz w:val="20"/>
                <w:szCs w:val="20"/>
                <w:color w:val="auto"/>
              </w:rPr>
            </w:pPr>
            <w:r>
              <w:rPr>
                <w:rFonts w:ascii="Arial" w:cs="Arial" w:eastAsia="Arial" w:hAnsi="Arial"/>
                <w:sz w:val="17"/>
                <w:szCs w:val="17"/>
                <w:color w:val="auto"/>
              </w:rPr>
              <w:t>F-8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51"/>
        </w:trPr>
        <w:tc>
          <w:tcPr>
            <w:tcW w:w="45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25" w:name="page226"/>
    <w:bookmarkEnd w:id="225"/>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8"/>
              </w:rPr>
              <w:t>Members' Deficit</w:t>
            </w:r>
          </w:p>
        </w:tc>
        <w:tc>
          <w:tcPr>
            <w:tcW w:w="8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6"/>
                <w:szCs w:val="16"/>
                <w:color w:val="auto"/>
              </w:rPr>
            </w:pPr>
          </w:p>
        </w:tc>
        <w:tc>
          <w:tcPr>
            <w:tcW w:w="14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Total Members’ Deficit</w:t>
            </w:r>
          </w:p>
        </w:tc>
        <w:tc>
          <w:tcPr>
            <w:tcW w:w="0" w:type="dxa"/>
            <w:vAlign w:val="bottom"/>
          </w:tcPr>
          <w:p>
            <w:pPr>
              <w:spacing w:after="0"/>
              <w:rPr>
                <w:sz w:val="1"/>
                <w:szCs w:val="1"/>
                <w:color w:val="auto"/>
              </w:rPr>
            </w:pPr>
          </w:p>
        </w:tc>
      </w:tr>
      <w:tr>
        <w:trPr>
          <w:trHeight w:val="179"/>
        </w:trPr>
        <w:tc>
          <w:tcPr>
            <w:tcW w:w="48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2017</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18"/>
        </w:trPr>
        <w:tc>
          <w:tcPr>
            <w:tcW w:w="4880" w:type="dxa"/>
            <w:vAlign w:val="bottom"/>
          </w:tcPr>
          <w:p>
            <w:pPr>
              <w:ind w:left="220"/>
              <w:spacing w:after="0"/>
              <w:rPr>
                <w:sz w:val="20"/>
                <w:szCs w:val="20"/>
                <w:color w:val="auto"/>
              </w:rPr>
            </w:pPr>
            <w:r>
              <w:rPr>
                <w:rFonts w:ascii="Arial" w:cs="Arial" w:eastAsia="Arial" w:hAnsi="Arial"/>
                <w:sz w:val="17"/>
                <w:szCs w:val="17"/>
                <w:color w:val="auto"/>
              </w:rPr>
              <w:t>Member distributions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Equity-based compensation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income (loss)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2018</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18"/>
        </w:trPr>
        <w:tc>
          <w:tcPr>
            <w:tcW w:w="4880" w:type="dxa"/>
            <w:vAlign w:val="bottom"/>
          </w:tcPr>
          <w:p>
            <w:pPr>
              <w:ind w:left="220"/>
              <w:spacing w:after="0"/>
              <w:rPr>
                <w:sz w:val="20"/>
                <w:szCs w:val="20"/>
                <w:color w:val="auto"/>
              </w:rPr>
            </w:pPr>
            <w:r>
              <w:rPr>
                <w:rFonts w:ascii="Arial" w:cs="Arial" w:eastAsia="Arial" w:hAnsi="Arial"/>
                <w:sz w:val="17"/>
                <w:szCs w:val="17"/>
                <w:color w:val="auto"/>
              </w:rPr>
              <w:t>Net income (loss)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Equity-based compensation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8"/>
        </w:trPr>
        <w:tc>
          <w:tcPr>
            <w:tcW w:w="4880" w:type="dxa"/>
            <w:vAlign w:val="bottom"/>
          </w:tcPr>
          <w:p>
            <w:pPr>
              <w:ind w:left="220"/>
              <w:spacing w:after="0"/>
              <w:rPr>
                <w:sz w:val="20"/>
                <w:szCs w:val="20"/>
                <w:color w:val="auto"/>
              </w:rPr>
            </w:pPr>
            <w:r>
              <w:rPr>
                <w:rFonts w:ascii="Arial" w:cs="Arial" w:eastAsia="Arial" w:hAnsi="Arial"/>
                <w:sz w:val="17"/>
                <w:szCs w:val="17"/>
                <w:color w:val="auto"/>
              </w:rPr>
              <w:t>Member distributions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paid for unit repurchases</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8"/>
        </w:trPr>
        <w:tc>
          <w:tcPr>
            <w:tcW w:w="4880" w:type="dxa"/>
            <w:vAlign w:val="bottom"/>
          </w:tcPr>
          <w:p>
            <w:pPr>
              <w:ind w:left="220"/>
              <w:spacing w:after="0"/>
              <w:rPr>
                <w:sz w:val="20"/>
                <w:szCs w:val="20"/>
                <w:color w:val="auto"/>
              </w:rPr>
            </w:pPr>
            <w:r>
              <w:rPr>
                <w:rFonts w:ascii="Arial" w:cs="Arial" w:eastAsia="Arial" w:hAnsi="Arial"/>
                <w:sz w:val="17"/>
                <w:szCs w:val="17"/>
                <w:color w:val="auto"/>
              </w:rPr>
              <w:t>Accrued unit repurchases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Impact of adoption of new accounting standard (ASC 842)</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comprehensive income (loss)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w w:val="97"/>
              </w:rPr>
              <w:t>(6.0)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2019</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ind w:left="1240"/>
              <w:spacing w:after="0"/>
              <w:rPr>
                <w:sz w:val="20"/>
                <w:szCs w:val="20"/>
                <w:color w:val="auto"/>
              </w:rPr>
            </w:pPr>
            <w:r>
              <w:rPr>
                <w:rFonts w:ascii="Arial" w:cs="Arial" w:eastAsia="Arial" w:hAnsi="Arial"/>
                <w:sz w:val="17"/>
                <w:szCs w:val="17"/>
                <w:color w:val="auto"/>
                <w:w w:val="97"/>
              </w:rPr>
              <w:t>(6.0)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880" w:type="dxa"/>
            <w:vAlign w:val="bottom"/>
          </w:tcPr>
          <w:p>
            <w:pPr>
              <w:spacing w:after="0"/>
              <w:rPr>
                <w:sz w:val="24"/>
                <w:szCs w:val="2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F-9</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4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26" w:name="page227"/>
    <w:bookmarkEnd w:id="226"/>
    <w:p>
      <w:pPr>
        <w:ind w:left="20"/>
        <w:spacing w:after="0"/>
        <w:rPr>
          <w:sz w:val="20"/>
          <w:szCs w:val="20"/>
          <w:color w:val="auto"/>
        </w:rPr>
      </w:pPr>
      <w:r>
        <w:rPr>
          <w:rFonts w:ascii="Arial" w:cs="Arial" w:eastAsia="Arial" w:hAnsi="Arial"/>
          <w:sz w:val="17"/>
          <w:szCs w:val="17"/>
          <w:b w:val="1"/>
          <w:bCs w:val="1"/>
          <w:color w:val="auto"/>
        </w:rPr>
        <w:t>DiscoverOrg Holdings,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386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8"/>
        </w:trPr>
        <w:tc>
          <w:tcPr>
            <w:tcW w:w="802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5"/>
                <w:szCs w:val="15"/>
                <w:color w:val="auto"/>
              </w:rPr>
            </w:pPr>
          </w:p>
        </w:tc>
      </w:tr>
      <w:tr>
        <w:trPr>
          <w:trHeight w:val="187"/>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Net loss</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(78.0)</w:t>
            </w:r>
          </w:p>
        </w:tc>
        <w:tc>
          <w:tcPr>
            <w:tcW w:w="100" w:type="dxa"/>
            <w:vAlign w:val="bottom"/>
          </w:tcPr>
          <w:p>
            <w:pPr>
              <w:spacing w:after="0"/>
              <w:rPr>
                <w:sz w:val="17"/>
                <w:szCs w:val="17"/>
                <w:color w:val="auto"/>
              </w:rPr>
            </w:pPr>
          </w:p>
        </w:tc>
        <w:tc>
          <w:tcPr>
            <w:tcW w:w="1040" w:type="dxa"/>
            <w:vAlign w:val="bottom"/>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(28.6)</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48.7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17.3</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Amortization of debt discounts and issuance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Amortization of deferred commissions costs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Asset impairments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Loss on early extinguishment of debt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consideration valuation adjustments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Equity-based compensation expense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32.7</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income taxes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Paid-in-kind (PIK) accrued interest</w:t>
            </w:r>
          </w:p>
        </w:tc>
        <w:tc>
          <w:tcPr>
            <w:tcW w:w="9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16.4</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Provision for bad debt expense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 net of acquisitions: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receivable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Prepaid expenses and other current assets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costs and other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Income tax receivable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Related party receivable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03"/>
        </w:trPr>
        <w:tc>
          <w:tcPr>
            <w:tcW w:w="802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Accrued expenses and other liabilities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03"/>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Unearned revenue</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r>
      <w:tr>
        <w:trPr>
          <w:trHeight w:val="207"/>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Net cash provided by (used in)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w:t>
            </w:r>
          </w:p>
        </w:tc>
      </w:tr>
      <w:tr>
        <w:trPr>
          <w:trHeight w:val="90"/>
        </w:trPr>
        <w:tc>
          <w:tcPr>
            <w:tcW w:w="8020" w:type="dxa"/>
            <w:vAlign w:val="bottom"/>
          </w:tcPr>
          <w:p>
            <w:pPr>
              <w:spacing w:after="0"/>
              <w:rPr>
                <w:sz w:val="7"/>
                <w:szCs w:val="7"/>
                <w:color w:val="auto"/>
              </w:rPr>
            </w:pPr>
          </w:p>
        </w:tc>
        <w:tc>
          <w:tcPr>
            <w:tcW w:w="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Purchases of property and equipment and other assets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06"/>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for acquisitions, net of cash acquired</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(723.1)</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w:t>
            </w:r>
          </w:p>
        </w:tc>
      </w:tr>
      <w:tr>
        <w:trPr>
          <w:trHeight w:val="207"/>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cash provided by (used in) investing activities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(736.7)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w:t>
            </w:r>
          </w:p>
        </w:tc>
      </w:tr>
      <w:tr>
        <w:trPr>
          <w:trHeight w:val="90"/>
        </w:trPr>
        <w:tc>
          <w:tcPr>
            <w:tcW w:w="80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on long-term debt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Proceeds from long-term debt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9"/>
              </w:rPr>
              <w:t>1,220.8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67.3</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of debt issuance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Repurchase outstanding equity / member units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preferred unit offering, net of transaction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Payments of deferred consideration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to members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(93.4)</w:t>
            </w:r>
          </w:p>
        </w:tc>
      </w:tr>
      <w:tr>
        <w:trPr>
          <w:trHeight w:val="207"/>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cash provided by (used in) financing activities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725.8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r>
      <w:tr>
        <w:trPr>
          <w:trHeight w:val="90"/>
        </w:trPr>
        <w:tc>
          <w:tcPr>
            <w:tcW w:w="80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beginning of year</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w:t>
            </w:r>
          </w:p>
        </w:tc>
      </w:tr>
      <w:tr>
        <w:trPr>
          <w:trHeight w:val="202"/>
        </w:trPr>
        <w:tc>
          <w:tcPr>
            <w:tcW w:w="80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end of year</w:t>
            </w:r>
          </w:p>
        </w:tc>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69"/>
        </w:trPr>
        <w:tc>
          <w:tcPr>
            <w:tcW w:w="80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r>
      <w:tr>
        <w:trPr>
          <w:trHeight w:val="203"/>
        </w:trPr>
        <w:tc>
          <w:tcPr>
            <w:tcW w:w="8020" w:type="dxa"/>
            <w:vAlign w:val="bottom"/>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9"/>
        </w:trPr>
        <w:tc>
          <w:tcPr>
            <w:tcW w:w="80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Interest paid in cash:</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r>
      <w:tr>
        <w:trPr>
          <w:trHeight w:val="103"/>
        </w:trPr>
        <w:tc>
          <w:tcPr>
            <w:tcW w:w="8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3"/>
        </w:trPr>
        <w:tc>
          <w:tcPr>
            <w:tcW w:w="8020" w:type="dxa"/>
            <w:vAlign w:val="bottom"/>
          </w:tcPr>
          <w:p>
            <w:pPr>
              <w:ind w:left="220"/>
              <w:spacing w:after="0"/>
              <w:rPr>
                <w:sz w:val="20"/>
                <w:szCs w:val="20"/>
                <w:color w:val="auto"/>
              </w:rPr>
            </w:pPr>
            <w:r>
              <w:rPr>
                <w:rFonts w:ascii="Arial" w:cs="Arial" w:eastAsia="Arial" w:hAnsi="Arial"/>
                <w:sz w:val="15"/>
                <w:szCs w:val="15"/>
                <w:color w:val="auto"/>
              </w:rPr>
              <w:t>Deferred and variable consideration from acquisition of a business</w:t>
            </w:r>
          </w:p>
        </w:tc>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33.4</w:t>
            </w:r>
          </w:p>
        </w:tc>
        <w:tc>
          <w:tcPr>
            <w:tcW w:w="100" w:type="dxa"/>
            <w:vAlign w:val="bottom"/>
          </w:tcPr>
          <w:p>
            <w:pPr>
              <w:spacing w:after="0"/>
              <w:rPr>
                <w:sz w:val="17"/>
                <w:szCs w:val="17"/>
                <w:color w:val="auto"/>
              </w:rPr>
            </w:pPr>
          </w:p>
        </w:tc>
        <w:tc>
          <w:tcPr>
            <w:tcW w:w="1040" w:type="dxa"/>
            <w:vAlign w:val="bottom"/>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unit repurchases</w:t>
            </w:r>
          </w:p>
        </w:tc>
        <w:tc>
          <w:tcPr>
            <w:tcW w:w="980" w:type="dxa"/>
            <w:vAlign w:val="bottom"/>
            <w:shd w:val="clear" w:color="auto" w:fill="CCEEFF"/>
          </w:tcPr>
          <w:p>
            <w:pPr>
              <w:jc w:val="right"/>
              <w:ind w:right="8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227" w:name="page228"/>
    <w:bookmarkEnd w:id="227"/>
    <w:p>
      <w:pPr>
        <w:jc w:val="center"/>
        <w:ind w:right="-499"/>
        <w:spacing w:after="0"/>
        <w:rPr>
          <w:sz w:val="20"/>
          <w:szCs w:val="20"/>
          <w:color w:val="auto"/>
        </w:rPr>
      </w:pPr>
      <w:r>
        <w:rPr>
          <w:rFonts w:ascii="Arial" w:cs="Arial" w:eastAsia="Arial" w:hAnsi="Arial"/>
          <w:sz w:val="17"/>
          <w:szCs w:val="17"/>
          <w:b w:val="1"/>
          <w:bCs w:val="1"/>
          <w:color w:val="auto"/>
        </w:rPr>
        <w:t>DiscoverOrg Holdings, LLC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Notes to Audited Consolidated Financial Statements</w:t>
      </w:r>
    </w:p>
    <w:p>
      <w:pPr>
        <w:spacing w:after="0" w:line="11"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(In millions, except unit counts, unless otherwise noted)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Pr>
          <w:p>
            <w:pPr>
              <w:spacing w:after="0"/>
              <w:rPr>
                <w:rFonts w:ascii="Arial" w:cs="Arial" w:eastAsia="Arial" w:hAnsi="Arial"/>
                <w:sz w:val="17"/>
                <w:szCs w:val="17"/>
                <w:u w:val="single" w:color="auto"/>
                <w:color w:val="0000FF"/>
              </w:rPr>
            </w:pPr>
            <w:hyperlink w:anchor="page228">
              <w:r>
                <w:rPr>
                  <w:rFonts w:ascii="Arial" w:cs="Arial" w:eastAsia="Arial" w:hAnsi="Arial"/>
                  <w:sz w:val="17"/>
                  <w:szCs w:val="17"/>
                  <w:u w:val="single" w:color="auto"/>
                  <w:color w:val="0000FF"/>
                </w:rPr>
                <w:t>Note 1</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28">
              <w:r>
                <w:rPr>
                  <w:rFonts w:ascii="Arial" w:cs="Arial" w:eastAsia="Arial" w:hAnsi="Arial"/>
                  <w:sz w:val="17"/>
                  <w:szCs w:val="17"/>
                  <w:u w:val="single" w:color="auto"/>
                  <w:color w:val="0000FF"/>
                </w:rPr>
                <w:t>Organization</w:t>
              </w:r>
            </w:hyperlink>
          </w:p>
        </w:tc>
        <w:tc>
          <w:tcPr>
            <w:tcW w:w="2640" w:type="dxa"/>
            <w:vAlign w:val="bottom"/>
          </w:tcPr>
          <w:p>
            <w:pPr>
              <w:ind w:left="2320"/>
              <w:spacing w:after="0"/>
              <w:rPr>
                <w:rFonts w:ascii="Arial" w:cs="Arial" w:eastAsia="Arial" w:hAnsi="Arial"/>
                <w:sz w:val="17"/>
                <w:szCs w:val="17"/>
                <w:color w:val="auto"/>
                <w:w w:val="85"/>
              </w:rPr>
            </w:pPr>
            <w:hyperlink w:anchor="page228">
              <w:r>
                <w:rPr>
                  <w:rFonts w:ascii="Arial" w:cs="Arial" w:eastAsia="Arial" w:hAnsi="Arial"/>
                  <w:sz w:val="17"/>
                  <w:szCs w:val="17"/>
                  <w:color w:val="auto"/>
                  <w:w w:val="85"/>
                </w:rPr>
                <w:t>F-12</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29">
              <w:r>
                <w:rPr>
                  <w:rFonts w:ascii="Arial" w:cs="Arial" w:eastAsia="Arial" w:hAnsi="Arial"/>
                  <w:sz w:val="17"/>
                  <w:szCs w:val="17"/>
                  <w:u w:val="single" w:color="auto"/>
                  <w:color w:val="0000FF"/>
                </w:rPr>
                <w:t>Note 2</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29">
              <w:r>
                <w:rPr>
                  <w:rFonts w:ascii="Arial" w:cs="Arial" w:eastAsia="Arial" w:hAnsi="Arial"/>
                  <w:sz w:val="17"/>
                  <w:szCs w:val="17"/>
                  <w:u w:val="single" w:color="auto"/>
                  <w:color w:val="0000FF"/>
                </w:rPr>
                <w:t>Basis of Presentation and Summary of Significant Accounting Policies</w:t>
              </w:r>
            </w:hyperlink>
          </w:p>
        </w:tc>
        <w:tc>
          <w:tcPr>
            <w:tcW w:w="2640" w:type="dxa"/>
            <w:vAlign w:val="bottom"/>
          </w:tcPr>
          <w:p>
            <w:pPr>
              <w:ind w:left="2320"/>
              <w:spacing w:after="0"/>
              <w:rPr>
                <w:rFonts w:ascii="Arial" w:cs="Arial" w:eastAsia="Arial" w:hAnsi="Arial"/>
                <w:sz w:val="17"/>
                <w:szCs w:val="17"/>
                <w:color w:val="auto"/>
                <w:w w:val="85"/>
              </w:rPr>
            </w:pPr>
            <w:hyperlink w:anchor="page229">
              <w:r>
                <w:rPr>
                  <w:rFonts w:ascii="Arial" w:cs="Arial" w:eastAsia="Arial" w:hAnsi="Arial"/>
                  <w:sz w:val="17"/>
                  <w:szCs w:val="17"/>
                  <w:color w:val="auto"/>
                  <w:w w:val="85"/>
                </w:rPr>
                <w:t>F-12</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37">
              <w:r>
                <w:rPr>
                  <w:rFonts w:ascii="Arial" w:cs="Arial" w:eastAsia="Arial" w:hAnsi="Arial"/>
                  <w:sz w:val="17"/>
                  <w:szCs w:val="17"/>
                  <w:u w:val="single" w:color="auto"/>
                  <w:color w:val="0000FF"/>
                </w:rPr>
                <w:t>Note 3</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37">
              <w:r>
                <w:rPr>
                  <w:rFonts w:ascii="Arial" w:cs="Arial" w:eastAsia="Arial" w:hAnsi="Arial"/>
                  <w:sz w:val="17"/>
                  <w:szCs w:val="17"/>
                  <w:u w:val="single" w:color="auto"/>
                  <w:color w:val="0000FF"/>
                </w:rPr>
                <w:t>Revenue from Contracts with Customers</w:t>
              </w:r>
            </w:hyperlink>
          </w:p>
        </w:tc>
        <w:tc>
          <w:tcPr>
            <w:tcW w:w="2640" w:type="dxa"/>
            <w:vAlign w:val="bottom"/>
          </w:tcPr>
          <w:p>
            <w:pPr>
              <w:ind w:left="2320"/>
              <w:spacing w:after="0"/>
              <w:rPr>
                <w:rFonts w:ascii="Arial" w:cs="Arial" w:eastAsia="Arial" w:hAnsi="Arial"/>
                <w:sz w:val="17"/>
                <w:szCs w:val="17"/>
                <w:color w:val="auto"/>
                <w:w w:val="85"/>
              </w:rPr>
            </w:pPr>
            <w:hyperlink w:anchor="page237">
              <w:r>
                <w:rPr>
                  <w:rFonts w:ascii="Arial" w:cs="Arial" w:eastAsia="Arial" w:hAnsi="Arial"/>
                  <w:sz w:val="17"/>
                  <w:szCs w:val="17"/>
                  <w:color w:val="auto"/>
                  <w:w w:val="85"/>
                </w:rPr>
                <w:t>F-20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38">
              <w:r>
                <w:rPr>
                  <w:rFonts w:ascii="Arial" w:cs="Arial" w:eastAsia="Arial" w:hAnsi="Arial"/>
                  <w:sz w:val="17"/>
                  <w:szCs w:val="17"/>
                  <w:u w:val="single" w:color="auto"/>
                  <w:color w:val="0000FF"/>
                </w:rPr>
                <w:t>Note 4</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38">
              <w:r>
                <w:rPr>
                  <w:rFonts w:ascii="Arial" w:cs="Arial" w:eastAsia="Arial" w:hAnsi="Arial"/>
                  <w:sz w:val="17"/>
                  <w:szCs w:val="17"/>
                  <w:u w:val="single" w:color="auto"/>
                  <w:color w:val="0000FF"/>
                </w:rPr>
                <w:t>Business Combinations</w:t>
              </w:r>
            </w:hyperlink>
          </w:p>
        </w:tc>
        <w:tc>
          <w:tcPr>
            <w:tcW w:w="2640" w:type="dxa"/>
            <w:vAlign w:val="bottom"/>
          </w:tcPr>
          <w:p>
            <w:pPr>
              <w:ind w:left="2320"/>
              <w:spacing w:after="0"/>
              <w:rPr>
                <w:rFonts w:ascii="Arial" w:cs="Arial" w:eastAsia="Arial" w:hAnsi="Arial"/>
                <w:sz w:val="17"/>
                <w:szCs w:val="17"/>
                <w:color w:val="auto"/>
                <w:w w:val="85"/>
              </w:rPr>
            </w:pPr>
            <w:hyperlink w:anchor="page238">
              <w:r>
                <w:rPr>
                  <w:rFonts w:ascii="Arial" w:cs="Arial" w:eastAsia="Arial" w:hAnsi="Arial"/>
                  <w:sz w:val="17"/>
                  <w:szCs w:val="17"/>
                  <w:color w:val="auto"/>
                  <w:w w:val="85"/>
                </w:rPr>
                <w:t>F-21</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Note 5</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Property and Equipment</w:t>
              </w:r>
            </w:hyperlink>
          </w:p>
        </w:tc>
        <w:tc>
          <w:tcPr>
            <w:tcW w:w="2640" w:type="dxa"/>
            <w:vAlign w:val="bottom"/>
          </w:tcPr>
          <w:p>
            <w:pPr>
              <w:ind w:left="2320"/>
              <w:spacing w:after="0"/>
              <w:rPr>
                <w:rFonts w:ascii="Arial" w:cs="Arial" w:eastAsia="Arial" w:hAnsi="Arial"/>
                <w:sz w:val="17"/>
                <w:szCs w:val="17"/>
                <w:color w:val="auto"/>
                <w:w w:val="85"/>
              </w:rPr>
            </w:pPr>
            <w:hyperlink w:anchor="page242">
              <w:r>
                <w:rPr>
                  <w:rFonts w:ascii="Arial" w:cs="Arial" w:eastAsia="Arial" w:hAnsi="Arial"/>
                  <w:sz w:val="17"/>
                  <w:szCs w:val="17"/>
                  <w:color w:val="auto"/>
                  <w:w w:val="85"/>
                </w:rPr>
                <w:t>F-25</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Note 6</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2">
              <w:r>
                <w:rPr>
                  <w:rFonts w:ascii="Arial" w:cs="Arial" w:eastAsia="Arial" w:hAnsi="Arial"/>
                  <w:sz w:val="17"/>
                  <w:szCs w:val="17"/>
                  <w:u w:val="single" w:color="auto"/>
                  <w:color w:val="0000FF"/>
                </w:rPr>
                <w:t>Goodwill and Acquired Intangible Assets</w:t>
              </w:r>
            </w:hyperlink>
          </w:p>
        </w:tc>
        <w:tc>
          <w:tcPr>
            <w:tcW w:w="2640" w:type="dxa"/>
            <w:vAlign w:val="bottom"/>
          </w:tcPr>
          <w:p>
            <w:pPr>
              <w:ind w:left="2320"/>
              <w:spacing w:after="0"/>
              <w:rPr>
                <w:rFonts w:ascii="Arial" w:cs="Arial" w:eastAsia="Arial" w:hAnsi="Arial"/>
                <w:sz w:val="17"/>
                <w:szCs w:val="17"/>
                <w:color w:val="auto"/>
                <w:w w:val="85"/>
              </w:rPr>
            </w:pPr>
            <w:hyperlink w:anchor="page242">
              <w:r>
                <w:rPr>
                  <w:rFonts w:ascii="Arial" w:cs="Arial" w:eastAsia="Arial" w:hAnsi="Arial"/>
                  <w:sz w:val="17"/>
                  <w:szCs w:val="17"/>
                  <w:color w:val="auto"/>
                  <w:w w:val="85"/>
                </w:rPr>
                <w:t>F-26</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4">
              <w:r>
                <w:rPr>
                  <w:rFonts w:ascii="Arial" w:cs="Arial" w:eastAsia="Arial" w:hAnsi="Arial"/>
                  <w:sz w:val="17"/>
                  <w:szCs w:val="17"/>
                  <w:u w:val="single" w:color="auto"/>
                  <w:color w:val="0000FF"/>
                </w:rPr>
                <w:t>Note 7</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4">
              <w:r>
                <w:rPr>
                  <w:rFonts w:ascii="Arial" w:cs="Arial" w:eastAsia="Arial" w:hAnsi="Arial"/>
                  <w:sz w:val="17"/>
                  <w:szCs w:val="17"/>
                  <w:u w:val="single" w:color="auto"/>
                  <w:color w:val="0000FF"/>
                </w:rPr>
                <w:t>Financing Arrangements</w:t>
              </w:r>
            </w:hyperlink>
          </w:p>
        </w:tc>
        <w:tc>
          <w:tcPr>
            <w:tcW w:w="2640" w:type="dxa"/>
            <w:vAlign w:val="bottom"/>
          </w:tcPr>
          <w:p>
            <w:pPr>
              <w:ind w:left="2320"/>
              <w:spacing w:after="0"/>
              <w:rPr>
                <w:rFonts w:ascii="Arial" w:cs="Arial" w:eastAsia="Arial" w:hAnsi="Arial"/>
                <w:sz w:val="17"/>
                <w:szCs w:val="17"/>
                <w:color w:val="auto"/>
                <w:w w:val="85"/>
              </w:rPr>
            </w:pPr>
            <w:hyperlink w:anchor="page244">
              <w:r>
                <w:rPr>
                  <w:rFonts w:ascii="Arial" w:cs="Arial" w:eastAsia="Arial" w:hAnsi="Arial"/>
                  <w:sz w:val="17"/>
                  <w:szCs w:val="17"/>
                  <w:color w:val="auto"/>
                  <w:w w:val="85"/>
                </w:rPr>
                <w:t>F-27</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6">
              <w:r>
                <w:rPr>
                  <w:rFonts w:ascii="Arial" w:cs="Arial" w:eastAsia="Arial" w:hAnsi="Arial"/>
                  <w:sz w:val="17"/>
                  <w:szCs w:val="17"/>
                  <w:u w:val="single" w:color="auto"/>
                  <w:color w:val="0000FF"/>
                </w:rPr>
                <w:t>Note 8</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6">
              <w:r>
                <w:rPr>
                  <w:rFonts w:ascii="Arial" w:cs="Arial" w:eastAsia="Arial" w:hAnsi="Arial"/>
                  <w:sz w:val="17"/>
                  <w:szCs w:val="17"/>
                  <w:u w:val="single" w:color="auto"/>
                  <w:color w:val="0000FF"/>
                </w:rPr>
                <w:t>Derivatives and Hedging Activities</w:t>
              </w:r>
            </w:hyperlink>
          </w:p>
        </w:tc>
        <w:tc>
          <w:tcPr>
            <w:tcW w:w="2640" w:type="dxa"/>
            <w:vAlign w:val="bottom"/>
          </w:tcPr>
          <w:p>
            <w:pPr>
              <w:ind w:left="2320"/>
              <w:spacing w:after="0"/>
              <w:rPr>
                <w:rFonts w:ascii="Arial" w:cs="Arial" w:eastAsia="Arial" w:hAnsi="Arial"/>
                <w:sz w:val="17"/>
                <w:szCs w:val="17"/>
                <w:color w:val="auto"/>
                <w:w w:val="85"/>
              </w:rPr>
            </w:pPr>
            <w:hyperlink w:anchor="page246">
              <w:r>
                <w:rPr>
                  <w:rFonts w:ascii="Arial" w:cs="Arial" w:eastAsia="Arial" w:hAnsi="Arial"/>
                  <w:sz w:val="17"/>
                  <w:szCs w:val="17"/>
                  <w:color w:val="auto"/>
                  <w:w w:val="85"/>
                </w:rPr>
                <w:t>F-29</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7">
              <w:r>
                <w:rPr>
                  <w:rFonts w:ascii="Arial" w:cs="Arial" w:eastAsia="Arial" w:hAnsi="Arial"/>
                  <w:sz w:val="17"/>
                  <w:szCs w:val="17"/>
                  <w:u w:val="single" w:color="auto"/>
                  <w:color w:val="0000FF"/>
                </w:rPr>
                <w:t>Note 9</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7">
              <w:r>
                <w:rPr>
                  <w:rFonts w:ascii="Arial" w:cs="Arial" w:eastAsia="Arial" w:hAnsi="Arial"/>
                  <w:sz w:val="17"/>
                  <w:szCs w:val="17"/>
                  <w:u w:val="single" w:color="auto"/>
                  <w:color w:val="0000FF"/>
                </w:rPr>
                <w:t>Fair Value Measurements</w:t>
              </w:r>
            </w:hyperlink>
          </w:p>
        </w:tc>
        <w:tc>
          <w:tcPr>
            <w:tcW w:w="2640" w:type="dxa"/>
            <w:vAlign w:val="bottom"/>
          </w:tcPr>
          <w:p>
            <w:pPr>
              <w:ind w:left="2320"/>
              <w:spacing w:after="0"/>
              <w:rPr>
                <w:rFonts w:ascii="Arial" w:cs="Arial" w:eastAsia="Arial" w:hAnsi="Arial"/>
                <w:sz w:val="17"/>
                <w:szCs w:val="17"/>
                <w:color w:val="auto"/>
                <w:w w:val="85"/>
              </w:rPr>
            </w:pPr>
            <w:hyperlink w:anchor="page247">
              <w:r>
                <w:rPr>
                  <w:rFonts w:ascii="Arial" w:cs="Arial" w:eastAsia="Arial" w:hAnsi="Arial"/>
                  <w:sz w:val="17"/>
                  <w:szCs w:val="17"/>
                  <w:color w:val="auto"/>
                  <w:w w:val="85"/>
                </w:rPr>
                <w:t>F-30</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9">
              <w:r>
                <w:rPr>
                  <w:rFonts w:ascii="Arial" w:cs="Arial" w:eastAsia="Arial" w:hAnsi="Arial"/>
                  <w:sz w:val="17"/>
                  <w:szCs w:val="17"/>
                  <w:u w:val="single" w:color="auto"/>
                  <w:color w:val="0000FF"/>
                </w:rPr>
                <w:t>Note 10</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9">
              <w:r>
                <w:rPr>
                  <w:rFonts w:ascii="Arial" w:cs="Arial" w:eastAsia="Arial" w:hAnsi="Arial"/>
                  <w:sz w:val="17"/>
                  <w:szCs w:val="17"/>
                  <w:u w:val="single" w:color="auto"/>
                  <w:color w:val="0000FF"/>
                </w:rPr>
                <w:t>Commitments and Contingencies</w:t>
              </w:r>
            </w:hyperlink>
          </w:p>
        </w:tc>
        <w:tc>
          <w:tcPr>
            <w:tcW w:w="2640" w:type="dxa"/>
            <w:vAlign w:val="bottom"/>
          </w:tcPr>
          <w:p>
            <w:pPr>
              <w:ind w:left="2320"/>
              <w:spacing w:after="0"/>
              <w:rPr>
                <w:rFonts w:ascii="Arial" w:cs="Arial" w:eastAsia="Arial" w:hAnsi="Arial"/>
                <w:sz w:val="17"/>
                <w:szCs w:val="17"/>
                <w:color w:val="auto"/>
                <w:w w:val="85"/>
              </w:rPr>
            </w:pPr>
            <w:hyperlink w:anchor="page249">
              <w:r>
                <w:rPr>
                  <w:rFonts w:ascii="Arial" w:cs="Arial" w:eastAsia="Arial" w:hAnsi="Arial"/>
                  <w:sz w:val="17"/>
                  <w:szCs w:val="17"/>
                  <w:color w:val="auto"/>
                  <w:w w:val="85"/>
                </w:rPr>
                <w:t>F-32</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49">
              <w:r>
                <w:rPr>
                  <w:rFonts w:ascii="Arial" w:cs="Arial" w:eastAsia="Arial" w:hAnsi="Arial"/>
                  <w:sz w:val="17"/>
                  <w:szCs w:val="17"/>
                  <w:u w:val="single" w:color="auto"/>
                  <w:color w:val="0000FF"/>
                </w:rPr>
                <w:t>Note 11</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49">
              <w:r>
                <w:rPr>
                  <w:rFonts w:ascii="Arial" w:cs="Arial" w:eastAsia="Arial" w:hAnsi="Arial"/>
                  <w:sz w:val="17"/>
                  <w:szCs w:val="17"/>
                  <w:u w:val="single" w:color="auto"/>
                  <w:color w:val="0000FF"/>
                </w:rPr>
                <w:t>Leases</w:t>
              </w:r>
            </w:hyperlink>
          </w:p>
        </w:tc>
        <w:tc>
          <w:tcPr>
            <w:tcW w:w="2640" w:type="dxa"/>
            <w:vAlign w:val="bottom"/>
          </w:tcPr>
          <w:p>
            <w:pPr>
              <w:ind w:left="2320"/>
              <w:spacing w:after="0"/>
              <w:rPr>
                <w:rFonts w:ascii="Arial" w:cs="Arial" w:eastAsia="Arial" w:hAnsi="Arial"/>
                <w:sz w:val="17"/>
                <w:szCs w:val="17"/>
                <w:color w:val="auto"/>
                <w:w w:val="85"/>
              </w:rPr>
            </w:pPr>
            <w:hyperlink w:anchor="page249">
              <w:r>
                <w:rPr>
                  <w:rFonts w:ascii="Arial" w:cs="Arial" w:eastAsia="Arial" w:hAnsi="Arial"/>
                  <w:sz w:val="17"/>
                  <w:szCs w:val="17"/>
                  <w:color w:val="auto"/>
                  <w:w w:val="85"/>
                </w:rPr>
                <w:t>F-33</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1">
              <w:r>
                <w:rPr>
                  <w:rFonts w:ascii="Arial" w:cs="Arial" w:eastAsia="Arial" w:hAnsi="Arial"/>
                  <w:sz w:val="17"/>
                  <w:szCs w:val="17"/>
                  <w:u w:val="single" w:color="auto"/>
                  <w:color w:val="0000FF"/>
                </w:rPr>
                <w:t>Note 12</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1">
              <w:r>
                <w:rPr>
                  <w:rFonts w:ascii="Arial" w:cs="Arial" w:eastAsia="Arial" w:hAnsi="Arial"/>
                  <w:sz w:val="17"/>
                  <w:szCs w:val="17"/>
                  <w:u w:val="single" w:color="auto"/>
                  <w:color w:val="0000FF"/>
                </w:rPr>
                <w:t>Members’ Deficit</w:t>
              </w:r>
            </w:hyperlink>
          </w:p>
        </w:tc>
        <w:tc>
          <w:tcPr>
            <w:tcW w:w="2640" w:type="dxa"/>
            <w:vAlign w:val="bottom"/>
          </w:tcPr>
          <w:p>
            <w:pPr>
              <w:ind w:left="2320"/>
              <w:spacing w:after="0"/>
              <w:rPr>
                <w:rFonts w:ascii="Arial" w:cs="Arial" w:eastAsia="Arial" w:hAnsi="Arial"/>
                <w:sz w:val="17"/>
                <w:szCs w:val="17"/>
                <w:color w:val="auto"/>
                <w:w w:val="85"/>
              </w:rPr>
            </w:pPr>
            <w:hyperlink w:anchor="page251">
              <w:r>
                <w:rPr>
                  <w:rFonts w:ascii="Arial" w:cs="Arial" w:eastAsia="Arial" w:hAnsi="Arial"/>
                  <w:sz w:val="17"/>
                  <w:szCs w:val="17"/>
                  <w:color w:val="auto"/>
                  <w:w w:val="85"/>
                </w:rPr>
                <w:t>F-34</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2">
              <w:r>
                <w:rPr>
                  <w:rFonts w:ascii="Arial" w:cs="Arial" w:eastAsia="Arial" w:hAnsi="Arial"/>
                  <w:sz w:val="17"/>
                  <w:szCs w:val="17"/>
                  <w:u w:val="single" w:color="auto"/>
                  <w:color w:val="0000FF"/>
                </w:rPr>
                <w:t>Note 13</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2">
              <w:r>
                <w:rPr>
                  <w:rFonts w:ascii="Arial" w:cs="Arial" w:eastAsia="Arial" w:hAnsi="Arial"/>
                  <w:sz w:val="17"/>
                  <w:szCs w:val="17"/>
                  <w:u w:val="single" w:color="auto"/>
                  <w:color w:val="0000FF"/>
                </w:rPr>
                <w:t>Redeemable Series A Preferred Units</w:t>
              </w:r>
            </w:hyperlink>
          </w:p>
        </w:tc>
        <w:tc>
          <w:tcPr>
            <w:tcW w:w="2640" w:type="dxa"/>
            <w:vAlign w:val="bottom"/>
          </w:tcPr>
          <w:p>
            <w:pPr>
              <w:ind w:left="2320"/>
              <w:spacing w:after="0"/>
              <w:rPr>
                <w:rFonts w:ascii="Arial" w:cs="Arial" w:eastAsia="Arial" w:hAnsi="Arial"/>
                <w:sz w:val="17"/>
                <w:szCs w:val="17"/>
                <w:color w:val="auto"/>
                <w:w w:val="85"/>
              </w:rPr>
            </w:pPr>
            <w:hyperlink w:anchor="page252">
              <w:r>
                <w:rPr>
                  <w:rFonts w:ascii="Arial" w:cs="Arial" w:eastAsia="Arial" w:hAnsi="Arial"/>
                  <w:sz w:val="17"/>
                  <w:szCs w:val="17"/>
                  <w:color w:val="auto"/>
                  <w:w w:val="85"/>
                </w:rPr>
                <w:t>F-35</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3">
              <w:r>
                <w:rPr>
                  <w:rFonts w:ascii="Arial" w:cs="Arial" w:eastAsia="Arial" w:hAnsi="Arial"/>
                  <w:sz w:val="17"/>
                  <w:szCs w:val="17"/>
                  <w:u w:val="single" w:color="auto"/>
                  <w:color w:val="0000FF"/>
                </w:rPr>
                <w:t>Note 14</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3">
              <w:r>
                <w:rPr>
                  <w:rFonts w:ascii="Arial" w:cs="Arial" w:eastAsia="Arial" w:hAnsi="Arial"/>
                  <w:sz w:val="17"/>
                  <w:szCs w:val="17"/>
                  <w:u w:val="single" w:color="auto"/>
                  <w:color w:val="0000FF"/>
                </w:rPr>
                <w:t>Employee Retirement Benefits</w:t>
              </w:r>
            </w:hyperlink>
          </w:p>
        </w:tc>
        <w:tc>
          <w:tcPr>
            <w:tcW w:w="2640" w:type="dxa"/>
            <w:vAlign w:val="bottom"/>
          </w:tcPr>
          <w:p>
            <w:pPr>
              <w:ind w:left="2320"/>
              <w:spacing w:after="0"/>
              <w:rPr>
                <w:rFonts w:ascii="Arial" w:cs="Arial" w:eastAsia="Arial" w:hAnsi="Arial"/>
                <w:sz w:val="17"/>
                <w:szCs w:val="17"/>
                <w:color w:val="auto"/>
                <w:w w:val="85"/>
              </w:rPr>
            </w:pPr>
            <w:hyperlink w:anchor="page253">
              <w:r>
                <w:rPr>
                  <w:rFonts w:ascii="Arial" w:cs="Arial" w:eastAsia="Arial" w:hAnsi="Arial"/>
                  <w:sz w:val="17"/>
                  <w:szCs w:val="17"/>
                  <w:color w:val="auto"/>
                  <w:w w:val="85"/>
                </w:rPr>
                <w:t>F-36</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3">
              <w:r>
                <w:rPr>
                  <w:rFonts w:ascii="Arial" w:cs="Arial" w:eastAsia="Arial" w:hAnsi="Arial"/>
                  <w:sz w:val="17"/>
                  <w:szCs w:val="17"/>
                  <w:u w:val="single" w:color="auto"/>
                  <w:color w:val="0000FF"/>
                </w:rPr>
                <w:t>Note 15</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3">
              <w:r>
                <w:rPr>
                  <w:rFonts w:ascii="Arial" w:cs="Arial" w:eastAsia="Arial" w:hAnsi="Arial"/>
                  <w:sz w:val="17"/>
                  <w:szCs w:val="17"/>
                  <w:u w:val="single" w:color="auto"/>
                  <w:color w:val="0000FF"/>
                </w:rPr>
                <w:t>Equity-Based Compensation</w:t>
              </w:r>
            </w:hyperlink>
          </w:p>
        </w:tc>
        <w:tc>
          <w:tcPr>
            <w:tcW w:w="2640" w:type="dxa"/>
            <w:vAlign w:val="bottom"/>
          </w:tcPr>
          <w:p>
            <w:pPr>
              <w:ind w:left="2320"/>
              <w:spacing w:after="0"/>
              <w:rPr>
                <w:rFonts w:ascii="Arial" w:cs="Arial" w:eastAsia="Arial" w:hAnsi="Arial"/>
                <w:sz w:val="17"/>
                <w:szCs w:val="17"/>
                <w:color w:val="auto"/>
                <w:w w:val="85"/>
              </w:rPr>
            </w:pPr>
            <w:hyperlink w:anchor="page253">
              <w:r>
                <w:rPr>
                  <w:rFonts w:ascii="Arial" w:cs="Arial" w:eastAsia="Arial" w:hAnsi="Arial"/>
                  <w:sz w:val="17"/>
                  <w:szCs w:val="17"/>
                  <w:color w:val="auto"/>
                  <w:w w:val="85"/>
                </w:rPr>
                <w:t>F-36</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5">
              <w:r>
                <w:rPr>
                  <w:rFonts w:ascii="Arial" w:cs="Arial" w:eastAsia="Arial" w:hAnsi="Arial"/>
                  <w:sz w:val="17"/>
                  <w:szCs w:val="17"/>
                  <w:u w:val="single" w:color="auto"/>
                  <w:color w:val="0000FF"/>
                </w:rPr>
                <w:t>Note 16</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5">
              <w:r>
                <w:rPr>
                  <w:rFonts w:ascii="Arial" w:cs="Arial" w:eastAsia="Arial" w:hAnsi="Arial"/>
                  <w:sz w:val="17"/>
                  <w:szCs w:val="17"/>
                  <w:u w:val="single" w:color="auto"/>
                  <w:color w:val="0000FF"/>
                </w:rPr>
                <w:t>Segment and Geographic Data</w:t>
              </w:r>
            </w:hyperlink>
          </w:p>
        </w:tc>
        <w:tc>
          <w:tcPr>
            <w:tcW w:w="2640" w:type="dxa"/>
            <w:vAlign w:val="bottom"/>
          </w:tcPr>
          <w:p>
            <w:pPr>
              <w:ind w:left="2320"/>
              <w:spacing w:after="0"/>
              <w:rPr>
                <w:rFonts w:ascii="Arial" w:cs="Arial" w:eastAsia="Arial" w:hAnsi="Arial"/>
                <w:sz w:val="17"/>
                <w:szCs w:val="17"/>
                <w:color w:val="auto"/>
                <w:w w:val="85"/>
              </w:rPr>
            </w:pPr>
            <w:hyperlink w:anchor="page255">
              <w:r>
                <w:rPr>
                  <w:rFonts w:ascii="Arial" w:cs="Arial" w:eastAsia="Arial" w:hAnsi="Arial"/>
                  <w:sz w:val="17"/>
                  <w:szCs w:val="17"/>
                  <w:color w:val="auto"/>
                  <w:w w:val="85"/>
                </w:rPr>
                <w:t>F-38</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5">
              <w:r>
                <w:rPr>
                  <w:rFonts w:ascii="Arial" w:cs="Arial" w:eastAsia="Arial" w:hAnsi="Arial"/>
                  <w:sz w:val="17"/>
                  <w:szCs w:val="17"/>
                  <w:u w:val="single" w:color="auto"/>
                  <w:color w:val="0000FF"/>
                </w:rPr>
                <w:t>Note 17</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5">
              <w:r>
                <w:rPr>
                  <w:rFonts w:ascii="Arial" w:cs="Arial" w:eastAsia="Arial" w:hAnsi="Arial"/>
                  <w:sz w:val="17"/>
                  <w:szCs w:val="17"/>
                  <w:u w:val="single" w:color="auto"/>
                  <w:color w:val="0000FF"/>
                </w:rPr>
                <w:t>Income Tax Provision</w:t>
              </w:r>
            </w:hyperlink>
          </w:p>
        </w:tc>
        <w:tc>
          <w:tcPr>
            <w:tcW w:w="2640" w:type="dxa"/>
            <w:vAlign w:val="bottom"/>
          </w:tcPr>
          <w:p>
            <w:pPr>
              <w:ind w:left="2320"/>
              <w:spacing w:after="0"/>
              <w:rPr>
                <w:rFonts w:ascii="Arial" w:cs="Arial" w:eastAsia="Arial" w:hAnsi="Arial"/>
                <w:sz w:val="17"/>
                <w:szCs w:val="17"/>
                <w:color w:val="auto"/>
                <w:w w:val="85"/>
              </w:rPr>
            </w:pPr>
            <w:hyperlink w:anchor="page255">
              <w:r>
                <w:rPr>
                  <w:rFonts w:ascii="Arial" w:cs="Arial" w:eastAsia="Arial" w:hAnsi="Arial"/>
                  <w:sz w:val="17"/>
                  <w:szCs w:val="17"/>
                  <w:color w:val="auto"/>
                  <w:w w:val="85"/>
                </w:rPr>
                <w:t>F-39</w:t>
              </w:r>
            </w:hyperlink>
          </w:p>
        </w:tc>
      </w:tr>
      <w:tr>
        <w:trPr>
          <w:trHeight w:val="219"/>
        </w:trPr>
        <w:tc>
          <w:tcPr>
            <w:tcW w:w="880" w:type="dxa"/>
            <w:vAlign w:val="bottom"/>
          </w:tcPr>
          <w:p>
            <w:pPr>
              <w:spacing w:after="0"/>
              <w:rPr>
                <w:rFonts w:ascii="Arial" w:cs="Arial" w:eastAsia="Arial" w:hAnsi="Arial"/>
                <w:sz w:val="17"/>
                <w:szCs w:val="17"/>
                <w:u w:val="single" w:color="auto"/>
                <w:color w:val="0000FF"/>
              </w:rPr>
            </w:pPr>
            <w:hyperlink w:anchor="page257">
              <w:r>
                <w:rPr>
                  <w:rFonts w:ascii="Arial" w:cs="Arial" w:eastAsia="Arial" w:hAnsi="Arial"/>
                  <w:sz w:val="17"/>
                  <w:szCs w:val="17"/>
                  <w:u w:val="single" w:color="auto"/>
                  <w:color w:val="0000FF"/>
                </w:rPr>
                <w:t>Note 18</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57">
              <w:r>
                <w:rPr>
                  <w:rFonts w:ascii="Arial" w:cs="Arial" w:eastAsia="Arial" w:hAnsi="Arial"/>
                  <w:sz w:val="17"/>
                  <w:szCs w:val="17"/>
                  <w:u w:val="single" w:color="auto"/>
                  <w:color w:val="0000FF"/>
                </w:rPr>
                <w:t>Subsequent Events</w:t>
              </w:r>
            </w:hyperlink>
          </w:p>
        </w:tc>
        <w:tc>
          <w:tcPr>
            <w:tcW w:w="2640" w:type="dxa"/>
            <w:vAlign w:val="bottom"/>
          </w:tcPr>
          <w:p>
            <w:pPr>
              <w:ind w:left="2320"/>
              <w:spacing w:after="0"/>
              <w:rPr>
                <w:rFonts w:ascii="Arial" w:cs="Arial" w:eastAsia="Arial" w:hAnsi="Arial"/>
                <w:sz w:val="17"/>
                <w:szCs w:val="17"/>
                <w:color w:val="auto"/>
                <w:w w:val="85"/>
              </w:rPr>
            </w:pPr>
            <w:hyperlink w:anchor="page257">
              <w:r>
                <w:rPr>
                  <w:rFonts w:ascii="Arial" w:cs="Arial" w:eastAsia="Arial" w:hAnsi="Arial"/>
                  <w:sz w:val="17"/>
                  <w:szCs w:val="17"/>
                  <w:color w:val="auto"/>
                  <w:w w:val="85"/>
                </w:rPr>
                <w:t>F-41</w:t>
              </w:r>
            </w:hyperlink>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423545</wp:posOffset>
            </wp:positionV>
            <wp:extent cx="7138670"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020"/>
          </w:cols>
          <w:pgMar w:left="340" w:top="1358" w:right="539" w:bottom="1440" w:gutter="0" w:footer="0" w:header="0"/>
        </w:sectPr>
      </w:pPr>
    </w:p>
    <w:bookmarkStart w:id="228" w:name="page229"/>
    <w:bookmarkEnd w:id="228"/>
    <w:p>
      <w:pPr>
        <w:spacing w:after="0"/>
        <w:rPr>
          <w:sz w:val="20"/>
          <w:szCs w:val="20"/>
          <w:color w:val="auto"/>
        </w:rPr>
      </w:pPr>
      <w:r>
        <w:rPr>
          <w:rFonts w:ascii="Arial" w:cs="Arial" w:eastAsia="Arial" w:hAnsi="Arial"/>
          <w:sz w:val="17"/>
          <w:szCs w:val="17"/>
          <w:b w:val="1"/>
          <w:bCs w:val="1"/>
          <w:color w:val="auto"/>
        </w:rPr>
        <w:t>Note 1 - Organization and Background</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DiscoverOrg Holdings, LLC (together with its subsidiaries, “DiscoverOrg” or the “Company”) provides a go-to-market intelligence platform for sales and marketing teams. The Company’s cloud-based platform provides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Company’s headquarters are located in Vancouver, Washington, with operations in seven offices throughout the United States (“U.S.”) and one office in Israel.</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began operations in 2007 through a predecessor entity then called DiscoverOrg LLC and was incorporated in Delaware in 2014 as a limited liability company. The Company is comprised of two limited liability companies that are treated as partnerships for tax purposes, eleven limited liability companies that are single member entities and disregarded for tax purposes, two corporations, and one foreign entity. Members' liability is limited pursuant to the Delaware Limited Liability Company Act.</w:t>
      </w:r>
    </w:p>
    <w:p>
      <w:pPr>
        <w:spacing w:after="0" w:line="122" w:lineRule="exact"/>
        <w:rPr>
          <w:sz w:val="20"/>
          <w:szCs w:val="20"/>
          <w:color w:val="auto"/>
        </w:rPr>
      </w:pPr>
    </w:p>
    <w:p>
      <w:pPr>
        <w:ind w:right="5500"/>
        <w:spacing w:after="0" w:line="446" w:lineRule="auto"/>
        <w:rPr>
          <w:sz w:val="20"/>
          <w:szCs w:val="20"/>
          <w:color w:val="auto"/>
        </w:rPr>
      </w:pPr>
      <w:r>
        <w:rPr>
          <w:rFonts w:ascii="Arial" w:cs="Arial" w:eastAsia="Arial" w:hAnsi="Arial"/>
          <w:sz w:val="17"/>
          <w:szCs w:val="17"/>
          <w:b w:val="1"/>
          <w:bCs w:val="1"/>
          <w:color w:val="auto"/>
        </w:rPr>
        <w:t xml:space="preserve">Note 2 - Basis of Presentation and 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consolidated financial statements have been prepared in accordance with generally accepted accounting principles in the United States (“GAAP”). The consolidated financial statements include the results of DiscoverOrg Holdings, LLC and its wholly owned subsidiaries. All intercompany balances and transactions have been eliminated in consolidation.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5"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The preparation of consolidated financial statements in conformity with GAAP requires management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Management bases these estimates on historical and anticipated results, trends, and other assumptions with respect to future events that we believe are reasonable and evaluate the Company’s estimates on an ongoing basis. Given that estimates and judgments are required, actual results may differ and such differences could be material to the consolidated financial position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derives revenue primarily from subscription services. Subscription services consist of SaaS applications and related access to the Company’s databases. Subscription contracts are generally based on the number of users that access the applications, the level of functionality, and the number of datasets or records made available. Subscription contracts typically have a term of one to three years and are non-cancellable. Subscription contracts generally represent a single performance obligation and are recognized on a ratable basis over the subscription term. Services are typically billed quarterly or annually in advance of delivery.</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adopted Financial Accounting Standards Board (“FASB”) Accounting Standards Codification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(“Topic 606”), effective January 1, 2018, using the full retrospective method of adoption as if the adoption occurred on January 1, 2017. As such,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present revenue in accordance with Topic 606 for all the periods presented.</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accounts for revenue contracts with customers through the following steps: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identify the contract with a customer;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29" w:name="page230"/>
    <w:bookmarkEnd w:id="229"/>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ind w:left="620" w:hanging="308"/>
        <w:spacing w:after="0"/>
        <w:tabs>
          <w:tab w:leader="none" w:pos="6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allocate the transaction price;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recognize revenue when or as the Company satisfies a performance obligation.</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recognizes revenue for subscription contracts on a ratable basis over the contract term, beginning on the date that the service is made available to the customer. Unearned revenue results from revenue amounts billed to customers in advance or cash received from customers in advance of the satisfaction of performance obligations. At times, the Company may adjust billing under a contract based on the addition of services or other circumstances, which are accounted for as variable consideration under Topic 606. The Company estimates these amounts based on historical experience to arrive at transaction price.</w:t>
      </w:r>
    </w:p>
    <w:p>
      <w:pPr>
        <w:spacing w:after="0" w:line="96"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identified an error in its consolidated balance sheet as of January 1, 2018 related to the adoption of ASC 606, Revenue from Contracts with Customers, consisting of a $4.3 million understatement of members’ deficit and an understatement of deferred revenue of the same amount. The Company has corrected this error by decreasing members’ deficit by $4.3 million to $29.8 million in the consolidated statements of changes in members’ deficit as of January 1, 2018, and adjusting unearned revenue and member’s deficit in the consolidated balance sheets as of December 31, 2018 both by $4.3 million. The Company does not believe these adjustments are material to the previously issued financial statements, and the adjustments had no impact on the consolidated statements of operations or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77"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Company's financial instruments consist principally of cash and cash equivalents, prepaid expenses and other current assets, accounts receivable,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 of highly liquid investments with maturities of three months or less at the time of purchase.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Customers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0" w:name="page231"/>
    <w:bookmarkEnd w:id="230"/>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2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Concentrations of credit risk with respect to accounts receivable and revenue are limited due to a large, diverse customer base. The Company does not require collateral from clients. The Company maintains an allowance for doubtful accounts based upon the expected collectability of accounts receivable. The Company maintains allowances for possible losses, which, when realized, have been within the range of management’s expectations.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years ended December 31, 2019 and 2018, revenue by geographic area, based on billing addresses of the customers, was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1"/>
              </w:rPr>
              <w:t>For the year ended December 31,</w:t>
            </w:r>
          </w:p>
        </w:tc>
        <w:tc>
          <w:tcPr>
            <w:tcW w:w="540" w:type="dxa"/>
            <w:vAlign w:val="bottom"/>
            <w:tcBorders>
              <w:bottom w:val="single" w:sz="8" w:color="auto"/>
            </w:tcBorders>
          </w:tcPr>
          <w:p>
            <w:pPr>
              <w:spacing w:after="0"/>
              <w:rPr>
                <w:sz w:val="16"/>
                <w:szCs w:val="16"/>
                <w:color w:val="auto"/>
              </w:rPr>
            </w:pPr>
          </w:p>
        </w:tc>
      </w:tr>
      <w:tr>
        <w:trPr>
          <w:trHeight w:val="178"/>
        </w:trPr>
        <w:tc>
          <w:tcPr>
            <w:tcW w:w="802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4"/>
                <w:szCs w:val="14"/>
                <w:b w:val="1"/>
                <w:bCs w:val="1"/>
                <w:color w:val="auto"/>
              </w:rPr>
              <w:t>2019</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5"/>
                <w:szCs w:val="15"/>
                <w:color w:val="auto"/>
              </w:rPr>
            </w:pPr>
          </w:p>
        </w:tc>
      </w:tr>
      <w:tr>
        <w:trPr>
          <w:trHeight w:val="21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020" w:type="dxa"/>
            <w:vAlign w:val="bottom"/>
            <w:tcBorders>
              <w:top w:val="single" w:sz="8" w:color="auto"/>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134.9</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 of world</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 single foreign country and no single customer represented more than 10% of the Company’s revenues in any period.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Contract assets represent a contractual right to consideration in the future. Contract assets are generated when contractual billing schedules differ from revenue recognition timing.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to ten years.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Commissions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contracts are capitalized and included in deferred costs and other assets. Capitalized amounts also include (1) amounts paid to employees other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than the direct sales force who earn incentive payouts under annual compensation plans that are tied to the value of contracts acquired, (2) commissions paid to employees upon renewals of subscription contracts, and (3) the associated payroll taxes associated with the payments to the Company’s employees.</w:t>
      </w:r>
    </w:p>
    <w:p>
      <w:pPr>
        <w:spacing w:after="0" w:line="9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Costs capitalized related to new revenue contracts are amortized on a straight-line basis over three years, which reflects the average period of benefit, including expected contract renewals. When determining the period of benefit, the Company considered its customer contracts, technology, and other relevant factors. Additionally, the Company amortizes capitalized costs for contract renewals over twelve months.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Certain commissions are not capitalized as they do not represent incremental costs of obtaining a contract. Such commissions are expensed as incurred.</w:t>
      </w:r>
    </w:p>
    <w:p>
      <w:pPr>
        <w:spacing w:after="0" w:line="17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capitalized $25.3 million and $3.3 million of costs to obtain revenue contracts and amortized $8.6 million and $1.5 million to sales and marketing expense for the years ended December 31, 2019 and 2018, respectively. Costs capitalized to obtain a revenue contract, net on the Company's consolidated balance sheets totaled $20.5 million and $3.8 million at December 31, 2019 and 2018, respectively. There were no impairments of costs to obtain revenue contracts in the years ended December 31, 2019 and 2018.</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expenses advertising costs as incurred in accordance with ASC 720-35, </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$9.8 million and $2.5 million for the years ended December 31, 2019 and 2018, respectively, are included in sales and marketing on the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accounts for research and development costs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and all research and development costs are expensed as incurred. Research and development costs consist primarily of salaries, employee benefits, related overhead costs associated with product development, testing, quality assurance, documentation, enhancements, and upgrades.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Transaction Related Expenses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Company allocates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2" w:name="page233"/>
    <w:bookmarkEnd w:id="232"/>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Company first assesses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1"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color w:val="auto"/>
        </w:rPr>
        <w:t xml:space="preserve">Acquired technology, customer lists, trade names or brand portfolios, and other intangible assets are related to previous acquisitions (see </w:t>
      </w:r>
      <w:r>
        <w:rPr>
          <w:rFonts w:ascii="Arial" w:cs="Arial" w:eastAsia="Arial" w:hAnsi="Arial"/>
          <w:sz w:val="17"/>
          <w:szCs w:val="17"/>
          <w:b w:val="1"/>
          <w:bCs w:val="1"/>
          <w:color w:val="auto"/>
        </w:rPr>
        <w:t>Note 6 - Goodwill</w:t>
      </w:r>
      <w:r>
        <w:rPr>
          <w:rFonts w:ascii="Arial" w:cs="Arial" w:eastAsia="Arial" w:hAnsi="Arial"/>
          <w:sz w:val="17"/>
          <w:szCs w:val="17"/>
          <w:color w:val="auto"/>
        </w:rPr>
        <w:t xml:space="preserve"> </w:t>
      </w:r>
      <w:r>
        <w:rPr>
          <w:rFonts w:ascii="Arial" w:cs="Arial" w:eastAsia="Arial" w:hAnsi="Arial"/>
          <w:sz w:val="17"/>
          <w:szCs w:val="17"/>
          <w:b w:val="1"/>
          <w:bCs w:val="1"/>
          <w:color w:val="auto"/>
        </w:rPr>
        <w:t>and Acquired Intangible Assets</w:t>
      </w:r>
      <w:r>
        <w:rPr>
          <w:rFonts w:ascii="Arial" w:cs="Arial" w:eastAsia="Arial" w:hAnsi="Arial"/>
          <w:sz w:val="17"/>
          <w:szCs w:val="17"/>
          <w:color w:val="auto"/>
        </w:rPr>
        <w:t>).</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Acquired intangible assets are amortized on a straight-line basis over the estimated period over which we expect to realize economic value related to the intangible asset. The amortization periods range from 2 years to 15 years.</w:t>
      </w:r>
    </w:p>
    <w:p>
      <w:pPr>
        <w:spacing w:after="0" w:line="112"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Indefinite lived intangible assets consist primarily of brand portfolios acquired from Pre-Acquisition ZI and represent costs paid to legally register phrases and graphic designs that identify and distinguish products sold by the Company. ZoomInfo related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during the years ended December 31, 2019 and 2018 relating to acquired assets accounted for under ASC 350.</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65"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2019, we recorded an impairment charge of $1.1 million relating to the impairment of a right-of-use asset acquired in Pre-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3" w:name="page234"/>
    <w:bookmarkEnd w:id="233"/>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Acquisition ZI acquisition (refer to </w:t>
      </w:r>
      <w:r>
        <w:rPr>
          <w:rFonts w:ascii="Arial" w:cs="Arial" w:eastAsia="Arial" w:hAnsi="Arial"/>
          <w:sz w:val="16"/>
          <w:szCs w:val="16"/>
          <w:b w:val="1"/>
          <w:bCs w:val="1"/>
          <w:color w:val="auto"/>
        </w:rPr>
        <w:t>Note 4 – Business Combinations</w:t>
      </w:r>
      <w:r>
        <w:rPr>
          <w:rFonts w:ascii="Arial" w:cs="Arial" w:eastAsia="Arial" w:hAnsi="Arial"/>
          <w:sz w:val="16"/>
          <w:szCs w:val="16"/>
          <w:color w:val="auto"/>
        </w:rPr>
        <w:t>). No impairment charges were recorded during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Accrued expenses and other current liabilities at December 31, 2019 and 2018, include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Accrued salaries, wages, and benefits</w:t>
            </w:r>
            <w:r>
              <w:rPr>
                <w:rFonts w:ascii="Arial" w:cs="Arial" w:eastAsia="Arial" w:hAnsi="Arial"/>
                <w:sz w:val="22"/>
                <w:szCs w:val="22"/>
                <w:color w:val="auto"/>
                <w:vertAlign w:val="superscript"/>
              </w:rPr>
              <w:t>(1)</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accrued expenses and other current liabilities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__________________</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00" w:hanging="297"/>
        <w:spacing w:after="0"/>
        <w:tabs>
          <w:tab w:leader="none" w:pos="30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Includes $24.9 million of deferred consideration relating to the ZoomInfo acquisition.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Unearned Revenue</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Unearned revenue consists of customer payments and billings in advance of revenue being recognized from the subscription services. Unearned revenue that is anticipated to be recognized within the next 12 months is recorded as unearned revenue, current portion and the remaining portion is included in unearned revenue, net of current portion.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comprised of two limited liability companies that are treated as partnerships for tax purposes, eleven limited liability companies that are single member entities and disregarded for tax purposes, two corporations, and one foreign entity.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The Company records income tax provision, deferred tax assets, and deferred tax liabilities only for the items for which the Company is responsible for making payments directly to the relevant tax authority.</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required to identify, evaluate and measure all uncertain tax positions taken or to be taken on tax returns and to record liabilities for the amount of these positions that may not be sustained, or may only partially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4" w:name="page235"/>
    <w:bookmarkEnd w:id="234"/>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 sustained, upon examination by the relevant taxing authorities. Although the Company believes that its estimates and judgments were reasonable, actual results may differ from these estimates. Some or all of these judgments are subject to review by the taxing authorities.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recognizes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6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accounts for incentive units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23"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96" w:lineRule="exact"/>
        <w:rPr>
          <w:sz w:val="20"/>
          <w:szCs w:val="20"/>
          <w:color w:val="auto"/>
        </w:rPr>
      </w:pPr>
    </w:p>
    <w:p>
      <w:pPr>
        <w:jc w:val="both"/>
        <w:ind w:firstLine="309"/>
        <w:spacing w:after="0" w:line="295" w:lineRule="auto"/>
        <w:rPr>
          <w:sz w:val="20"/>
          <w:szCs w:val="20"/>
          <w:color w:val="auto"/>
        </w:rPr>
      </w:pPr>
      <w:r>
        <w:rPr>
          <w:rFonts w:ascii="Arial" w:cs="Arial" w:eastAsia="Arial" w:hAnsi="Arial"/>
          <w:sz w:val="15"/>
          <w:szCs w:val="15"/>
          <w:color w:val="auto"/>
        </w:rPr>
        <w:t xml:space="preserve">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Prior to the adoption of ASU 2018-07, </w:t>
      </w:r>
      <w:r>
        <w:rPr>
          <w:rFonts w:ascii="Arial" w:cs="Arial" w:eastAsia="Arial" w:hAnsi="Arial"/>
          <w:sz w:val="15"/>
          <w:szCs w:val="15"/>
          <w:i w:val="1"/>
          <w:iCs w:val="1"/>
          <w:color w:val="auto"/>
        </w:rPr>
        <w:t xml:space="preserve">Compensation - Stock Compensation (Topic 718) - Improvements to Nonemployee Share-Based Payment Accounting, </w:t>
      </w:r>
      <w:r>
        <w:rPr>
          <w:rFonts w:ascii="Arial" w:cs="Arial" w:eastAsia="Arial" w:hAnsi="Arial"/>
          <w:sz w:val="15"/>
          <w:szCs w:val="15"/>
          <w:color w:val="auto"/>
        </w:rPr>
        <w:t>on January 1, 2019, the Company measured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fair value of stock-based awards granted to non-employees in accordance with ASC 505-50-25, </w:t>
      </w:r>
      <w:r>
        <w:rPr>
          <w:rFonts w:ascii="Arial" w:cs="Arial" w:eastAsia="Arial" w:hAnsi="Arial"/>
          <w:sz w:val="15"/>
          <w:szCs w:val="15"/>
          <w:i w:val="1"/>
          <w:iCs w:val="1"/>
          <w:color w:val="auto"/>
        </w:rPr>
        <w:t>Equity Based Payments to Non-Employees</w:t>
      </w:r>
      <w:r>
        <w:rPr>
          <w:rFonts w:ascii="Arial" w:cs="Arial" w:eastAsia="Arial" w:hAnsi="Arial"/>
          <w:sz w:val="15"/>
          <w:szCs w:val="15"/>
          <w:color w:val="auto"/>
        </w:rPr>
        <w:t>, which required the measurement and recognition of compensation expense for all equity-based payment awards made to non-employees based on estimated fair values. Upon the adoption of ASU 2018-07, the Company fair valued the remaining outstanding unvested non-employee awards as of January 1, 2019 and will recognize expense in the same periods and in the same manner as if the Company had paid cash to the recipient in lieu of the non-employee award.</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Effective January 1, 2019, the Company adopted ASU No. 2017-12, </w:t>
      </w:r>
      <w:r>
        <w:rPr>
          <w:rFonts w:ascii="Arial" w:cs="Arial" w:eastAsia="Arial" w:hAnsi="Arial"/>
          <w:sz w:val="17"/>
          <w:szCs w:val="17"/>
          <w:i w:val="1"/>
          <w:iCs w:val="1"/>
          <w:color w:val="auto"/>
        </w:rPr>
        <w:t>Derivatives and Hedging (Topic 815),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Activities </w:t>
      </w:r>
      <w:r>
        <w:rPr>
          <w:rFonts w:ascii="Arial" w:cs="Arial" w:eastAsia="Arial" w:hAnsi="Arial"/>
          <w:sz w:val="17"/>
          <w:szCs w:val="17"/>
          <w:color w:val="auto"/>
        </w:rPr>
        <w:t>(ASU 2017-12) on a prospective basis. The new guidance eliminates the requirement to separately measure and report hedge ineffectiveness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qualifying hedges, requires the entire change in the fair value of the hedging instrument to be presented in the same income statement line as the hedged item. The Company’s hedges, consisting of our interest rate swaps and interest rate cap,</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5" w:name="page236"/>
    <w:bookmarkEnd w:id="235"/>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are fully effective. Therefore, adoption of ASU 2017-12 did not have any impact on the Company’s financial statements. See </w:t>
      </w:r>
      <w:r>
        <w:rPr>
          <w:rFonts w:ascii="Arial" w:cs="Arial" w:eastAsia="Arial" w:hAnsi="Arial"/>
          <w:sz w:val="17"/>
          <w:szCs w:val="17"/>
          <w:b w:val="1"/>
          <w:bCs w:val="1"/>
          <w:color w:val="auto"/>
        </w:rPr>
        <w:t>Note 8 - Derivatives and Hedging</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Activities </w:t>
      </w:r>
      <w:r>
        <w:rPr>
          <w:rFonts w:ascii="Arial" w:cs="Arial" w:eastAsia="Arial" w:hAnsi="Arial"/>
          <w:sz w:val="17"/>
          <w:szCs w:val="17"/>
          <w:color w:val="auto"/>
        </w:rPr>
        <w:t>for the disclosures required by ASU 2017-12.</w:t>
      </w:r>
    </w:p>
    <w:p>
      <w:pPr>
        <w:spacing w:after="0" w:line="107" w:lineRule="exact"/>
        <w:rPr>
          <w:sz w:val="20"/>
          <w:szCs w:val="20"/>
          <w:color w:val="auto"/>
        </w:rPr>
      </w:pPr>
    </w:p>
    <w:p>
      <w:pPr>
        <w:jc w:val="both"/>
        <w:ind w:firstLine="309"/>
        <w:spacing w:after="0" w:line="27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(ASC 842)</w:t>
      </w:r>
      <w:r>
        <w:rPr>
          <w:rFonts w:ascii="Arial" w:cs="Arial" w:eastAsia="Arial" w:hAnsi="Arial"/>
          <w:sz w:val="16"/>
          <w:szCs w:val="16"/>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ASC 842, which allows transition to the new lease standard by recognizing a cumulative-effect adjustment to the opening balance of retained earnings in the period of adoption. The Company adopted ASC 842 as of January 1, 2019 under this new alternative transition method. The Company elected the package of practical expedients permitted under the transition guidance within the new standard, which among other things, allows the Company to carry forward the historical lease classification. In addition, as a practical expedient relating to its real estate leases, the Company will not separate lease components from nonlease components. The Company did not elect the hindsight practical expedient permitted under the transition guidance within the new lease standard. The Company recognized a right-of-use asset of $9.3 million and a lease liability of $12.8 million, largely pertaining to the Company’s headquarter office lease, with a cumulative-effect adjustment, net of tax, to retained earnings in the amount of $1.8 million representing hidden impairment, upon adoption of ASC 842. The adoption of ASC 842 did not, and is not expected to in the future, have a material impact on earnings.</w:t>
      </w:r>
    </w:p>
    <w:p>
      <w:pPr>
        <w:spacing w:after="0" w:line="119"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This update expands the scope of Topic 718, “Compensation - Stock Compensation,” to include equity-based awards granted to non-employees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adopted ASU 2018-07 on January 1, 2019. In accordance with transition guidance, unsettled non-employee awards were measured at the adoption date fair value as a substitute for grant date fair value. There was no impact to the consolidated financial statements upon adoption.</w:t>
      </w:r>
    </w:p>
    <w:p>
      <w:pPr>
        <w:spacing w:after="0" w:line="122"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which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elected to early adopt the standard, on a prospective basis, effective for the year and interim periods within the year beginning January 1, 2019. The adoption of this standard did not have a material impact on the Company’s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6" w:name="page237"/>
    <w:bookmarkEnd w:id="236"/>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Detail</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comprised the following service offerings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5"/>
                <w:szCs w:val="15"/>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 intelligence tools</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Email verification service</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Go-To-Market business intelligence tools are subscription services that allow customers access to the SaaS tools to support sales and marketing processes, which include data, analytics, and insights to provide accurate and comprehensive intelligence on organizations and professionals. The Company’s customers use the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Of the total revenue recognized in the years ended December 31, 2019 and 2018, $52.2 million and $37.1 million was included in the unearned revenue balance as of December 31, 2018 and 2017, respectively. Revenue recognized from performance obligations satisfied (or partially satisfied) in previous periods was not material.</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Revenue by geography is determined based on the domicile of the DiscoverOrg contracting entity. All customer contracts are with the Company’s U.S. entities, therefore substantially all of the revenue is designated as U.S. revenue. Due to the SaaS-based nature of the service, it is possible that some of the customers use the service outside of the U.S. The Company estimates that less than 11% of its customers are located outside of the U.S.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Unearned Revenue</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Company’s standard billing terms typically require payment at the beginning of each annual or quarterly period. Subscription revenue is generally recognized ratably over the contract term starting with when the service is made available to the customer. Email verification service revenue is recognized in the period services are used by customers. The amount of revenue recognized reflects the consideration the Company expects to be entitled to receive in exchange for these services.</w:t>
      </w:r>
    </w:p>
    <w:p>
      <w:pPr>
        <w:spacing w:after="0" w:line="128"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non-cancellable subscription agreements.</w:t>
      </w:r>
    </w:p>
    <w:p>
      <w:pPr>
        <w:spacing w:after="0" w:line="9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contract asset balances of $0.1 million and $1.1 million as of December 31, 2019 and 2018, respectively, are recorded as current assets within Prepaid expenses and other current assets in the consolidated balance sheets. The unearned revenue balances were $159.1 million and $52.5 million as of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7" w:name="page238"/>
    <w:bookmarkEnd w:id="237"/>
    <w:p>
      <w:pPr>
        <w:spacing w:after="0"/>
        <w:rPr>
          <w:sz w:val="20"/>
          <w:szCs w:val="20"/>
          <w:color w:val="auto"/>
        </w:rPr>
      </w:pPr>
      <w:r>
        <w:rPr>
          <w:rFonts w:ascii="Arial" w:cs="Arial" w:eastAsia="Arial" w:hAnsi="Arial"/>
          <w:sz w:val="17"/>
          <w:szCs w:val="17"/>
          <w:b w:val="1"/>
          <w:bCs w:val="1"/>
          <w:color w:val="auto"/>
        </w:rPr>
        <w:t>Note 3 - Revenue from Contracts with Customers (continued)</w:t>
      </w:r>
    </w:p>
    <w:p>
      <w:pPr>
        <w:spacing w:after="0" w:line="197"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performance obligations consisted of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Current</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Noncurrent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of December 31, 2018</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111.9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w:t>
            </w:r>
          </w:p>
        </w:tc>
      </w:tr>
      <w:tr>
        <w:trPr>
          <w:trHeight w:val="217"/>
        </w:trPr>
        <w:tc>
          <w:tcPr>
            <w:tcW w:w="6360" w:type="dxa"/>
            <w:vAlign w:val="bottom"/>
          </w:tcPr>
          <w:p>
            <w:pPr>
              <w:ind w:left="20"/>
              <w:spacing w:after="0"/>
              <w:rPr>
                <w:sz w:val="20"/>
                <w:szCs w:val="20"/>
                <w:color w:val="auto"/>
              </w:rPr>
            </w:pPr>
            <w:r>
              <w:rPr>
                <w:rFonts w:ascii="Arial" w:cs="Arial" w:eastAsia="Arial" w:hAnsi="Arial"/>
                <w:sz w:val="17"/>
                <w:szCs w:val="17"/>
                <w:color w:val="auto"/>
              </w:rPr>
              <w:t>As of December 31, 2019</w:t>
            </w:r>
          </w:p>
        </w:tc>
        <w:tc>
          <w:tcPr>
            <w:tcW w:w="1060" w:type="dxa"/>
            <w:vAlign w:val="bottom"/>
          </w:tcPr>
          <w:p>
            <w:pPr>
              <w:jc w:val="right"/>
              <w:ind w:right="880"/>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266.6</w:t>
            </w:r>
          </w:p>
        </w:tc>
        <w:tc>
          <w:tcPr>
            <w:tcW w:w="100" w:type="dxa"/>
            <w:vAlign w:val="bottom"/>
          </w:tcPr>
          <w:p>
            <w:pPr>
              <w:spacing w:after="0"/>
              <w:rPr>
                <w:sz w:val="18"/>
                <w:szCs w:val="18"/>
                <w:color w:val="auto"/>
              </w:rPr>
            </w:pPr>
          </w:p>
        </w:tc>
        <w:tc>
          <w:tcPr>
            <w:tcW w:w="1160" w:type="dxa"/>
            <w:vAlign w:val="bottom"/>
          </w:tcPr>
          <w:p>
            <w:pPr>
              <w:jc w:val="right"/>
              <w:ind w:right="9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96"/>
              </w:rPr>
              <w:t>74.1</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340.7</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Komiko</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earnout payments</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2.4</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color w:val="auto"/>
                <w:w w:val="91"/>
              </w:rPr>
              <w:t>(0.2)</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2.2</w:t>
            </w:r>
          </w:p>
        </w:tc>
      </w:tr>
      <w:tr>
        <w:trPr>
          <w:trHeight w:val="218"/>
        </w:trPr>
        <w:tc>
          <w:tcPr>
            <w:tcW w:w="96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Goodwill</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74"/>
              <w:spacing w:after="0"/>
              <w:rPr>
                <w:sz w:val="20"/>
                <w:szCs w:val="20"/>
                <w:color w:val="auto"/>
              </w:rPr>
            </w:pPr>
            <w:r>
              <w:rPr>
                <w:rFonts w:ascii="Arial" w:cs="Arial" w:eastAsia="Arial" w:hAnsi="Arial"/>
                <w:sz w:val="17"/>
                <w:szCs w:val="17"/>
                <w:color w:val="auto"/>
                <w:w w:val="92"/>
              </w:rPr>
              <w:t>6.3</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consideration</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8.5</w:t>
            </w:r>
          </w:p>
        </w:tc>
      </w:tr>
      <w:tr>
        <w:trPr>
          <w:trHeight w:val="218"/>
        </w:trPr>
        <w:tc>
          <w:tcPr>
            <w:tcW w:w="96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Contingent Earnout Payments</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color w:val="auto"/>
                <w:w w:val="91"/>
              </w:rPr>
              <w:t>(0.2)</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acquisitions</w:t>
            </w: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7"/>
                <w:szCs w:val="17"/>
                <w:color w:val="auto"/>
                <w:w w:val="92"/>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8" w:name="page239"/>
    <w:bookmarkEnd w:id="238"/>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Developed technology represents the fair value of the Komiko technology portfolio. The goodwill balance is primarily attributed to the expanded market opportunities when integrating Komiko’s technology with DiscoverOrg’s technology and the assembled workforce. The goodwill balance is expected to be deductible for U.S. income tax purposes. The pro forma revenue and earnings impact on the combined entity, had the acquisition date been January 1, 2018, was not material.</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Pre-Acquisition ZI</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acquisition date fair value of the consideration paid by the Company for Pre-Acquisition ZI was $760.1 million, including cash acquired of $12.1 million, and was comprised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667.3</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Liability for equity award settlement</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25.2</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Portion of replacement awards attributable to pre-acquisition service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Other purchase consideration liabilities</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13"/>
        </w:trPr>
        <w:tc>
          <w:tcPr>
            <w:tcW w:w="968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In accordance with the purchase agreement, the Company will pay deferred consideration of $25.0 million and $10.0 million on the first and second anniversary of the Pre-Acquisition ZI acquisition, respectively. The fair value of the deferred consideration payments was determined using a present value calculation. The following table summarizes the fair values of the assets acquired and liabilities assumed, as of the date of acquisition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w:t>
            </w:r>
          </w:p>
        </w:tc>
        <w:tc>
          <w:tcPr>
            <w:tcW w:w="592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assets</w:t>
            </w:r>
          </w:p>
        </w:tc>
        <w:tc>
          <w:tcPr>
            <w:tcW w:w="5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5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322.0</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other liabilities</w:t>
            </w:r>
          </w:p>
        </w:tc>
        <w:tc>
          <w:tcPr>
            <w:tcW w:w="5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8"/>
        </w:trPr>
        <w:tc>
          <w:tcPr>
            <w:tcW w:w="436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5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20"/>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5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1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5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r>
      <w:tr>
        <w:trPr>
          <w:trHeight w:val="213"/>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5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w:t>
            </w:r>
          </w:p>
        </w:tc>
      </w:tr>
      <w:tr>
        <w:trPr>
          <w:trHeight w:val="218"/>
        </w:trPr>
        <w:tc>
          <w:tcPr>
            <w:tcW w:w="43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Goodwill</w:t>
            </w:r>
          </w:p>
        </w:tc>
        <w:tc>
          <w:tcPr>
            <w:tcW w:w="53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514.8</w:t>
            </w:r>
          </w:p>
        </w:tc>
      </w:tr>
      <w:tr>
        <w:trPr>
          <w:trHeight w:val="213"/>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consideration</w:t>
            </w:r>
          </w:p>
        </w:tc>
        <w:tc>
          <w:tcPr>
            <w:tcW w:w="592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760.1</w:t>
            </w:r>
          </w:p>
        </w:tc>
      </w:tr>
      <w:tr>
        <w:trPr>
          <w:trHeight w:val="211"/>
        </w:trPr>
        <w:tc>
          <w:tcPr>
            <w:tcW w:w="4360" w:type="dxa"/>
            <w:vAlign w:val="bottom"/>
          </w:tcPr>
          <w:p>
            <w:pPr>
              <w:ind w:left="440"/>
              <w:spacing w:after="0"/>
              <w:rPr>
                <w:sz w:val="20"/>
                <w:szCs w:val="20"/>
                <w:color w:val="auto"/>
              </w:rPr>
            </w:pPr>
            <w:r>
              <w:rPr>
                <w:rFonts w:ascii="Arial" w:cs="Arial" w:eastAsia="Arial" w:hAnsi="Arial"/>
                <w:sz w:val="17"/>
                <w:szCs w:val="17"/>
                <w:color w:val="auto"/>
              </w:rPr>
              <w:t>Deferred consideration</w:t>
            </w:r>
          </w:p>
        </w:tc>
        <w:tc>
          <w:tcPr>
            <w:tcW w:w="5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w:t>
            </w:r>
          </w:p>
        </w:tc>
      </w:tr>
      <w:tr>
        <w:trPr>
          <w:trHeight w:val="219"/>
        </w:trPr>
        <w:tc>
          <w:tcPr>
            <w:tcW w:w="4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acquired</w:t>
            </w:r>
          </w:p>
        </w:tc>
        <w:tc>
          <w:tcPr>
            <w:tcW w:w="53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3"/>
        </w:trPr>
        <w:tc>
          <w:tcPr>
            <w:tcW w:w="4360" w:type="dxa"/>
            <w:vAlign w:val="bottom"/>
          </w:tcPr>
          <w:p>
            <w:pPr>
              <w:ind w:left="20"/>
              <w:spacing w:after="0"/>
              <w:rPr>
                <w:sz w:val="20"/>
                <w:szCs w:val="20"/>
                <w:color w:val="auto"/>
              </w:rPr>
            </w:pPr>
            <w:r>
              <w:rPr>
                <w:rFonts w:ascii="Arial" w:cs="Arial" w:eastAsia="Arial" w:hAnsi="Arial"/>
                <w:sz w:val="17"/>
                <w:szCs w:val="17"/>
                <w:color w:val="auto"/>
              </w:rPr>
              <w:t>Cash paid for acquisitions, net of cash acquired</w:t>
            </w:r>
          </w:p>
        </w:tc>
        <w:tc>
          <w:tcPr>
            <w:tcW w:w="532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714.8</w:t>
            </w:r>
          </w:p>
        </w:tc>
      </w:tr>
      <w:tr>
        <w:trPr>
          <w:trHeight w:val="20"/>
        </w:trPr>
        <w:tc>
          <w:tcPr>
            <w:tcW w:w="43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40"/>
        </w:trPr>
        <w:tc>
          <w:tcPr>
            <w:tcW w:w="4360" w:type="dxa"/>
            <w:vAlign w:val="bottom"/>
          </w:tcPr>
          <w:p>
            <w:pPr>
              <w:spacing w:after="0"/>
              <w:rPr>
                <w:sz w:val="24"/>
                <w:szCs w:val="24"/>
                <w:color w:val="auto"/>
              </w:rPr>
            </w:pPr>
          </w:p>
        </w:tc>
        <w:tc>
          <w:tcPr>
            <w:tcW w:w="5920" w:type="dxa"/>
            <w:vAlign w:val="bottom"/>
            <w:gridSpan w:val="2"/>
          </w:tcPr>
          <w:p>
            <w:pPr>
              <w:jc w:val="right"/>
              <w:ind w:right="4414"/>
              <w:spacing w:after="0"/>
              <w:rPr>
                <w:sz w:val="20"/>
                <w:szCs w:val="20"/>
                <w:color w:val="auto"/>
              </w:rPr>
            </w:pPr>
            <w:r>
              <w:rPr>
                <w:rFonts w:ascii="Arial" w:cs="Arial" w:eastAsia="Arial" w:hAnsi="Arial"/>
                <w:sz w:val="17"/>
                <w:szCs w:val="17"/>
                <w:color w:val="auto"/>
              </w:rPr>
              <w:t>F-22</w:t>
            </w:r>
          </w:p>
        </w:tc>
        <w:tc>
          <w:tcPr>
            <w:tcW w:w="960" w:type="dxa"/>
            <w:vAlign w:val="bottom"/>
          </w:tcPr>
          <w:p>
            <w:pPr>
              <w:spacing w:after="0"/>
              <w:rPr>
                <w:sz w:val="24"/>
                <w:szCs w:val="24"/>
                <w:color w:val="auto"/>
              </w:rPr>
            </w:pPr>
          </w:p>
        </w:tc>
      </w:tr>
      <w:tr>
        <w:trPr>
          <w:trHeight w:val="651"/>
        </w:trPr>
        <w:tc>
          <w:tcPr>
            <w:tcW w:w="43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123"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0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components of identifiable intangible assets acquired and the estimated useful lives as of the date of acquisition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Weighted Average Useful</w:t>
            </w: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Brand portfolio</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116.0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8"/>
              </w:rPr>
              <w:t>5.8 years</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173.0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15.0 years</w:t>
            </w:r>
          </w:p>
        </w:tc>
        <w:tc>
          <w:tcPr>
            <w:tcW w:w="0" w:type="dxa"/>
            <w:vAlign w:val="bottom"/>
          </w:tcPr>
          <w:p>
            <w:pPr>
              <w:spacing w:after="0"/>
              <w:rPr>
                <w:sz w:val="1"/>
                <w:szCs w:val="1"/>
                <w:color w:val="auto"/>
              </w:rPr>
            </w:pPr>
          </w:p>
        </w:tc>
      </w:tr>
      <w:tr>
        <w:trPr>
          <w:trHeight w:val="213"/>
        </w:trPr>
        <w:tc>
          <w:tcPr>
            <w:tcW w:w="8020" w:type="dxa"/>
            <w:vAlign w:val="bottom"/>
          </w:tcPr>
          <w:p>
            <w:pPr>
              <w:ind w:left="220"/>
              <w:spacing w:after="0"/>
              <w:rPr>
                <w:sz w:val="20"/>
                <w:szCs w:val="20"/>
                <w:color w:val="auto"/>
              </w:rPr>
            </w:pPr>
            <w:r>
              <w:rPr>
                <w:rFonts w:ascii="Arial" w:cs="Arial" w:eastAsia="Arial" w:hAnsi="Arial"/>
                <w:sz w:val="17"/>
                <w:szCs w:val="17"/>
                <w:color w:val="auto"/>
              </w:rPr>
              <w:t>Total intangible assets</w:t>
            </w:r>
          </w:p>
        </w:tc>
        <w:tc>
          <w:tcPr>
            <w:tcW w:w="1100" w:type="dxa"/>
            <w:vAlign w:val="bottom"/>
            <w:tcBorders>
              <w:bottom w:val="single" w:sz="8" w:color="auto"/>
            </w:tcBorders>
          </w:tcPr>
          <w:p>
            <w:pPr>
              <w:jc w:val="right"/>
              <w:ind w:right="920"/>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322.0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amounts of Pre-Acquisition ZI’s revenue and earnings included in the Company’s consolidated results of operations for the year ended December 31,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0" w:name="page241"/>
    <w:bookmarkEnd w:id="240"/>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unaudited pro forma revenue and earnings of the combined entity had the acquisition date been January 1, 2018,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89"/>
              </w:rPr>
              <w:t>Revenue</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Loss Before Income Taxes</w:t>
            </w:r>
          </w:p>
        </w:tc>
      </w:tr>
      <w:tr>
        <w:trPr>
          <w:trHeight w:val="218"/>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Supplemental pro forma from January 1, 2019 to December 31, 2019</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334.1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r>
      <w:tr>
        <w:trPr>
          <w:trHeight w:val="217"/>
        </w:trPr>
        <w:tc>
          <w:tcPr>
            <w:tcW w:w="9080" w:type="dxa"/>
            <w:vAlign w:val="bottom"/>
            <w:gridSpan w:val="2"/>
          </w:tcPr>
          <w:p>
            <w:pPr>
              <w:ind w:left="20"/>
              <w:spacing w:after="0"/>
              <w:rPr>
                <w:sz w:val="20"/>
                <w:szCs w:val="20"/>
                <w:color w:val="auto"/>
              </w:rPr>
            </w:pPr>
            <w:r>
              <w:rPr>
                <w:rFonts w:ascii="Arial" w:cs="Arial" w:eastAsia="Arial" w:hAnsi="Arial"/>
                <w:sz w:val="17"/>
                <w:szCs w:val="17"/>
                <w:color w:val="auto"/>
              </w:rPr>
              <w:t>Supplemental pro forma from January 1, 2018 to December 31, 2018</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205.6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(146.4)</w:t>
            </w:r>
          </w:p>
        </w:tc>
      </w:tr>
    </w:tbl>
    <w:p>
      <w:pPr>
        <w:spacing w:after="0" w:line="144"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unaudited pro forma information above is adjusted for the amortization of unearned revenue fair value adjustments, acquired tangible and intangible assets, interest expense, and $9.2 million of transaction costs and bonuses incurred by the Company and Pre-Acquisition ZI as if the acquisition had occurred on January 1, 2018. This pro forma information is prepared for comparative purposes only and does not necessarily reflect the actual results that would have occurred, nor is it necessarily indicative of future results of operations of the combined companies.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NeverBounce</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Earnout Payments</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much as $2.0 million. As of December 31, 2019, contingent consideration of $0.4 million had been paid and remaining payments may be up to $1.6 million if all performance criteria are met.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assets</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0.1</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Brand portfolio</w:t>
            </w:r>
          </w:p>
        </w:tc>
        <w:tc>
          <w:tcPr>
            <w:tcW w:w="660" w:type="dxa"/>
            <w:vAlign w:val="bottom"/>
          </w:tcPr>
          <w:p>
            <w:pPr>
              <w:spacing w:after="0"/>
              <w:rPr>
                <w:sz w:val="18"/>
                <w:szCs w:val="18"/>
                <w:color w:val="auto"/>
              </w:rPr>
            </w:pPr>
          </w:p>
        </w:tc>
        <w:tc>
          <w:tcPr>
            <w:tcW w:w="900" w:type="dxa"/>
            <w:vAlign w:val="bottom"/>
          </w:tcPr>
          <w:p>
            <w:pPr>
              <w:jc w:val="center"/>
              <w:ind w:left="474"/>
              <w:spacing w:after="0"/>
              <w:rPr>
                <w:sz w:val="20"/>
                <w:szCs w:val="20"/>
                <w:color w:val="auto"/>
              </w:rPr>
            </w:pPr>
            <w:r>
              <w:rPr>
                <w:rFonts w:ascii="Arial" w:cs="Arial" w:eastAsia="Arial" w:hAnsi="Arial"/>
                <w:sz w:val="17"/>
                <w:szCs w:val="17"/>
                <w:color w:val="auto"/>
                <w:w w:val="92"/>
              </w:rPr>
              <w:t>0.2</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2.3</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660" w:type="dxa"/>
            <w:vAlign w:val="bottom"/>
          </w:tcPr>
          <w:p>
            <w:pPr>
              <w:spacing w:after="0"/>
              <w:rPr>
                <w:sz w:val="18"/>
                <w:szCs w:val="18"/>
                <w:color w:val="auto"/>
              </w:rPr>
            </w:pPr>
          </w:p>
        </w:tc>
        <w:tc>
          <w:tcPr>
            <w:tcW w:w="900" w:type="dxa"/>
            <w:vAlign w:val="bottom"/>
          </w:tcPr>
          <w:p>
            <w:pPr>
              <w:jc w:val="center"/>
              <w:ind w:left="474"/>
              <w:spacing w:after="0"/>
              <w:rPr>
                <w:sz w:val="20"/>
                <w:szCs w:val="20"/>
                <w:color w:val="auto"/>
              </w:rPr>
            </w:pPr>
            <w:r>
              <w:rPr>
                <w:rFonts w:ascii="Arial" w:cs="Arial" w:eastAsia="Arial" w:hAnsi="Arial"/>
                <w:sz w:val="17"/>
                <w:szCs w:val="17"/>
                <w:color w:val="auto"/>
                <w:w w:val="92"/>
              </w:rPr>
              <w:t>1.1</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&amp; unearned revenue</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54"/>
              <w:spacing w:after="0"/>
              <w:rPr>
                <w:sz w:val="20"/>
                <w:szCs w:val="20"/>
                <w:color w:val="auto"/>
              </w:rPr>
            </w:pPr>
            <w:r>
              <w:rPr>
                <w:rFonts w:ascii="Arial" w:cs="Arial" w:eastAsia="Arial" w:hAnsi="Arial"/>
                <w:sz w:val="17"/>
                <w:szCs w:val="17"/>
                <w:color w:val="auto"/>
                <w:w w:val="91"/>
              </w:rPr>
              <w:t>(0.1)</w:t>
            </w:r>
          </w:p>
        </w:tc>
      </w:tr>
      <w:tr>
        <w:trPr>
          <w:trHeight w:val="211"/>
        </w:trPr>
        <w:tc>
          <w:tcPr>
            <w:tcW w:w="9680" w:type="dxa"/>
            <w:vAlign w:val="bottom"/>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660" w:type="dxa"/>
            <w:vAlign w:val="bottom"/>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center"/>
              <w:ind w:left="474"/>
              <w:spacing w:after="0"/>
              <w:rPr>
                <w:sz w:val="20"/>
                <w:szCs w:val="20"/>
                <w:color w:val="auto"/>
              </w:rPr>
            </w:pPr>
            <w:r>
              <w:rPr>
                <w:rFonts w:ascii="Arial" w:cs="Arial" w:eastAsia="Arial" w:hAnsi="Arial"/>
                <w:sz w:val="17"/>
                <w:szCs w:val="17"/>
                <w:color w:val="auto"/>
                <w:w w:val="92"/>
              </w:rPr>
              <w:t>3.6</w:t>
            </w:r>
          </w:p>
        </w:tc>
      </w:tr>
      <w:tr>
        <w:trPr>
          <w:trHeight w:val="219"/>
        </w:trPr>
        <w:tc>
          <w:tcPr>
            <w:tcW w:w="9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7"/>
                <w:szCs w:val="17"/>
                <w:color w:val="auto"/>
                <w:w w:val="92"/>
              </w:rPr>
              <w:t>6.0</w:t>
            </w:r>
          </w:p>
        </w:tc>
      </w:tr>
      <w:tr>
        <w:trPr>
          <w:trHeight w:val="213"/>
        </w:trPr>
        <w:tc>
          <w:tcPr>
            <w:tcW w:w="9680" w:type="dxa"/>
            <w:vAlign w:val="bottom"/>
          </w:tcPr>
          <w:p>
            <w:pPr>
              <w:ind w:left="220"/>
              <w:spacing w:after="0"/>
              <w:rPr>
                <w:sz w:val="20"/>
                <w:szCs w:val="20"/>
                <w:color w:val="auto"/>
              </w:rPr>
            </w:pPr>
            <w:r>
              <w:rPr>
                <w:rFonts w:ascii="Arial" w:cs="Arial" w:eastAsia="Arial" w:hAnsi="Arial"/>
                <w:sz w:val="17"/>
                <w:szCs w:val="17"/>
                <w:color w:val="auto"/>
              </w:rPr>
              <w:t>Total consideration, net of cash acquired</w:t>
            </w:r>
          </w:p>
        </w:tc>
        <w:tc>
          <w:tcPr>
            <w:tcW w:w="6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center"/>
              <w:ind w:left="474"/>
              <w:spacing w:after="0"/>
              <w:rPr>
                <w:sz w:val="20"/>
                <w:szCs w:val="20"/>
                <w:color w:val="auto"/>
              </w:rPr>
            </w:pPr>
            <w:r>
              <w:rPr>
                <w:rFonts w:ascii="Arial" w:cs="Arial" w:eastAsia="Arial" w:hAnsi="Arial"/>
                <w:sz w:val="17"/>
                <w:szCs w:val="17"/>
                <w:color w:val="auto"/>
                <w:w w:val="92"/>
              </w:rPr>
              <w:t>9.6</w:t>
            </w:r>
          </w:p>
        </w:tc>
      </w:tr>
      <w:tr>
        <w:trPr>
          <w:trHeight w:val="20"/>
        </w:trPr>
        <w:tc>
          <w:tcPr>
            <w:tcW w:w="9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excess of purchase consideration over the fair value of the net tangible and intangible assets acquired was recorded as goodwill. The fair values assigned to tangible and identifiable intangible assets acquired and liabilities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1" w:name="page242"/>
    <w:bookmarkEnd w:id="241"/>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assumed are based on management’s estimates and assumptions. The following table sets forth the components of identifiable intangible assets acquired and the estimated useful lives as of the date of acquisition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Life</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Brand portfolio</w:t>
            </w:r>
          </w:p>
        </w:tc>
        <w:tc>
          <w:tcPr>
            <w:tcW w:w="1180" w:type="dxa"/>
            <w:vAlign w:val="bottom"/>
            <w:shd w:val="clear" w:color="auto" w:fill="CCEEFF"/>
          </w:tcPr>
          <w:p>
            <w:pPr>
              <w:jc w:val="right"/>
              <w:ind w:right="1003"/>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7 years</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6"/>
              </w:rPr>
              <w:t>7 years</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5 years</w:t>
            </w:r>
          </w:p>
        </w:tc>
      </w:tr>
    </w:tbl>
    <w:p>
      <w:pPr>
        <w:spacing w:after="0" w:line="142"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and Equipment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fixed assets consist of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right"/>
              <w:ind w:right="298"/>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80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Internal use developed software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8020" w:type="dxa"/>
            <w:vAlign w:val="bottom"/>
          </w:tcPr>
          <w:p>
            <w:pPr>
              <w:ind w:left="22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$6.1 million and $2.6 million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2" w:name="page243"/>
    <w:bookmarkEnd w:id="242"/>
    <w:p>
      <w:pPr>
        <w:spacing w:after="0"/>
        <w:rPr>
          <w:sz w:val="20"/>
          <w:szCs w:val="20"/>
          <w:color w:val="auto"/>
        </w:rPr>
      </w:pPr>
      <w:r>
        <w:rPr>
          <w:rFonts w:ascii="Arial" w:cs="Arial" w:eastAsia="Arial" w:hAnsi="Arial"/>
          <w:sz w:val="17"/>
          <w:szCs w:val="17"/>
          <w:b w:val="1"/>
          <w:bCs w:val="1"/>
          <w:color w:val="auto"/>
        </w:rPr>
        <w:t>Note 6 - Goodwill and Acquired Intangible Assets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December 31, 2019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Net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Amortization Period in</w:t>
            </w:r>
          </w:p>
        </w:tc>
        <w:tc>
          <w:tcPr>
            <w:tcW w:w="0" w:type="dxa"/>
            <w:vAlign w:val="bottom"/>
          </w:tcPr>
          <w:p>
            <w:pPr>
              <w:spacing w:after="0"/>
              <w:rPr>
                <w:sz w:val="1"/>
                <w:szCs w:val="1"/>
                <w:color w:val="auto"/>
              </w:rPr>
            </w:pPr>
          </w:p>
        </w:tc>
      </w:tr>
      <w:tr>
        <w:trPr>
          <w:trHeight w:val="179"/>
        </w:trPr>
        <w:tc>
          <w:tcPr>
            <w:tcW w:w="470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268.6</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1000" w:type="dxa"/>
            <w:vAlign w:val="bottom"/>
          </w:tcPr>
          <w:p>
            <w:pPr>
              <w:jc w:val="right"/>
              <w:ind w:right="818"/>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234.1</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technology</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Brand portfolio</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Pre-Acquisition ZI brand portfolio</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818"/>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Goodwill</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was $42.6 million for the year ended December 31, 2019.</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did not incur cost to renew or extend the term of acquired intangible assets during the years ending December 31, 2019 and 2018.</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amortization expense for intangible assets as of December 31, 2019 is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Estimate Amortization</w:t>
            </w:r>
          </w:p>
        </w:tc>
      </w:tr>
      <w:tr>
        <w:trPr>
          <w:trHeight w:val="179"/>
        </w:trPr>
        <w:tc>
          <w:tcPr>
            <w:tcW w:w="9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Expense</w:t>
            </w:r>
          </w:p>
        </w:tc>
      </w:tr>
      <w:tr>
        <w:trPr>
          <w:trHeight w:val="20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years ended December 31,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8"/>
        </w:trPr>
        <w:tc>
          <w:tcPr>
            <w:tcW w:w="9680" w:type="dxa"/>
            <w:vAlign w:val="bottom"/>
          </w:tcPr>
          <w:p>
            <w:pPr>
              <w:jc w:val="right"/>
              <w:ind w:right="9114"/>
              <w:spacing w:after="0"/>
              <w:rPr>
                <w:sz w:val="20"/>
                <w:szCs w:val="20"/>
                <w:color w:val="auto"/>
              </w:rPr>
            </w:pPr>
            <w:r>
              <w:rPr>
                <w:rFonts w:ascii="Arial" w:cs="Arial" w:eastAsia="Arial" w:hAnsi="Arial"/>
                <w:sz w:val="17"/>
                <w:szCs w:val="17"/>
                <w:color w:val="auto"/>
              </w:rPr>
              <w:t>2020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40.8</w:t>
            </w:r>
          </w:p>
        </w:tc>
      </w:tr>
      <w:tr>
        <w:trPr>
          <w:trHeight w:val="220"/>
        </w:trPr>
        <w:tc>
          <w:tcPr>
            <w:tcW w:w="9680" w:type="dxa"/>
            <w:vAlign w:val="bottom"/>
            <w:shd w:val="clear" w:color="auto" w:fill="CCEEFF"/>
          </w:tcPr>
          <w:p>
            <w:pPr>
              <w:jc w:val="right"/>
              <w:ind w:right="9114"/>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218"/>
        </w:trPr>
        <w:tc>
          <w:tcPr>
            <w:tcW w:w="9680" w:type="dxa"/>
            <w:vAlign w:val="bottom"/>
          </w:tcPr>
          <w:p>
            <w:pPr>
              <w:jc w:val="right"/>
              <w:ind w:right="9114"/>
              <w:spacing w:after="0"/>
              <w:rPr>
                <w:sz w:val="20"/>
                <w:szCs w:val="20"/>
                <w:color w:val="auto"/>
              </w:rPr>
            </w:pPr>
            <w:r>
              <w:rPr>
                <w:rFonts w:ascii="Arial" w:cs="Arial" w:eastAsia="Arial" w:hAnsi="Arial"/>
                <w:sz w:val="17"/>
                <w:szCs w:val="17"/>
                <w:color w:val="auto"/>
              </w:rPr>
              <w:t>2022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40.7</w:t>
            </w:r>
          </w:p>
        </w:tc>
      </w:tr>
      <w:tr>
        <w:trPr>
          <w:trHeight w:val="220"/>
        </w:trPr>
        <w:tc>
          <w:tcPr>
            <w:tcW w:w="9680" w:type="dxa"/>
            <w:vAlign w:val="bottom"/>
            <w:shd w:val="clear" w:color="auto" w:fill="CCEEFF"/>
          </w:tcPr>
          <w:p>
            <w:pPr>
              <w:jc w:val="right"/>
              <w:ind w:right="9114"/>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r>
      <w:tr>
        <w:trPr>
          <w:trHeight w:val="217"/>
        </w:trPr>
        <w:tc>
          <w:tcPr>
            <w:tcW w:w="9680" w:type="dxa"/>
            <w:vAlign w:val="bottom"/>
          </w:tcPr>
          <w:p>
            <w:pPr>
              <w:jc w:val="right"/>
              <w:ind w:right="9114"/>
              <w:spacing w:after="0"/>
              <w:rPr>
                <w:sz w:val="20"/>
                <w:szCs w:val="20"/>
                <w:color w:val="auto"/>
              </w:rPr>
            </w:pPr>
            <w:r>
              <w:rPr>
                <w:rFonts w:ascii="Arial" w:cs="Arial" w:eastAsia="Arial" w:hAnsi="Arial"/>
                <w:sz w:val="17"/>
                <w:szCs w:val="17"/>
                <w:color w:val="auto"/>
              </w:rPr>
              <w:t>2024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83"/>
        </w:trPr>
        <w:tc>
          <w:tcPr>
            <w:tcW w:w="9680" w:type="dxa"/>
            <w:vAlign w:val="bottom"/>
          </w:tcPr>
          <w:p>
            <w:pPr>
              <w:ind w:left="320"/>
              <w:spacing w:after="0"/>
              <w:rPr>
                <w:sz w:val="20"/>
                <w:szCs w:val="20"/>
                <w:color w:val="auto"/>
              </w:rPr>
            </w:pPr>
            <w:r>
              <w:rPr>
                <w:rFonts w:ascii="Arial" w:cs="Arial" w:eastAsia="Arial" w:hAnsi="Arial"/>
                <w:sz w:val="17"/>
                <w:szCs w:val="17"/>
                <w:color w:val="auto"/>
              </w:rPr>
              <w:t>The following summarizes changes to the Company’s goodwill (in millions):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2"/>
        </w:trPr>
        <w:tc>
          <w:tcPr>
            <w:tcW w:w="9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439.7</w:t>
            </w: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Acquisition of NeverBounce</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445.7</w:t>
            </w: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Acquisition of ZoomInfo</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514.8</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of Komiko</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3"/>
        </w:trPr>
        <w:tc>
          <w:tcPr>
            <w:tcW w:w="9680" w:type="dxa"/>
            <w:vAlign w:val="bottom"/>
          </w:tcPr>
          <w:p>
            <w:pPr>
              <w:ind w:left="20"/>
              <w:spacing w:after="0"/>
              <w:rPr>
                <w:sz w:val="20"/>
                <w:szCs w:val="20"/>
                <w:color w:val="auto"/>
              </w:rPr>
            </w:pPr>
            <w:r>
              <w:rPr>
                <w:rFonts w:ascii="Arial" w:cs="Arial" w:eastAsia="Arial" w:hAnsi="Arial"/>
                <w:sz w:val="17"/>
                <w:szCs w:val="17"/>
                <w:color w:val="auto"/>
              </w:rPr>
              <w:t>Balance at December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966.8</w:t>
            </w:r>
          </w:p>
        </w:tc>
      </w:tr>
      <w:tr>
        <w:trPr>
          <w:trHeight w:val="20"/>
        </w:trPr>
        <w:tc>
          <w:tcPr>
            <w:tcW w:w="9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138670" cy="16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43" w:name="page244"/>
    <w:bookmarkEnd w:id="243"/>
    <w:p>
      <w:pPr>
        <w:spacing w:after="0"/>
        <w:rPr>
          <w:sz w:val="20"/>
          <w:szCs w:val="20"/>
          <w:color w:val="auto"/>
        </w:rPr>
      </w:pPr>
      <w:r>
        <w:rPr>
          <w:rFonts w:ascii="Arial" w:cs="Arial" w:eastAsia="Arial" w:hAnsi="Arial"/>
          <w:sz w:val="17"/>
          <w:szCs w:val="17"/>
          <w:b w:val="1"/>
          <w:bCs w:val="1"/>
          <w:color w:val="auto"/>
        </w:rPr>
        <w:t>Note 6 - Goodwill and Acquired Intangible Assets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December 31, 2018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4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Accumulated</w:t>
            </w: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5"/>
              </w:rPr>
              <w:t>Weighted Average</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Amortization Period in</w:t>
            </w:r>
          </w:p>
        </w:tc>
        <w:tc>
          <w:tcPr>
            <w:tcW w:w="0" w:type="dxa"/>
            <w:vAlign w:val="bottom"/>
          </w:tcPr>
          <w:p>
            <w:pPr>
              <w:spacing w:after="0"/>
              <w:rPr>
                <w:sz w:val="1"/>
                <w:szCs w:val="1"/>
                <w:color w:val="auto"/>
              </w:rPr>
            </w:pPr>
          </w:p>
        </w:tc>
      </w:tr>
      <w:tr>
        <w:trPr>
          <w:trHeight w:val="179"/>
        </w:trPr>
        <w:tc>
          <w:tcPr>
            <w:tcW w:w="470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Amortization</w:t>
            </w: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00" w:type="dxa"/>
            <w:vAlign w:val="bottom"/>
          </w:tcPr>
          <w:p>
            <w:pPr>
              <w:ind w:left="22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78.2</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technology</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8"/>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Brand portfolio</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220"/>
              <w:spacing w:after="0"/>
              <w:rPr>
                <w:sz w:val="20"/>
                <w:szCs w:val="20"/>
                <w:color w:val="auto"/>
              </w:rPr>
            </w:pPr>
            <w:r>
              <w:rPr>
                <w:rFonts w:ascii="Arial" w:cs="Arial" w:eastAsia="Arial" w:hAnsi="Arial"/>
                <w:sz w:val="17"/>
                <w:szCs w:val="17"/>
                <w:color w:val="auto"/>
              </w:rPr>
              <w:t>Goodwill</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445.7</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Amortization expense was $14.7 million for the year ended December 31, 2018. A summary of estimated future amortization expense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the year ending December 31,</w:t>
            </w:r>
          </w:p>
        </w:tc>
        <w:tc>
          <w:tcPr>
            <w:tcW w:w="67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2019</w:t>
            </w: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18"/>
        </w:trPr>
        <w:tc>
          <w:tcPr>
            <w:tcW w:w="29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7"/>
                <w:szCs w:val="17"/>
                <w:color w:val="auto"/>
              </w:rPr>
              <w:t>2020</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2920" w:type="dxa"/>
            <w:vAlign w:val="bottom"/>
            <w:shd w:val="clear" w:color="auto" w:fill="CCEEFF"/>
          </w:tcPr>
          <w:p>
            <w:pPr>
              <w:spacing w:after="0"/>
              <w:rPr>
                <w:sz w:val="19"/>
                <w:szCs w:val="19"/>
                <w:color w:val="auto"/>
              </w:rPr>
            </w:pPr>
          </w:p>
        </w:tc>
        <w:tc>
          <w:tcPr>
            <w:tcW w:w="67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2021</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8"/>
        </w:trPr>
        <w:tc>
          <w:tcPr>
            <w:tcW w:w="2920" w:type="dxa"/>
            <w:vAlign w:val="bottom"/>
          </w:tcPr>
          <w:p>
            <w:pPr>
              <w:spacing w:after="0"/>
              <w:rPr>
                <w:sz w:val="18"/>
                <w:szCs w:val="18"/>
                <w:color w:val="auto"/>
              </w:rPr>
            </w:pPr>
          </w:p>
        </w:tc>
        <w:tc>
          <w:tcPr>
            <w:tcW w:w="6760" w:type="dxa"/>
            <w:vAlign w:val="bottom"/>
          </w:tcPr>
          <w:p>
            <w:pPr>
              <w:ind w:left="560"/>
              <w:spacing w:after="0"/>
              <w:rPr>
                <w:sz w:val="20"/>
                <w:szCs w:val="20"/>
                <w:color w:val="auto"/>
              </w:rPr>
            </w:pPr>
            <w:r>
              <w:rPr>
                <w:rFonts w:ascii="Arial" w:cs="Arial" w:eastAsia="Arial" w:hAnsi="Arial"/>
                <w:sz w:val="17"/>
                <w:szCs w:val="17"/>
                <w:color w:val="auto"/>
              </w:rPr>
              <w:t>2022</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2920" w:type="dxa"/>
            <w:vAlign w:val="bottom"/>
            <w:shd w:val="clear" w:color="auto" w:fill="CCEEFF"/>
          </w:tcPr>
          <w:p>
            <w:pPr>
              <w:spacing w:after="0"/>
              <w:rPr>
                <w:sz w:val="19"/>
                <w:szCs w:val="19"/>
                <w:color w:val="auto"/>
              </w:rPr>
            </w:pPr>
          </w:p>
        </w:tc>
        <w:tc>
          <w:tcPr>
            <w:tcW w:w="67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2023</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8"/>
        </w:trPr>
        <w:tc>
          <w:tcPr>
            <w:tcW w:w="2920" w:type="dxa"/>
            <w:vAlign w:val="bottom"/>
            <w:tcBorders>
              <w:bottom w:val="single" w:sz="8" w:color="CCEEFF"/>
            </w:tcBorders>
          </w:tcPr>
          <w:p>
            <w:pPr>
              <w:spacing w:after="0"/>
              <w:rPr>
                <w:sz w:val="18"/>
                <w:szCs w:val="18"/>
                <w:color w:val="auto"/>
              </w:rPr>
            </w:pPr>
          </w:p>
        </w:tc>
        <w:tc>
          <w:tcPr>
            <w:tcW w:w="676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Thereafter</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w:t>
            </w:r>
          </w:p>
        </w:tc>
      </w:tr>
      <w:tr>
        <w:trPr>
          <w:trHeight w:val="237"/>
        </w:trPr>
        <w:tc>
          <w:tcPr>
            <w:tcW w:w="29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Based on the results of the Company’s impairment assessment, the Company did not recognize any impairment of goodwill during the years ended December 31, 2019 and 2018.</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Financing Arrangements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conjunction with the acquisition of Pre-Acquisition ZI on February 1, 2019, DiscoverOrg raised $965 million of first lien debt (including a $100 million undrawn revolving credit facility), $370 million of second lien of second lien debt, and issued 51.8 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The first lien debt has a variable interest rate whereby the Company can elect to use a Base Rate or the London Interbank Offer Rate (“LIBOR”) plus an applicable rate. The applicable margin is 3.25% to 3.5% for Base Rate loans (depending on the Company’s leverage) or 4.25% or 4.5% for LIBOR Based Loans, depending on the Company’s leverage. The first lien borrowings are to be repaid quarterly in the amount of $2.2 million with the final payment due on February 1, 2026. The effective interest rate on the first lien debt was 7.5% for the year ended December 31, 2019. See </w:t>
      </w:r>
      <w:r>
        <w:rPr>
          <w:rFonts w:ascii="Arial" w:cs="Arial" w:eastAsia="Arial" w:hAnsi="Arial"/>
          <w:sz w:val="17"/>
          <w:szCs w:val="17"/>
          <w:b w:val="1"/>
          <w:bCs w:val="1"/>
          <w:color w:val="auto"/>
        </w:rPr>
        <w:t>Note 18 - Subsequent Events</w:t>
      </w:r>
      <w:r>
        <w:rPr>
          <w:rFonts w:ascii="Arial" w:cs="Arial" w:eastAsia="Arial" w:hAnsi="Arial"/>
          <w:sz w:val="17"/>
          <w:szCs w:val="17"/>
          <w:color w:val="auto"/>
        </w:rPr>
        <w:t xml:space="preserve"> regarding a repricing of the first lien debt that occurred subsequent to year end.</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Deferred costs, net of current portion on the accompanying consolidated balance sheets were immaterial as of December 31, 2019.</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second lien debt has a variable interest rate whereby the Company can elect to use a Base Rate or LIBOR plus an applicable rate. The applicable rate is 7.5% for Base Rate loans or 8.5% for LIBOR Based Loans.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4" w:name="page245"/>
    <w:bookmarkEnd w:id="244"/>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second lien borrowings must be repaid on February 1, 2027. Under certain conditions, the Company will owe a prepayment penalty of 2% or 1%, if the Company repays the loans before February 1, 2020 or February 1, 2021, respectively. The effective interest rate on the second lien debt was 11.9% for the year ended December 31, 2019.</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112" w:lineRule="exact"/>
        <w:rPr>
          <w:sz w:val="20"/>
          <w:szCs w:val="20"/>
          <w:color w:val="auto"/>
        </w:rPr>
      </w:pPr>
    </w:p>
    <w:p>
      <w:pPr>
        <w:ind w:left="620" w:hanging="30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6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Series A Preferred Units have preference with respect to cash flows generated by DiscoverOrg and will receive proceeds from future distributions on a preferential basis for the value of the preferred plus accrued but unpaid interest at an annual rate of 15%.</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2019 and 2018, the carrying values of the Company’s borrowings were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Instrument</w:t>
            </w:r>
          </w:p>
        </w:tc>
        <w:tc>
          <w:tcPr>
            <w:tcW w:w="8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Date of Issuance</w:t>
            </w:r>
          </w:p>
        </w:tc>
        <w:tc>
          <w:tcPr>
            <w:tcW w:w="8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10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Elected Interest Rate</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 as of</w:t>
            </w:r>
          </w:p>
        </w:tc>
        <w:tc>
          <w:tcPr>
            <w:tcW w:w="140" w:type="dxa"/>
            <w:vAlign w:val="bottom"/>
          </w:tcPr>
          <w:p>
            <w:pPr>
              <w:spacing w:after="0"/>
              <w:rPr>
                <w:sz w:val="14"/>
                <w:szCs w:val="14"/>
                <w:color w:val="auto"/>
              </w:rPr>
            </w:pPr>
          </w:p>
        </w:tc>
        <w:tc>
          <w:tcPr>
            <w:tcW w:w="1420" w:type="dxa"/>
            <w:vAlign w:val="bottom"/>
          </w:tcPr>
          <w:p>
            <w:pPr>
              <w:jc w:val="right"/>
              <w:ind w:right="97"/>
              <w:spacing w:after="0"/>
              <w:rPr>
                <w:sz w:val="20"/>
                <w:szCs w:val="20"/>
                <w:color w:val="auto"/>
              </w:rPr>
            </w:pPr>
            <w:r>
              <w:rPr>
                <w:rFonts w:ascii="Arial" w:cs="Arial" w:eastAsia="Arial" w:hAnsi="Arial"/>
                <w:sz w:val="14"/>
                <w:szCs w:val="14"/>
                <w:b w:val="1"/>
                <w:bCs w:val="1"/>
                <w:color w:val="auto"/>
                <w:w w:val="91"/>
              </w:rPr>
              <w:t>Carrying value as of</w:t>
            </w:r>
          </w:p>
        </w:tc>
        <w:tc>
          <w:tcPr>
            <w:tcW w:w="0" w:type="dxa"/>
            <w:vAlign w:val="bottom"/>
          </w:tcPr>
          <w:p>
            <w:pPr>
              <w:spacing w:after="0"/>
              <w:rPr>
                <w:sz w:val="1"/>
                <w:szCs w:val="1"/>
                <w:color w:val="auto"/>
              </w:rPr>
            </w:pPr>
          </w:p>
        </w:tc>
      </w:tr>
      <w:tr>
        <w:trPr>
          <w:trHeight w:val="179"/>
        </w:trPr>
        <w:tc>
          <w:tcPr>
            <w:tcW w:w="30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1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Lien Term Loan</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February 2019</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February 2026</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+ 4.5%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First Lien Revolver</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February 2019</w:t>
            </w:r>
          </w:p>
        </w:tc>
        <w:tc>
          <w:tcPr>
            <w:tcW w:w="166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February 2024</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color w:val="auto"/>
                <w:w w:val="84"/>
              </w:rPr>
              <w:t>n/a</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Second Lien Term Loan</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February 2019</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February 2027</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+ 8.5%</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Antares First Lien Term Loan</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August 2017</w:t>
            </w: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August 2023</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LIBOR + 4.5%</w:t>
            </w:r>
          </w:p>
        </w:tc>
        <w:tc>
          <w:tcPr>
            <w:tcW w:w="1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368.6</w:t>
            </w:r>
          </w:p>
        </w:tc>
        <w:tc>
          <w:tcPr>
            <w:tcW w:w="0" w:type="dxa"/>
            <w:vAlign w:val="bottom"/>
          </w:tcPr>
          <w:p>
            <w:pPr>
              <w:spacing w:after="0"/>
              <w:rPr>
                <w:sz w:val="1"/>
                <w:szCs w:val="1"/>
                <w:color w:val="auto"/>
              </w:rPr>
            </w:pPr>
          </w:p>
        </w:tc>
      </w:tr>
      <w:tr>
        <w:trPr>
          <w:trHeight w:val="22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Goldman Second Lien Term Loan</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0"/>
              </w:rPr>
              <w:t>February 2016</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February 2024</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+ 8.5%</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w:t>
            </w:r>
          </w:p>
        </w:tc>
        <w:tc>
          <w:tcPr>
            <w:tcW w:w="0" w:type="dxa"/>
            <w:vAlign w:val="bottom"/>
          </w:tcPr>
          <w:p>
            <w:pPr>
              <w:spacing w:after="0"/>
              <w:rPr>
                <w:sz w:val="1"/>
                <w:szCs w:val="1"/>
                <w:color w:val="auto"/>
              </w:rPr>
            </w:pPr>
          </w:p>
        </w:tc>
      </w:tr>
      <w:tr>
        <w:trPr>
          <w:trHeight w:val="219"/>
        </w:trPr>
        <w:tc>
          <w:tcPr>
            <w:tcW w:w="3080" w:type="dxa"/>
            <w:vAlign w:val="bottom"/>
            <w:gridSpan w:val="2"/>
          </w:tcPr>
          <w:p>
            <w:pPr>
              <w:ind w:left="20"/>
              <w:spacing w:after="0"/>
              <w:rPr>
                <w:sz w:val="20"/>
                <w:szCs w:val="20"/>
                <w:color w:val="auto"/>
              </w:rPr>
            </w:pPr>
            <w:r>
              <w:rPr>
                <w:rFonts w:ascii="Arial" w:cs="Arial" w:eastAsia="Arial" w:hAnsi="Arial"/>
                <w:sz w:val="17"/>
                <w:szCs w:val="17"/>
                <w:color w:val="auto"/>
              </w:rPr>
              <w:t>Subordinated Term Loan</w:t>
            </w:r>
          </w:p>
        </w:tc>
        <w:tc>
          <w:tcPr>
            <w:tcW w:w="164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September 2017</w:t>
            </w: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September 2024</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LIBOR + 12.5%</w:t>
            </w: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Carrying Value of Debt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633.7</w:t>
            </w:r>
          </w:p>
        </w:tc>
        <w:tc>
          <w:tcPr>
            <w:tcW w:w="0" w:type="dxa"/>
            <w:vAlign w:val="bottom"/>
          </w:tcPr>
          <w:p>
            <w:pPr>
              <w:spacing w:after="0"/>
              <w:rPr>
                <w:sz w:val="1"/>
                <w:szCs w:val="1"/>
                <w:color w:val="auto"/>
              </w:rPr>
            </w:pPr>
          </w:p>
        </w:tc>
      </w:tr>
      <w:tr>
        <w:trPr>
          <w:trHeight w:val="218"/>
        </w:trPr>
        <w:tc>
          <w:tcPr>
            <w:tcW w:w="3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less current portion</w:t>
            </w:r>
          </w:p>
        </w:tc>
        <w:tc>
          <w:tcPr>
            <w:tcW w:w="15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Long Term Debt</w:t>
            </w: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gridSpan w:val="2"/>
            <w:vMerge w:val="restart"/>
          </w:tcPr>
          <w:p>
            <w:pPr>
              <w:ind w:left="740"/>
              <w:spacing w:after="0"/>
              <w:rPr>
                <w:sz w:val="20"/>
                <w:szCs w:val="20"/>
                <w:color w:val="auto"/>
              </w:rPr>
            </w:pPr>
            <w:r>
              <w:rPr>
                <w:rFonts w:ascii="Arial" w:cs="Arial" w:eastAsia="Arial" w:hAnsi="Arial"/>
                <w:sz w:val="17"/>
                <w:szCs w:val="17"/>
                <w:color w:val="auto"/>
              </w:rPr>
              <w:t>F-28</w:t>
            </w: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3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5" w:name="page246"/>
    <w:bookmarkEnd w:id="245"/>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expected future principal payments for all borrowings as of December 31, 2019 is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Maturity</w:t>
            </w:r>
          </w:p>
        </w:tc>
        <w:tc>
          <w:tcPr>
            <w:tcW w:w="10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Discounts and Issuance</w:t>
            </w:r>
          </w:p>
        </w:tc>
        <w:tc>
          <w:tcPr>
            <w:tcW w:w="240" w:type="dxa"/>
            <w:vAlign w:val="bottom"/>
          </w:tcPr>
          <w:p>
            <w:pPr>
              <w:spacing w:after="0"/>
              <w:rPr>
                <w:sz w:val="14"/>
                <w:szCs w:val="14"/>
                <w:color w:val="auto"/>
              </w:rPr>
            </w:pPr>
          </w:p>
        </w:tc>
        <w:tc>
          <w:tcPr>
            <w:tcW w:w="13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79"/>
        </w:trPr>
        <w:tc>
          <w:tcPr>
            <w:tcW w:w="28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Costs</w:t>
            </w: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 the year ended December 31,</w:t>
            </w:r>
          </w:p>
        </w:tc>
        <w:tc>
          <w:tcPr>
            <w:tcW w:w="3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3520" w:type="dxa"/>
            <w:vAlign w:val="bottom"/>
          </w:tcPr>
          <w:p>
            <w:pPr>
              <w:ind w:left="52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spacing w:after="0"/>
              <w:rPr>
                <w:sz w:val="19"/>
                <w:szCs w:val="19"/>
                <w:color w:val="auto"/>
              </w:rPr>
            </w:pPr>
          </w:p>
        </w:tc>
        <w:tc>
          <w:tcPr>
            <w:tcW w:w="35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3520" w:type="dxa"/>
            <w:vAlign w:val="bottom"/>
          </w:tcPr>
          <w:p>
            <w:pPr>
              <w:ind w:left="5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spacing w:after="0"/>
              <w:rPr>
                <w:sz w:val="19"/>
                <w:szCs w:val="19"/>
                <w:color w:val="auto"/>
              </w:rPr>
            </w:pPr>
          </w:p>
        </w:tc>
        <w:tc>
          <w:tcPr>
            <w:tcW w:w="35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8"/>
        </w:trPr>
        <w:tc>
          <w:tcPr>
            <w:tcW w:w="284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Thereafter</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1,184.8</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Antares First Lien Term Loan</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the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credit agreement requires the Company to make certain payments on the outstanding loan balances if it has generated excess cash flows as defined by the credit agreement, beginning the year ended December 31, 2020.</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Goldman Second Lien Term Loan</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February 2016, the Company entered into a $55.0 million second lien term loan agreement with Goldman Sachs. In August 2017 and March 2018, the facility was increased by $75.0 million and $19.8 million, respectively. The interest rate is based on LIBOR plus an applicable margin of 8.5% or a defined Base Rate plus an applicable rate ranging from 8.3% to 8.5%, depending on the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Subordinated Loan</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Derivatives and Hedging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exposed to changes in interest rates, primarily relating to changes in interest rates as a result of the term loans, which have variable interest rates. Consequently, from time to time, the Company may use interest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6" w:name="page247"/>
    <w:bookmarkEnd w:id="246"/>
    <w:p>
      <w:pPr>
        <w:spacing w:after="0"/>
        <w:rPr>
          <w:sz w:val="20"/>
          <w:szCs w:val="20"/>
          <w:color w:val="auto"/>
        </w:rPr>
      </w:pPr>
      <w:r>
        <w:rPr>
          <w:rFonts w:ascii="Arial" w:cs="Arial" w:eastAsia="Arial" w:hAnsi="Arial"/>
          <w:sz w:val="17"/>
          <w:szCs w:val="17"/>
          <w:b w:val="1"/>
          <w:bCs w:val="1"/>
          <w:color w:val="auto"/>
        </w:rPr>
        <w:t>Note 8 - Derivatives and Hedging Activities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rate swaps or other financial instruments to manage the exposure to interest rate movements. The Company does not enter into derivative transactions for speculative or trading purposes.</w:t>
      </w:r>
    </w:p>
    <w:p>
      <w:pPr>
        <w:spacing w:after="0" w:line="112"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recognizes derivative instruments and hedging activities on a gross basis as either assets or liabilities on the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9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April 2019, the Company entered into two separate interest rate swap agreements effectively converting $350 million of floating rate debt under the first lien credit facility to fixed rate obligations. In April 2019, the Company also entered into a $500 million interest rate cap. These agreements have been designated and qualify as cash flow hedging instruments and, as such, changes in the fair value are recorded in accumulated other comprehensive income (loss) on the Company’s consolidated balance sheets to the extent the agreements are effective hedges.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December 31, 2019, the Company had the following outstanding interest rate derivatives that were designated as cash flow hedges of interest rate risk: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Number of Instruments</w:t>
            </w:r>
          </w:p>
        </w:tc>
        <w:tc>
          <w:tcPr>
            <w:tcW w:w="100" w:type="dxa"/>
            <w:vAlign w:val="bottom"/>
            <w:vMerge w:val="restart"/>
          </w:tcPr>
          <w:p>
            <w:pPr>
              <w:spacing w:after="0"/>
              <w:rPr>
                <w:sz w:val="14"/>
                <w:szCs w:val="14"/>
                <w:color w:val="auto"/>
              </w:rPr>
            </w:pP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Notional Aggregate Principal</w:t>
            </w:r>
          </w:p>
        </w:tc>
        <w:tc>
          <w:tcPr>
            <w:tcW w:w="19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Interest Cap / Swap Rate</w:t>
            </w:r>
          </w:p>
        </w:tc>
        <w:tc>
          <w:tcPr>
            <w:tcW w:w="80" w:type="dxa"/>
            <w:vAlign w:val="bottom"/>
            <w:vMerge w:val="restart"/>
          </w:tcPr>
          <w:p>
            <w:pPr>
              <w:spacing w:after="0"/>
              <w:rPr>
                <w:sz w:val="14"/>
                <w:szCs w:val="14"/>
                <w:color w:val="auto"/>
              </w:rPr>
            </w:pPr>
          </w:p>
        </w:tc>
        <w:tc>
          <w:tcPr>
            <w:tcW w:w="17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9"/>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rate cap contract</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6"/>
              </w:rPr>
              <w:t>One</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3.500 %</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5"/>
              </w:rPr>
              <w:t>April 30, 2024</w:t>
            </w:r>
          </w:p>
        </w:tc>
        <w:tc>
          <w:tcPr>
            <w:tcW w:w="0" w:type="dxa"/>
            <w:vAlign w:val="bottom"/>
          </w:tcPr>
          <w:p>
            <w:pPr>
              <w:spacing w:after="0"/>
              <w:rPr>
                <w:sz w:val="1"/>
                <w:szCs w:val="1"/>
                <w:color w:val="auto"/>
              </w:rPr>
            </w:pPr>
          </w:p>
        </w:tc>
      </w:tr>
      <w:tr>
        <w:trPr>
          <w:trHeight w:val="217"/>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Interest rate swap contracts</w:t>
            </w:r>
          </w:p>
        </w:tc>
        <w:tc>
          <w:tcPr>
            <w:tcW w:w="188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Two</w:t>
            </w: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2.301 %</w:t>
            </w:r>
          </w:p>
        </w:tc>
        <w:tc>
          <w:tcPr>
            <w:tcW w:w="80" w:type="dxa"/>
            <w:vAlign w:val="bottom"/>
          </w:tcPr>
          <w:p>
            <w:pPr>
              <w:spacing w:after="0"/>
              <w:rPr>
                <w:sz w:val="18"/>
                <w:szCs w:val="18"/>
                <w:color w:val="auto"/>
              </w:rPr>
            </w:pPr>
          </w:p>
        </w:tc>
        <w:tc>
          <w:tcPr>
            <w:tcW w:w="1780" w:type="dxa"/>
            <w:vAlign w:val="bottom"/>
          </w:tcPr>
          <w:p>
            <w:pPr>
              <w:ind w:left="760"/>
              <w:spacing w:after="0"/>
              <w:rPr>
                <w:sz w:val="20"/>
                <w:szCs w:val="20"/>
                <w:color w:val="auto"/>
              </w:rPr>
            </w:pPr>
            <w:r>
              <w:rPr>
                <w:rFonts w:ascii="Arial" w:cs="Arial" w:eastAsia="Arial" w:hAnsi="Arial"/>
                <w:sz w:val="17"/>
                <w:szCs w:val="17"/>
                <w:color w:val="auto"/>
                <w:w w:val="95"/>
              </w:rPr>
              <w:t>April 29, 2022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sheets for derivatives as of December 31, 2019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right="44"/>
              <w:spacing w:after="0"/>
              <w:rPr>
                <w:sz w:val="20"/>
                <w:szCs w:val="20"/>
                <w:color w:val="auto"/>
              </w:rPr>
            </w:pPr>
            <w:r>
              <w:rPr>
                <w:rFonts w:ascii="Arial" w:cs="Arial" w:eastAsia="Arial" w:hAnsi="Arial"/>
                <w:sz w:val="14"/>
                <w:szCs w:val="14"/>
                <w:b w:val="1"/>
                <w:bCs w:val="1"/>
                <w:color w:val="auto"/>
                <w:w w:val="86"/>
              </w:rPr>
              <w:t>Unrealized Gains (Losses)</w:t>
            </w:r>
          </w:p>
        </w:tc>
      </w:tr>
      <w:tr>
        <w:trPr>
          <w:trHeight w:val="129"/>
        </w:trPr>
        <w:tc>
          <w:tcPr>
            <w:tcW w:w="9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8"/>
              </w:rPr>
              <w:t>Recognized in Other</w:t>
            </w:r>
          </w:p>
        </w:tc>
      </w:tr>
      <w:tr>
        <w:trPr>
          <w:trHeight w:val="178"/>
        </w:trPr>
        <w:tc>
          <w:tcPr>
            <w:tcW w:w="9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Comprehensive Income</w:t>
            </w:r>
          </w:p>
        </w:tc>
      </w:tr>
      <w:tr>
        <w:trPr>
          <w:trHeight w:val="174"/>
        </w:trPr>
        <w:tc>
          <w:tcPr>
            <w:tcW w:w="9360" w:type="dxa"/>
            <w:vAlign w:val="bottom"/>
            <w:tcBorders>
              <w:bottom w:val="single" w:sz="8" w:color="auto"/>
            </w:tcBorders>
          </w:tcPr>
          <w:p>
            <w:pPr>
              <w:ind w:left="4340"/>
              <w:spacing w:after="0"/>
              <w:rPr>
                <w:sz w:val="20"/>
                <w:szCs w:val="20"/>
                <w:color w:val="auto"/>
              </w:rPr>
            </w:pPr>
            <w:r>
              <w:rPr>
                <w:rFonts w:ascii="Arial" w:cs="Arial" w:eastAsia="Arial" w:hAnsi="Arial"/>
                <w:sz w:val="14"/>
                <w:szCs w:val="14"/>
                <w:b w:val="1"/>
                <w:bCs w:val="1"/>
                <w:color w:val="auto"/>
              </w:rPr>
              <w:t>Instrument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8"/>
              </w:rPr>
              <w:t>December 31, 2019</w:t>
            </w:r>
          </w:p>
        </w:tc>
      </w:tr>
      <w:tr>
        <w:trPr>
          <w:trHeight w:val="213"/>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18"/>
        </w:trPr>
        <w:tc>
          <w:tcPr>
            <w:tcW w:w="94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38"/>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the period that the hedged item affects earnings, such as when interest payments are made on the Company’s variable-rate debt, the Company reclassifies the related gain or loss on the interest rate swap cash flow hedges to interest expense. The cash flows associated with the cash flow hedges are reported in Net cash provided by (used in) operating activities on our consolidated statements of cash flows.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Fair Value Measurements</w:t>
      </w:r>
    </w:p>
    <w:p>
      <w:pPr>
        <w:spacing w:after="0" w:line="171"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7" w:name="page248"/>
    <w:bookmarkEnd w:id="247"/>
    <w:p>
      <w:pPr>
        <w:spacing w:after="0"/>
        <w:rPr>
          <w:sz w:val="20"/>
          <w:szCs w:val="20"/>
          <w:color w:val="auto"/>
        </w:rPr>
      </w:pPr>
      <w:r>
        <w:rPr>
          <w:rFonts w:ascii="Arial" w:cs="Arial" w:eastAsia="Arial" w:hAnsi="Arial"/>
          <w:sz w:val="17"/>
          <w:szCs w:val="17"/>
          <w:b w:val="1"/>
          <w:bCs w:val="1"/>
          <w:color w:val="auto"/>
        </w:rPr>
        <w:t>Note 9 - Fair Value Measurements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measuring fair value on either a recurring or nonrecurring basis whereby inputs, used in valuation techniques, are assigned a hierarchical level. The following are the hierarchical levels of inputs to measure fair value:</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inputs or methodology used for valuing financial assets and liabilities are not necessarily an indication of the risk associated with investing in them.</w:t>
      </w:r>
    </w:p>
    <w:p>
      <w:pPr>
        <w:spacing w:after="0" w:line="177"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The company has elected to use the income approach to value the derivatives, using observable Level II market expectations at measurement date and standard valuation techniques to convert future amounts to a single present amount (discounted) reflecting current market expectations about those future amounts. Level II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bootstrapped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0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Inputs are collected from SuperDerivatives as of the close on the last day of the period. The valuation of the interest rate swaps also take into consideration estimates of our own, as well as counterparty’s, risk of non-performance under the contract.</w:t>
      </w:r>
    </w:p>
    <w:p>
      <w:pPr>
        <w:spacing w:after="0" w:line="112"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classified the measurement of fair value of long-lived assets as Level 3.</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Following are the disclosures related to our assets and (liabilities) that are measured at fair value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Fair Value at December 31, 2019</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9"/>
                <w:szCs w:val="19"/>
                <w:color w:val="auto"/>
              </w:rPr>
            </w:pPr>
          </w:p>
        </w:tc>
        <w:tc>
          <w:tcPr>
            <w:tcW w:w="1220" w:type="dxa"/>
            <w:vAlign w:val="bottom"/>
          </w:tcPr>
          <w:p>
            <w:pPr>
              <w:jc w:val="right"/>
              <w:ind w:right="480"/>
              <w:spacing w:after="0"/>
              <w:rPr>
                <w:sz w:val="20"/>
                <w:szCs w:val="20"/>
                <w:color w:val="auto"/>
              </w:rPr>
            </w:pPr>
            <w:r>
              <w:rPr>
                <w:rFonts w:ascii="Arial" w:cs="Arial" w:eastAsia="Arial" w:hAnsi="Arial"/>
                <w:sz w:val="14"/>
                <w:szCs w:val="14"/>
                <w:b w:val="1"/>
                <w:bCs w:val="1"/>
                <w:color w:val="auto"/>
              </w:rPr>
              <w:t>Level 3</w:t>
            </w:r>
          </w:p>
        </w:tc>
      </w:tr>
      <w:tr>
        <w:trPr>
          <w:trHeight w:val="213"/>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Measured on a recurring basis:</w:t>
            </w:r>
          </w:p>
        </w:tc>
        <w:tc>
          <w:tcPr>
            <w:tcW w:w="2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8"/>
        </w:trPr>
        <w:tc>
          <w:tcPr>
            <w:tcW w:w="4060" w:type="dxa"/>
            <w:vAlign w:val="bottom"/>
          </w:tcPr>
          <w:p>
            <w:pPr>
              <w:ind w:left="20"/>
              <w:spacing w:after="0"/>
              <w:rPr>
                <w:sz w:val="20"/>
                <w:szCs w:val="20"/>
                <w:color w:val="auto"/>
              </w:rPr>
            </w:pPr>
            <w:r>
              <w:rPr>
                <w:rFonts w:ascii="Arial" w:cs="Arial" w:eastAsia="Arial" w:hAnsi="Arial"/>
                <w:sz w:val="17"/>
                <w:szCs w:val="17"/>
                <w:color w:val="auto"/>
              </w:rPr>
              <w:t>Derivative contract, net</w:t>
            </w:r>
          </w:p>
        </w:tc>
        <w:tc>
          <w:tcPr>
            <w:tcW w:w="26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42"/>
        </w:trPr>
        <w:tc>
          <w:tcPr>
            <w:tcW w:w="40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b w:val="1"/>
                <w:bCs w:val="1"/>
                <w:color w:val="auto"/>
              </w:rPr>
              <w:t>Measured on a non-recurring basis: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Impaired right-of-use assets</w:t>
            </w:r>
          </w:p>
        </w:tc>
        <w:tc>
          <w:tcPr>
            <w:tcW w:w="26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848"/>
        </w:trPr>
        <w:tc>
          <w:tcPr>
            <w:tcW w:w="4060" w:type="dxa"/>
            <w:vAlign w:val="bottom"/>
          </w:tcPr>
          <w:p>
            <w:pPr>
              <w:spacing w:after="0"/>
              <w:rPr>
                <w:sz w:val="24"/>
                <w:szCs w:val="24"/>
                <w:color w:val="auto"/>
              </w:rPr>
            </w:pPr>
          </w:p>
        </w:tc>
        <w:tc>
          <w:tcPr>
            <w:tcW w:w="2640" w:type="dxa"/>
            <w:vAlign w:val="bottom"/>
            <w:gridSpan w:val="3"/>
          </w:tcPr>
          <w:p>
            <w:pPr>
              <w:jc w:val="right"/>
              <w:ind w:right="920"/>
              <w:spacing w:after="0"/>
              <w:rPr>
                <w:sz w:val="20"/>
                <w:szCs w:val="20"/>
                <w:color w:val="auto"/>
              </w:rPr>
            </w:pPr>
            <w:r>
              <w:rPr>
                <w:rFonts w:ascii="Arial" w:cs="Arial" w:eastAsia="Arial" w:hAnsi="Arial"/>
                <w:sz w:val="17"/>
                <w:szCs w:val="17"/>
                <w:color w:val="auto"/>
              </w:rPr>
              <w:t>F-31</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51"/>
        </w:trPr>
        <w:tc>
          <w:tcPr>
            <w:tcW w:w="40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23"/>
        </w:trPr>
        <w:tc>
          <w:tcPr>
            <w:tcW w:w="6700" w:type="dxa"/>
            <w:vAlign w:val="bottom"/>
            <w:gridSpan w:val="3"/>
          </w:tcPr>
          <w:p>
            <w:pPr>
              <w:spacing w:after="0"/>
              <w:rPr>
                <w:sz w:val="20"/>
                <w:szCs w:val="20"/>
                <w:color w:val="auto"/>
              </w:rPr>
            </w:pPr>
            <w:r>
              <w:rPr>
                <w:rFonts w:ascii="Arial" w:cs="Arial" w:eastAsia="Arial" w:hAnsi="Arial"/>
                <w:sz w:val="17"/>
                <w:szCs w:val="17"/>
                <w:b w:val="1"/>
                <w:bCs w:val="1"/>
                <w:color w:val="auto"/>
              </w:rPr>
              <w:t>Note 9 - Fair Value Measurements (continued)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26"/>
        </w:trPr>
        <w:tc>
          <w:tcPr>
            <w:tcW w:w="6700" w:type="dxa"/>
            <w:vAlign w:val="bottom"/>
            <w:gridSpan w:val="3"/>
          </w:tcPr>
          <w:p>
            <w:pPr>
              <w:ind w:left="20"/>
              <w:spacing w:after="0"/>
              <w:rPr>
                <w:sz w:val="20"/>
                <w:szCs w:val="20"/>
                <w:color w:val="auto"/>
              </w:rPr>
            </w:pPr>
            <w:r>
              <w:rPr>
                <w:rFonts w:ascii="Arial" w:cs="Arial" w:eastAsia="Arial" w:hAnsi="Arial"/>
                <w:sz w:val="17"/>
                <w:szCs w:val="17"/>
                <w:b w:val="1"/>
                <w:bCs w:val="1"/>
                <w:color w:val="auto"/>
              </w:rPr>
              <w:t>Fair Value at December 31, 2018</w:t>
            </w: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160" w:type="dxa"/>
            <w:vAlign w:val="bottom"/>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14"/>
                <w:szCs w:val="14"/>
                <w:b w:val="1"/>
                <w:bCs w:val="1"/>
                <w:color w:val="auto"/>
              </w:rPr>
              <w:t>Level 3</w:t>
            </w:r>
          </w:p>
        </w:tc>
      </w:tr>
      <w:tr>
        <w:trPr>
          <w:trHeight w:val="21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Measured on a recurring basis: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8"/>
        </w:trPr>
        <w:tc>
          <w:tcPr>
            <w:tcW w:w="6700" w:type="dxa"/>
            <w:vAlign w:val="bottom"/>
            <w:gridSpan w:val="3"/>
          </w:tcPr>
          <w:p>
            <w:pPr>
              <w:ind w:left="63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980"/>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ind w:left="980"/>
              <w:spacing w:after="0"/>
              <w:rPr>
                <w:sz w:val="20"/>
                <w:szCs w:val="20"/>
                <w:color w:val="auto"/>
              </w:rPr>
            </w:pPr>
            <w:r>
              <w:rPr>
                <w:rFonts w:ascii="Arial" w:cs="Arial" w:eastAsia="Arial" w:hAnsi="Arial"/>
                <w:sz w:val="17"/>
                <w:szCs w:val="17"/>
                <w:color w:val="auto"/>
              </w:rPr>
              <w:t>—</w:t>
            </w:r>
          </w:p>
        </w:tc>
      </w:tr>
      <w:tr>
        <w:trPr>
          <w:trHeight w:val="142"/>
        </w:trPr>
        <w:tc>
          <w:tcPr>
            <w:tcW w:w="6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19"/>
        </w:trPr>
        <w:tc>
          <w:tcPr>
            <w:tcW w:w="6700" w:type="dxa"/>
            <w:vAlign w:val="bottom"/>
            <w:gridSpan w:val="3"/>
          </w:tcPr>
          <w:p>
            <w:pPr>
              <w:ind w:left="20"/>
              <w:spacing w:after="0"/>
              <w:rPr>
                <w:sz w:val="20"/>
                <w:szCs w:val="20"/>
                <w:color w:val="auto"/>
              </w:rPr>
            </w:pPr>
            <w:r>
              <w:rPr>
                <w:rFonts w:ascii="Arial" w:cs="Arial" w:eastAsia="Arial" w:hAnsi="Arial"/>
                <w:sz w:val="17"/>
                <w:szCs w:val="17"/>
                <w:b w:val="1"/>
                <w:bCs w:val="1"/>
                <w:color w:val="auto"/>
              </w:rPr>
              <w:t>Measured on a non-recurring basis: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6700" w:type="dxa"/>
            <w:vAlign w:val="bottom"/>
            <w:gridSpan w:val="3"/>
            <w:shd w:val="clear" w:color="auto" w:fill="CCEEFF"/>
          </w:tcPr>
          <w:p>
            <w:pPr>
              <w:ind w:left="636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980"/>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r>
    </w:tbl>
    <w:p>
      <w:pPr>
        <w:spacing w:after="0" w:line="136"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b w:val="1"/>
          <w:bCs w:val="1"/>
          <w:color w:val="auto"/>
        </w:rPr>
        <w:t>Note 4 – Business Combinations</w:t>
      </w:r>
      <w:r>
        <w:rPr>
          <w:rFonts w:ascii="Arial" w:cs="Arial" w:eastAsia="Arial" w:hAnsi="Arial"/>
          <w:sz w:val="17"/>
          <w:szCs w:val="17"/>
          <w:color w:val="auto"/>
        </w:rPr>
        <w:t xml:space="preserve"> for details regarding the Company’s business combination accounted for initially at fair value. See </w:t>
      </w:r>
      <w:r>
        <w:rPr>
          <w:rFonts w:ascii="Arial" w:cs="Arial" w:eastAsia="Arial" w:hAnsi="Arial"/>
          <w:sz w:val="17"/>
          <w:szCs w:val="17"/>
          <w:b w:val="1"/>
          <w:bCs w:val="1"/>
          <w:color w:val="auto"/>
        </w:rPr>
        <w:t>Note 8 - Derivatives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and Hedging Activities </w:t>
      </w:r>
      <w:r>
        <w:rPr>
          <w:rFonts w:ascii="Arial" w:cs="Arial" w:eastAsia="Arial" w:hAnsi="Arial"/>
          <w:sz w:val="17"/>
          <w:szCs w:val="17"/>
          <w:color w:val="auto"/>
        </w:rPr>
        <w:t>for details regarding the Company’s derivative contracts.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Commitments and Contingencies</w:t>
      </w:r>
    </w:p>
    <w:p>
      <w:pPr>
        <w:spacing w:after="0" w:line="165" w:lineRule="exact"/>
        <w:rPr>
          <w:sz w:val="20"/>
          <w:szCs w:val="20"/>
          <w:color w:val="auto"/>
        </w:rPr>
      </w:pPr>
    </w:p>
    <w:p>
      <w:pPr>
        <w:jc w:val="both"/>
        <w:ind w:firstLine="309"/>
        <w:spacing w:after="0" w:line="321" w:lineRule="auto"/>
        <w:rPr>
          <w:sz w:val="20"/>
          <w:szCs w:val="20"/>
          <w:color w:val="auto"/>
        </w:rPr>
      </w:pPr>
      <w:r>
        <w:rPr>
          <w:rFonts w:ascii="Arial" w:cs="Arial" w:eastAsia="Arial" w:hAnsi="Arial"/>
          <w:sz w:val="15"/>
          <w:szCs w:val="15"/>
          <w:b w:val="1"/>
          <w:bCs w:val="1"/>
          <w:color w:val="auto"/>
        </w:rPr>
        <w:t xml:space="preserve">Sales and use tax </w:t>
      </w:r>
      <w:r>
        <w:rPr>
          <w:rFonts w:ascii="Arial" w:cs="Arial" w:eastAsia="Arial" w:hAnsi="Arial"/>
          <w:sz w:val="15"/>
          <w:szCs w:val="15"/>
          <w:color w:val="auto"/>
        </w:rPr>
        <w:t>- The Company has conducted an assessment of sales and use tax exposure in states where the Company has established nexus.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this assessment, the Company has recorded a liability for taxes owed and related penalties and interest in the amount of $2.1 million and $1.4 million at December 31, 2019 and 2018, respectively. This liability is included in accrued expenses and other current liabilities in our consolidated balance sheets.</w:t>
      </w:r>
    </w:p>
    <w:p>
      <w:pPr>
        <w:spacing w:after="0" w:line="81"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Contingent earnout payments </w:t>
      </w:r>
      <w:r>
        <w:rPr>
          <w:rFonts w:ascii="Arial" w:cs="Arial" w:eastAsia="Arial" w:hAnsi="Arial"/>
          <w:sz w:val="17"/>
          <w:szCs w:val="17"/>
          <w:color w:val="auto"/>
        </w:rPr>
        <w:t>- The Company is contingently committed to making additional payments of up to $1.6 million and $4.0 million as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NeverBounce and Komiko, respectively. Refer to Note 4 - Business Combinations.</w:t>
      </w:r>
    </w:p>
    <w:p>
      <w:pPr>
        <w:spacing w:after="0" w:line="101" w:lineRule="exact"/>
        <w:rPr>
          <w:sz w:val="20"/>
          <w:szCs w:val="20"/>
          <w:color w:val="auto"/>
        </w:rPr>
      </w:pPr>
    </w:p>
    <w:p>
      <w:pPr>
        <w:jc w:val="both"/>
        <w:ind w:firstLine="309"/>
        <w:spacing w:after="0" w:line="319" w:lineRule="auto"/>
        <w:rPr>
          <w:sz w:val="20"/>
          <w:szCs w:val="20"/>
          <w:color w:val="auto"/>
        </w:rPr>
      </w:pPr>
      <w:r>
        <w:rPr>
          <w:rFonts w:ascii="Arial" w:cs="Arial" w:eastAsia="Arial" w:hAnsi="Arial"/>
          <w:sz w:val="16"/>
          <w:szCs w:val="16"/>
          <w:b w:val="1"/>
          <w:bCs w:val="1"/>
          <w:color w:val="auto"/>
        </w:rPr>
        <w:t xml:space="preserve">Deferred acquisition related payments - </w:t>
      </w:r>
      <w:r>
        <w:rPr>
          <w:rFonts w:ascii="Arial" w:cs="Arial" w:eastAsia="Arial" w:hAnsi="Arial"/>
          <w:sz w:val="16"/>
          <w:szCs w:val="16"/>
          <w:color w:val="auto"/>
        </w:rPr>
        <w:t>In accordance with the purchase agreement, the Company will pay deferred consideration of $25.0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$10.0 million on the first and second anniversary of the Pre-Acquisition ZI acquisition, respectively. Refer to Note 4 - Business Combinations.</w:t>
      </w:r>
    </w:p>
    <w:p>
      <w:pPr>
        <w:spacing w:after="0" w:line="78"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Series A Preferred Units </w:t>
      </w:r>
      <w:r>
        <w:rPr>
          <w:rFonts w:ascii="Arial" w:cs="Arial" w:eastAsia="Arial" w:hAnsi="Arial"/>
          <w:sz w:val="17"/>
          <w:szCs w:val="17"/>
          <w:color w:val="auto"/>
        </w:rPr>
        <w:t>- The Company has issued Series A Preferred Units which accrue cumulative liquidation preferences. Refer to</w:t>
      </w:r>
      <w:r>
        <w:rPr>
          <w:rFonts w:ascii="Arial" w:cs="Arial" w:eastAsia="Arial" w:hAnsi="Arial"/>
          <w:sz w:val="17"/>
          <w:szCs w:val="17"/>
          <w:b w:val="1"/>
          <w:bCs w:val="1"/>
          <w:color w:val="auto"/>
        </w:rPr>
        <w:t xml:space="preserve"> Note 13 - Redeemable Series A Preferred Units</w:t>
      </w:r>
      <w:r>
        <w:rPr>
          <w:rFonts w:ascii="Arial" w:cs="Arial" w:eastAsia="Arial" w:hAnsi="Arial"/>
          <w:sz w:val="17"/>
          <w:szCs w:val="17"/>
          <w:color w:val="auto"/>
        </w:rPr>
        <w: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49" w:name="page250"/>
    <w:bookmarkEnd w:id="249"/>
    <w:p>
      <w:pPr>
        <w:spacing w:after="0"/>
        <w:rPr>
          <w:sz w:val="20"/>
          <w:szCs w:val="20"/>
          <w:color w:val="auto"/>
        </w:rPr>
      </w:pPr>
      <w:r>
        <w:rPr>
          <w:rFonts w:ascii="Arial" w:cs="Arial" w:eastAsia="Arial" w:hAnsi="Arial"/>
          <w:sz w:val="17"/>
          <w:szCs w:val="17"/>
          <w:b w:val="1"/>
          <w:bCs w:val="1"/>
          <w:color w:val="auto"/>
        </w:rPr>
        <w:t>Note 11 - Leases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 xml:space="preserve">The Company adopted Topic 842, </w:t>
      </w:r>
      <w:r>
        <w:rPr>
          <w:rFonts w:ascii="Arial" w:cs="Arial" w:eastAsia="Arial" w:hAnsi="Arial"/>
          <w:sz w:val="16"/>
          <w:szCs w:val="16"/>
          <w:i w:val="1"/>
          <w:iCs w:val="1"/>
          <w:color w:val="auto"/>
        </w:rPr>
        <w:t>Leases</w:t>
      </w:r>
      <w:r>
        <w:rPr>
          <w:rFonts w:ascii="Arial" w:cs="Arial" w:eastAsia="Arial" w:hAnsi="Arial"/>
          <w:sz w:val="16"/>
          <w:szCs w:val="16"/>
          <w:color w:val="auto"/>
        </w:rPr>
        <w:t>, on January 1, 2019, using the modified 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The Company determines if an arrangement is a lease or contains a lease at inception. Operating lease liabilities are recognized based on the present value of the remaining lease payments, discounted using the discount rate for the lease at the commencement date. As the rate implicit in the lease is not readily determinable for the operating leases, the Company generally uses an incremental borrowing rate based on information available at the commencement date to determine the present value of future lease payments. The Company’s leases have remaining lease terms of up to eleven years, some of which include options to extend the leases for up to five years, and some of which include options to terminate the leases at the end of the fifth year. The Company’s leases do not have significant rent escalation, holidays, concessions, material residual value guarantees, material restrictive covenants or contingent rent provisions.</w:t>
      </w:r>
    </w:p>
    <w:p>
      <w:pPr>
        <w:spacing w:after="0" w:line="118"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real estate leases. In addition, the Company has elected the practical expedient to exclude short-term leases, which have an original lease term of less than one year, from the right-of-use assets and lease liabilities as well as the package of practical expedients relating to adoption of Topic 842. Operating lease costs, including variable lease payments and sublease income that were immaterial for the year ended December 31, 2019, are included in operating costs within the Consolidated Statements of Operations.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also has subleases of former corporate offices. Subleases have remaining lease terms of one to six years. Sublease income, which is recorded in rent expense, net, was immaterial for the Year ended December 31, 2019, and 2018. The following are additional details related to leases recorded on our balance sheet as of December 31, 2019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Leases</w:t>
            </w:r>
          </w:p>
        </w:tc>
        <w:tc>
          <w:tcPr>
            <w:tcW w:w="24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Classification</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Balance at December 31,</w:t>
            </w:r>
          </w:p>
        </w:tc>
        <w:tc>
          <w:tcPr>
            <w:tcW w:w="0" w:type="dxa"/>
            <w:vAlign w:val="bottom"/>
          </w:tcPr>
          <w:p>
            <w:pPr>
              <w:spacing w:after="0"/>
              <w:rPr>
                <w:sz w:val="1"/>
                <w:szCs w:val="1"/>
                <w:color w:val="auto"/>
              </w:rPr>
            </w:pPr>
          </w:p>
        </w:tc>
      </w:tr>
      <w:tr>
        <w:trPr>
          <w:trHeight w:val="180"/>
        </w:trPr>
        <w:tc>
          <w:tcPr>
            <w:tcW w:w="7180" w:type="dxa"/>
            <w:vAlign w:val="bottom"/>
            <w:gridSpan w:val="2"/>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center"/>
              <w:ind w:right="27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3"/>
        </w:trPr>
        <w:tc>
          <w:tcPr>
            <w:tcW w:w="7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Operating lease right-of-use assets, net</w:t>
            </w:r>
          </w:p>
        </w:tc>
        <w:tc>
          <w:tcPr>
            <w:tcW w:w="2480" w:type="dxa"/>
            <w:vAlign w:val="bottom"/>
            <w:gridSpan w:val="2"/>
          </w:tcPr>
          <w:p>
            <w:pPr>
              <w:ind w:left="20"/>
              <w:spacing w:after="0"/>
              <w:rPr>
                <w:sz w:val="20"/>
                <w:szCs w:val="20"/>
                <w:color w:val="auto"/>
              </w:rPr>
            </w:pPr>
            <w:r>
              <w:rPr>
                <w:rFonts w:ascii="Arial" w:cs="Arial" w:eastAsia="Arial" w:hAnsi="Arial"/>
                <w:sz w:val="17"/>
                <w:szCs w:val="17"/>
                <w:color w:val="auto"/>
              </w:rPr>
              <w:t>Operating lease assets</w:t>
            </w:r>
          </w:p>
        </w:tc>
        <w:tc>
          <w:tcPr>
            <w:tcW w:w="380" w:type="dxa"/>
            <w:vAlign w:val="bottom"/>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Arial" w:cs="Arial" w:eastAsia="Arial" w:hAnsi="Arial"/>
                <w:sz w:val="17"/>
                <w:szCs w:val="17"/>
                <w:b w:val="1"/>
                <w:bCs w:val="1"/>
                <w:color w:val="auto"/>
              </w:rPr>
              <w:t>Liabilities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portion of operating lease liabilities</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assets</w:t>
            </w: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7"/>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2480" w:type="dxa"/>
            <w:vAlign w:val="bottom"/>
            <w:gridSpan w:val="2"/>
          </w:tcPr>
          <w:p>
            <w:pPr>
              <w:ind w:left="20"/>
              <w:spacing w:after="0"/>
              <w:rPr>
                <w:sz w:val="20"/>
                <w:szCs w:val="20"/>
                <w:color w:val="auto"/>
              </w:rPr>
            </w:pPr>
            <w:r>
              <w:rPr>
                <w:rFonts w:ascii="Arial" w:cs="Arial" w:eastAsia="Arial" w:hAnsi="Arial"/>
                <w:sz w:val="17"/>
                <w:szCs w:val="17"/>
                <w:color w:val="auto"/>
              </w:rPr>
              <w:t>Operating lease assets</w:t>
            </w:r>
          </w:p>
        </w:tc>
        <w:tc>
          <w:tcPr>
            <w:tcW w:w="380" w:type="dxa"/>
            <w:vAlign w:val="bottom"/>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361"/>
        </w:trPr>
        <w:tc>
          <w:tcPr>
            <w:tcW w:w="9660" w:type="dxa"/>
            <w:vAlign w:val="bottom"/>
            <w:gridSpan w:val="4"/>
          </w:tcPr>
          <w:p>
            <w:pPr>
              <w:ind w:left="320"/>
              <w:spacing w:after="0"/>
              <w:rPr>
                <w:sz w:val="20"/>
                <w:szCs w:val="20"/>
                <w:color w:val="auto"/>
              </w:rPr>
            </w:pPr>
            <w:r>
              <w:rPr>
                <w:rFonts w:ascii="Arial" w:cs="Arial" w:eastAsia="Arial" w:hAnsi="Arial"/>
                <w:sz w:val="17"/>
                <w:szCs w:val="17"/>
                <w:color w:val="auto"/>
              </w:rPr>
              <w:t>Rent expense was $6.5 million and $1.9 million for the years ended December 31, 2019, and 2018, respectively.</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180" w:type="dxa"/>
            <w:vAlign w:val="bottom"/>
            <w:gridSpan w:val="2"/>
          </w:tcPr>
          <w:p>
            <w:pPr>
              <w:ind w:left="320"/>
              <w:spacing w:after="0"/>
              <w:rPr>
                <w:sz w:val="20"/>
                <w:szCs w:val="20"/>
                <w:color w:val="auto"/>
              </w:rPr>
            </w:pPr>
            <w:r>
              <w:rPr>
                <w:rFonts w:ascii="Arial" w:cs="Arial" w:eastAsia="Arial" w:hAnsi="Arial"/>
                <w:sz w:val="17"/>
                <w:szCs w:val="17"/>
                <w:color w:val="auto"/>
              </w:rPr>
              <w:t>Other information related to leases was as follows:</w:t>
            </w: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1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Supplemental Cash Flow Information (in millions)</w:t>
            </w: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80"/>
        </w:trPr>
        <w:tc>
          <w:tcPr>
            <w:tcW w:w="7180" w:type="dxa"/>
            <w:vAlign w:val="bottom"/>
            <w:tcBorders>
              <w:bottom w:val="single" w:sz="8" w:color="auto"/>
            </w:tcBorders>
            <w:gridSpan w:val="2"/>
            <w:vMerge w:val="continue"/>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3"/>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operating lease liabilities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45"/>
        </w:trPr>
        <w:tc>
          <w:tcPr>
            <w:tcW w:w="7180" w:type="dxa"/>
            <w:vAlign w:val="bottom"/>
            <w:gridSpan w:val="2"/>
          </w:tcPr>
          <w:p>
            <w:pPr>
              <w:spacing w:after="0"/>
              <w:rPr>
                <w:sz w:val="21"/>
                <w:szCs w:val="21"/>
                <w:color w:val="auto"/>
              </w:rPr>
            </w:pPr>
          </w:p>
        </w:tc>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7"/>
                <w:szCs w:val="17"/>
                <w:b w:val="1"/>
                <w:bCs w:val="1"/>
                <w:color w:val="auto"/>
              </w:rPr>
              <w:t>Lease liabilities arising from obtaining right-of-use assets</w:t>
            </w:r>
            <w:r>
              <w:rPr>
                <w:rFonts w:ascii="Arial" w:cs="Arial" w:eastAsia="Arial" w:hAnsi="Arial"/>
                <w:sz w:val="22"/>
                <w:szCs w:val="22"/>
                <w:b w:val="1"/>
                <w:bCs w:val="1"/>
                <w:color w:val="auto"/>
                <w:vertAlign w:val="superscript"/>
              </w:rPr>
              <w:t>(1)</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gridSpan w:val="2"/>
          </w:tcPr>
          <w:p>
            <w:pPr>
              <w:ind w:left="20"/>
              <w:spacing w:after="0"/>
              <w:rPr>
                <w:sz w:val="20"/>
                <w:szCs w:val="20"/>
                <w:color w:val="auto"/>
              </w:rPr>
            </w:pPr>
            <w:r>
              <w:rPr>
                <w:rFonts w:ascii="Arial" w:cs="Arial" w:eastAsia="Arial" w:hAnsi="Arial"/>
                <w:sz w:val="17"/>
                <w:szCs w:val="17"/>
                <w:color w:val="auto"/>
              </w:rPr>
              <w:t>From Zoom Information, Inc. acquisition</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2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36"/>
        </w:trPr>
        <w:tc>
          <w:tcPr>
            <w:tcW w:w="7080" w:type="dxa"/>
            <w:vAlign w:val="bottom"/>
          </w:tcPr>
          <w:p>
            <w:pPr>
              <w:spacing w:after="0" w:line="136" w:lineRule="exact"/>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180" w:type="dxa"/>
            <w:vAlign w:val="bottom"/>
            <w:gridSpan w:val="2"/>
          </w:tcPr>
          <w:p>
            <w:pPr>
              <w:spacing w:after="0"/>
              <w:rPr>
                <w:sz w:val="20"/>
                <w:szCs w:val="20"/>
                <w:color w:val="auto"/>
              </w:rPr>
            </w:pPr>
            <w:r>
              <w:rPr>
                <w:rFonts w:ascii="Arial" w:cs="Arial" w:eastAsia="Arial" w:hAnsi="Arial"/>
                <w:sz w:val="14"/>
                <w:szCs w:val="14"/>
                <w:color w:val="auto"/>
              </w:rPr>
              <w:t>(1)  Excludes lease liabilities arising from the adoption of Topic 842. Refer to Note 2.</w:t>
            </w:r>
          </w:p>
        </w:tc>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138670"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50" w:name="page251"/>
    <w:bookmarkEnd w:id="250"/>
    <w:p>
      <w:pPr>
        <w:spacing w:after="0"/>
        <w:rPr>
          <w:sz w:val="20"/>
          <w:szCs w:val="20"/>
          <w:color w:val="auto"/>
        </w:rPr>
      </w:pPr>
      <w:r>
        <w:rPr>
          <w:rFonts w:ascii="Arial" w:cs="Arial" w:eastAsia="Arial" w:hAnsi="Arial"/>
          <w:sz w:val="17"/>
          <w:szCs w:val="17"/>
          <w:b w:val="1"/>
          <w:bCs w:val="1"/>
          <w:color w:val="auto"/>
        </w:rPr>
        <w:t>Note 11 - Leases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23"/>
              <w:spacing w:after="0"/>
              <w:rPr>
                <w:sz w:val="20"/>
                <w:szCs w:val="20"/>
                <w:color w:val="auto"/>
              </w:rPr>
            </w:pPr>
            <w:r>
              <w:rPr>
                <w:rFonts w:ascii="Arial" w:cs="Arial" w:eastAsia="Arial" w:hAnsi="Arial"/>
                <w:sz w:val="14"/>
                <w:szCs w:val="14"/>
                <w:b w:val="1"/>
                <w:bCs w:val="1"/>
                <w:color w:val="auto"/>
                <w:w w:val="92"/>
              </w:rPr>
              <w:t>Year ended December 31,</w:t>
            </w:r>
          </w:p>
        </w:tc>
      </w:tr>
      <w:tr>
        <w:trPr>
          <w:trHeight w:val="179"/>
        </w:trPr>
        <w:tc>
          <w:tcPr>
            <w:tcW w:w="9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2019</w:t>
            </w:r>
          </w:p>
        </w:tc>
      </w:tr>
      <w:tr>
        <w:trPr>
          <w:trHeight w:val="213"/>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6"/>
        </w:trPr>
        <w:tc>
          <w:tcPr>
            <w:tcW w:w="9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9"/>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6.3 %</w:t>
            </w:r>
          </w:p>
        </w:tc>
      </w:tr>
    </w:tbl>
    <w:p>
      <w:pPr>
        <w:spacing w:after="0" w:line="34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table below reconciles the undiscounted future minimum lease payments under non-cancellable leases to the total lease liabilities recognized on the condensed consolidated balance sheets as of December 31, 2019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w w:val="93"/>
              </w:rPr>
              <w:t>Operating Leases</w:t>
            </w:r>
          </w:p>
        </w:tc>
      </w:tr>
      <w:tr>
        <w:trPr>
          <w:trHeight w:val="218"/>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8"/>
        </w:trPr>
        <w:tc>
          <w:tcPr>
            <w:tcW w:w="9580" w:type="dxa"/>
            <w:vAlign w:val="bottom"/>
          </w:tcPr>
          <w:p>
            <w:pPr>
              <w:ind w:left="20"/>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9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8"/>
        </w:trPr>
        <w:tc>
          <w:tcPr>
            <w:tcW w:w="958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20"/>
        </w:trPr>
        <w:tc>
          <w:tcPr>
            <w:tcW w:w="9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8"/>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r>
      <w:tr>
        <w:trPr>
          <w:trHeight w:val="21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r>
      <w:tr>
        <w:trPr>
          <w:trHeight w:val="218"/>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effects of discounting</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r>
      <w:tr>
        <w:trPr>
          <w:trHeight w:val="238"/>
        </w:trPr>
        <w:tc>
          <w:tcPr>
            <w:tcW w:w="9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Future minimum rental payments under the Company’s non-cancellable operating leases as of December 31, 2018, were as follows (in millions)</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Contractual Payments</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Expected Sub-Lease</w:t>
            </w:r>
          </w:p>
        </w:tc>
        <w:tc>
          <w:tcPr>
            <w:tcW w:w="240" w:type="dxa"/>
            <w:vAlign w:val="bottom"/>
          </w:tcPr>
          <w:p>
            <w:pPr>
              <w:spacing w:after="0"/>
              <w:rPr>
                <w:sz w:val="14"/>
                <w:szCs w:val="14"/>
                <w:color w:val="auto"/>
              </w:rPr>
            </w:pPr>
          </w:p>
        </w:tc>
        <w:tc>
          <w:tcPr>
            <w:tcW w:w="1320" w:type="dxa"/>
            <w:vAlign w:val="bottom"/>
          </w:tcPr>
          <w:p>
            <w:pPr>
              <w:jc w:val="right"/>
              <w:ind w:right="298"/>
              <w:spacing w:after="0"/>
              <w:rPr>
                <w:sz w:val="20"/>
                <w:szCs w:val="20"/>
                <w:color w:val="auto"/>
              </w:rPr>
            </w:pPr>
            <w:r>
              <w:rPr>
                <w:rFonts w:ascii="Arial" w:cs="Arial" w:eastAsia="Arial" w:hAnsi="Arial"/>
                <w:sz w:val="14"/>
                <w:szCs w:val="14"/>
                <w:b w:val="1"/>
                <w:bCs w:val="1"/>
                <w:color w:val="auto"/>
              </w:rPr>
              <w:t>Net Expected</w:t>
            </w:r>
          </w:p>
        </w:tc>
      </w:tr>
      <w:tr>
        <w:trPr>
          <w:trHeight w:val="179"/>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Payments</w:t>
            </w:r>
          </w:p>
        </w:tc>
        <w:tc>
          <w:tcPr>
            <w:tcW w:w="240" w:type="dxa"/>
            <w:vAlign w:val="bottom"/>
          </w:tcPr>
          <w:p>
            <w:pPr>
              <w:spacing w:after="0"/>
              <w:rPr>
                <w:sz w:val="15"/>
                <w:szCs w:val="15"/>
                <w:color w:val="auto"/>
              </w:rPr>
            </w:pPr>
          </w:p>
        </w:tc>
        <w:tc>
          <w:tcPr>
            <w:tcW w:w="1320" w:type="dxa"/>
            <w:vAlign w:val="bottom"/>
          </w:tcPr>
          <w:p>
            <w:pPr>
              <w:jc w:val="right"/>
              <w:ind w:right="278"/>
              <w:spacing w:after="0"/>
              <w:rPr>
                <w:sz w:val="20"/>
                <w:szCs w:val="20"/>
                <w:color w:val="auto"/>
              </w:rPr>
            </w:pPr>
            <w:r>
              <w:rPr>
                <w:rFonts w:ascii="Arial" w:cs="Arial" w:eastAsia="Arial" w:hAnsi="Arial"/>
                <w:sz w:val="14"/>
                <w:szCs w:val="14"/>
                <w:b w:val="1"/>
                <w:bCs w:val="1"/>
                <w:color w:val="auto"/>
              </w:rPr>
              <w:t>Commitments</w:t>
            </w:r>
          </w:p>
        </w:tc>
      </w:tr>
      <w:tr>
        <w:trPr>
          <w:trHeight w:val="21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636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0"/>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6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-97790</wp:posOffset>
            </wp:positionV>
            <wp:extent cx="31070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ind w:left="300" w:hanging="297"/>
        <w:spacing w:after="0"/>
        <w:tabs>
          <w:tab w:leader="none" w:pos="3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 xml:space="preserve">Amounts are based on ASC 840,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that were superseded upon the Company’s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w:t>
      </w:r>
    </w:p>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Expense associated with short term leases and variable lease costs were immaterial for the Year ended December 31, 2019. The expense related to short-term leases reasonably reflects the Company’s short-term lease commitments.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Members’ Deficit</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March 2018, certain members of the Company sold membership interests to private equity funds managed by Carlyle Partners (“Carlyle Investment”) and entered into the Third Amended and Restated Limited Liability Company Agreement (the “3rd LLC Agreement”). The 3rd LLC Agreement establishes different classes of membership units and the rights and economics related to each. All existing units of the Company were converted at the time of the Carlyle Investment to new Common and Preferred units equal to an initial investment level of one dollar per unit. Class P units were reserved for use in equity incentive programs for employees, directors, and service providers.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51" w:name="page252"/>
    <w:bookmarkEnd w:id="251"/>
    <w:p>
      <w:pPr>
        <w:spacing w:after="0"/>
        <w:rPr>
          <w:sz w:val="20"/>
          <w:szCs w:val="20"/>
          <w:color w:val="auto"/>
        </w:rPr>
      </w:pPr>
      <w:r>
        <w:rPr>
          <w:rFonts w:ascii="Arial" w:cs="Arial" w:eastAsia="Arial" w:hAnsi="Arial"/>
          <w:sz w:val="17"/>
          <w:szCs w:val="17"/>
          <w:b w:val="1"/>
          <w:bCs w:val="1"/>
          <w:color w:val="auto"/>
        </w:rPr>
        <w:t>Note 12 - Members' Deficit (continued)</w:t>
      </w:r>
    </w:p>
    <w:p>
      <w:pPr>
        <w:spacing w:after="0" w:line="19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Class P units were subsequently granted to employees and directors directly in DiscoverOrg Holdings, LLC and through DiscoverOrg Management Holdings, LLC, which was granted units and subsequently granted units to employees. See </w:t>
      </w:r>
      <w:r>
        <w:rPr>
          <w:rFonts w:ascii="Arial" w:cs="Arial" w:eastAsia="Arial" w:hAnsi="Arial"/>
          <w:sz w:val="17"/>
          <w:szCs w:val="17"/>
          <w:b w:val="1"/>
          <w:bCs w:val="1"/>
          <w:color w:val="auto"/>
        </w:rPr>
        <w:t>Note 15 - Equity-Based Compensation</w:t>
      </w:r>
      <w:r>
        <w:rPr>
          <w:rFonts w:ascii="Arial" w:cs="Arial" w:eastAsia="Arial" w:hAnsi="Arial"/>
          <w:sz w:val="17"/>
          <w:szCs w:val="17"/>
          <w:color w:val="auto"/>
        </w:rPr>
        <w:t xml:space="preserve"> for additional detail with respect to granted units.</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on a ratable basis to all units, with Class P Units participating in distributions once other units have achieved a specified Return Threshold.</w:t>
      </w:r>
    </w:p>
    <w:p>
      <w:pPr>
        <w:spacing w:after="0" w:line="10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of December 31, 2019, there were 96.0 million Preferred Units outstanding, 244.1 million Common Units outstanding, and 17.2 million Class P Units outstanding. As of December 31, 2018, there were 96.0 million Preferred Units outstanding, 246.0 million Common Units outstanding, and 5.7 million Class P Units outstanding. Prior to the Carlyle Investment, the Company operated under the Amended and Restated Limited Liability Company Agreement (the “Prior LLC Agreement”).</w:t>
      </w:r>
    </w:p>
    <w:p>
      <w:pPr>
        <w:spacing w:after="0" w:line="128" w:lineRule="exact"/>
        <w:rPr>
          <w:sz w:val="20"/>
          <w:szCs w:val="20"/>
          <w:color w:val="auto"/>
        </w:rPr>
      </w:pPr>
    </w:p>
    <w:p>
      <w:pPr>
        <w:ind w:right="1900" w:firstLine="309"/>
        <w:spacing w:after="0" w:line="439" w:lineRule="auto"/>
        <w:rPr>
          <w:sz w:val="20"/>
          <w:szCs w:val="20"/>
          <w:color w:val="auto"/>
        </w:rPr>
      </w:pPr>
      <w:r>
        <w:rPr>
          <w:rFonts w:ascii="Arial" w:cs="Arial" w:eastAsia="Arial" w:hAnsi="Arial"/>
          <w:sz w:val="17"/>
          <w:szCs w:val="17"/>
          <w:color w:val="auto"/>
        </w:rPr>
        <w:t xml:space="preserve">The Company has an outstanding payable as of December 31, 2019 of $0.7 million to a predecessor entity that is a current member. </w:t>
      </w:r>
      <w:r>
        <w:rPr>
          <w:rFonts w:ascii="Arial" w:cs="Arial" w:eastAsia="Arial" w:hAnsi="Arial"/>
          <w:sz w:val="17"/>
          <w:szCs w:val="17"/>
          <w:b w:val="1"/>
          <w:bCs w:val="1"/>
          <w:color w:val="auto"/>
        </w:rPr>
        <w:t>Note 13 - Redeemable Series A Preferred Units</w:t>
      </w:r>
    </w:p>
    <w:p>
      <w:pPr>
        <w:jc w:val="both"/>
        <w:ind w:firstLine="309"/>
        <w:spacing w:after="0" w:line="319" w:lineRule="auto"/>
        <w:rPr>
          <w:sz w:val="20"/>
          <w:szCs w:val="20"/>
          <w:color w:val="auto"/>
        </w:rPr>
      </w:pPr>
      <w:r>
        <w:rPr>
          <w:rFonts w:ascii="Arial" w:cs="Arial" w:eastAsia="Arial" w:hAnsi="Arial"/>
          <w:sz w:val="16"/>
          <w:szCs w:val="16"/>
          <w:color w:val="auto"/>
        </w:rPr>
        <w:t xml:space="preserve">On February 1, 2019, and in connection with the ZoomInfo acquisition (see </w:t>
      </w:r>
      <w:r>
        <w:rPr>
          <w:rFonts w:ascii="Arial" w:cs="Arial" w:eastAsia="Arial" w:hAnsi="Arial"/>
          <w:sz w:val="16"/>
          <w:szCs w:val="16"/>
          <w:b w:val="1"/>
          <w:bCs w:val="1"/>
          <w:color w:val="auto"/>
        </w:rPr>
        <w:t>Note 4 – Business Combinations</w:t>
      </w:r>
      <w:r>
        <w:rPr>
          <w:rFonts w:ascii="Arial" w:cs="Arial" w:eastAsia="Arial" w:hAnsi="Arial"/>
          <w:sz w:val="16"/>
          <w:szCs w:val="16"/>
          <w:color w:val="auto"/>
        </w:rPr>
        <w:t>), the Company issued 51.8 million Series A Preferred Units in exchange for $200.2 million, net of $0.6 million in issuance costs. As of December 31, 2019, 51.8 million units remained outstanding.</w:t>
      </w:r>
    </w:p>
    <w:p>
      <w:pPr>
        <w:spacing w:after="0" w:line="84"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for December 31, 2019. The Company will adjust the carrying balance once it is probable that the Series A Preferred Units will become redeemable.</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may, at its option, redeem the Series A Preferred Units in whole, or in part, at a price based on the redemption date as compared to January 31, 2021 (the “First Call Date”).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Applicable Period</w:t>
            </w:r>
          </w:p>
        </w:tc>
        <w:tc>
          <w:tcPr>
            <w:tcW w:w="80" w:type="dxa"/>
            <w:vAlign w:val="bottom"/>
            <w:tcBorders>
              <w:bottom w:val="single" w:sz="8" w:color="CCEEFF"/>
            </w:tcBorders>
          </w:tcPr>
          <w:p>
            <w:pPr>
              <w:spacing w:after="0"/>
              <w:rPr>
                <w:sz w:val="16"/>
                <w:szCs w:val="16"/>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Redemption Price</w:t>
            </w:r>
          </w:p>
        </w:tc>
        <w:tc>
          <w:tcPr>
            <w:tcW w:w="0" w:type="dxa"/>
            <w:vAlign w:val="bottom"/>
          </w:tcPr>
          <w:p>
            <w:pPr>
              <w:spacing w:after="0"/>
              <w:rPr>
                <w:sz w:val="1"/>
                <w:szCs w:val="1"/>
                <w:color w:val="auto"/>
              </w:rPr>
            </w:pPr>
          </w:p>
        </w:tc>
      </w:tr>
      <w:tr>
        <w:trPr>
          <w:trHeight w:val="166"/>
        </w:trPr>
        <w:tc>
          <w:tcPr>
            <w:tcW w:w="62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Prior to the First Call Date</w:t>
            </w:r>
          </w:p>
        </w:tc>
        <w:tc>
          <w:tcPr>
            <w:tcW w:w="49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w w:val="93"/>
              </w:rPr>
              <w:t>Present value as of the redemption date of liquidation value as of First</w:t>
            </w: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Call Date multiplied by 104%</w:t>
            </w:r>
          </w:p>
        </w:tc>
        <w:tc>
          <w:tcPr>
            <w:tcW w:w="0" w:type="dxa"/>
            <w:vAlign w:val="bottom"/>
          </w:tcPr>
          <w:p>
            <w:pPr>
              <w:spacing w:after="0"/>
              <w:rPr>
                <w:sz w:val="1"/>
                <w:szCs w:val="1"/>
                <w:color w:val="auto"/>
              </w:rPr>
            </w:pPr>
          </w:p>
        </w:tc>
      </w:tr>
      <w:tr>
        <w:trPr>
          <w:trHeight w:val="218"/>
        </w:trPr>
        <w:tc>
          <w:tcPr>
            <w:tcW w:w="6280" w:type="dxa"/>
            <w:vAlign w:val="bottom"/>
            <w:gridSpan w:val="2"/>
          </w:tcPr>
          <w:p>
            <w:pPr>
              <w:ind w:left="20"/>
              <w:spacing w:after="0"/>
              <w:rPr>
                <w:sz w:val="20"/>
                <w:szCs w:val="20"/>
                <w:color w:val="auto"/>
              </w:rPr>
            </w:pPr>
            <w:r>
              <w:rPr>
                <w:rFonts w:ascii="Arial" w:cs="Arial" w:eastAsia="Arial" w:hAnsi="Arial"/>
                <w:sz w:val="17"/>
                <w:szCs w:val="17"/>
                <w:color w:val="auto"/>
                <w:w w:val="99"/>
              </w:rPr>
              <w:t>On or after the First Call Date and prior to the first anniversary of the First Call Date</w:t>
            </w:r>
          </w:p>
        </w:tc>
        <w:tc>
          <w:tcPr>
            <w:tcW w:w="4960" w:type="dxa"/>
            <w:vAlign w:val="bottom"/>
          </w:tcPr>
          <w:p>
            <w:pPr>
              <w:ind w:left="20"/>
              <w:spacing w:after="0"/>
              <w:rPr>
                <w:sz w:val="20"/>
                <w:szCs w:val="20"/>
                <w:color w:val="auto"/>
              </w:rPr>
            </w:pPr>
            <w:r>
              <w:rPr>
                <w:rFonts w:ascii="Arial" w:cs="Arial" w:eastAsia="Arial" w:hAnsi="Arial"/>
                <w:sz w:val="17"/>
                <w:szCs w:val="17"/>
                <w:color w:val="auto"/>
              </w:rPr>
              <w:t>Liquidation value as of the redemption date multiplied by 104%</w:t>
            </w:r>
          </w:p>
        </w:tc>
        <w:tc>
          <w:tcPr>
            <w:tcW w:w="0" w:type="dxa"/>
            <w:vAlign w:val="bottom"/>
          </w:tcPr>
          <w:p>
            <w:pPr>
              <w:spacing w:after="0"/>
              <w:rPr>
                <w:sz w:val="1"/>
                <w:szCs w:val="1"/>
                <w:color w:val="auto"/>
              </w:rPr>
            </w:pPr>
          </w:p>
        </w:tc>
      </w:tr>
      <w:tr>
        <w:trPr>
          <w:trHeight w:val="169"/>
        </w:trPr>
        <w:tc>
          <w:tcPr>
            <w:tcW w:w="62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7"/>
                <w:szCs w:val="17"/>
                <w:color w:val="auto"/>
                <w:w w:val="93"/>
              </w:rPr>
              <w:t>On or after the first anniversary of the First Call Date and prior to the second anniversary</w:t>
            </w:r>
          </w:p>
        </w:tc>
        <w:tc>
          <w:tcPr>
            <w:tcW w:w="49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Liquidation value as of the redemption date multiplied by 102%</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 the First Call Date</w:t>
            </w:r>
          </w:p>
        </w:tc>
        <w:tc>
          <w:tcPr>
            <w:tcW w:w="4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On or after the second anniversary of the First Call Date</w:t>
            </w:r>
          </w:p>
        </w:tc>
        <w:tc>
          <w:tcPr>
            <w:tcW w:w="4960" w:type="dxa"/>
            <w:vAlign w:val="bottom"/>
          </w:tcPr>
          <w:p>
            <w:pPr>
              <w:ind w:left="20"/>
              <w:spacing w:after="0"/>
              <w:rPr>
                <w:sz w:val="20"/>
                <w:szCs w:val="20"/>
                <w:color w:val="auto"/>
              </w:rPr>
            </w:pPr>
            <w:r>
              <w:rPr>
                <w:rFonts w:ascii="Arial" w:cs="Arial" w:eastAsia="Arial" w:hAnsi="Arial"/>
                <w:sz w:val="17"/>
                <w:szCs w:val="17"/>
                <w:color w:val="auto"/>
              </w:rPr>
              <w:t>Liquidation value as of the redemption date</w:t>
            </w:r>
          </w:p>
        </w:tc>
        <w:tc>
          <w:tcPr>
            <w:tcW w:w="0" w:type="dxa"/>
            <w:vAlign w:val="bottom"/>
          </w:tcPr>
          <w:p>
            <w:pPr>
              <w:spacing w:after="0"/>
              <w:rPr>
                <w:sz w:val="1"/>
                <w:szCs w:val="1"/>
                <w:color w:val="auto"/>
              </w:rPr>
            </w:pPr>
          </w:p>
        </w:tc>
      </w:tr>
      <w:tr>
        <w:trPr>
          <w:trHeight w:val="850"/>
        </w:trPr>
        <w:tc>
          <w:tcPr>
            <w:tcW w:w="6280" w:type="dxa"/>
            <w:vAlign w:val="bottom"/>
            <w:gridSpan w:val="2"/>
          </w:tcPr>
          <w:p>
            <w:pPr>
              <w:ind w:left="5460"/>
              <w:spacing w:after="0"/>
              <w:rPr>
                <w:sz w:val="20"/>
                <w:szCs w:val="20"/>
                <w:color w:val="auto"/>
              </w:rPr>
            </w:pPr>
            <w:r>
              <w:rPr>
                <w:rFonts w:ascii="Arial" w:cs="Arial" w:eastAsia="Arial" w:hAnsi="Arial"/>
                <w:sz w:val="17"/>
                <w:szCs w:val="17"/>
                <w:color w:val="auto"/>
              </w:rPr>
              <w:t>F-35</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6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b w:val="1"/>
          <w:bCs w:val="1"/>
          <w:color w:val="auto"/>
        </w:rPr>
        <w:t>Note 13 - Redeemable Series A Preferred Units (continued)</w:t>
      </w:r>
    </w:p>
    <w:p>
      <w:pPr>
        <w:spacing w:after="0" w:line="197" w:lineRule="exact"/>
        <w:rPr>
          <w:sz w:val="20"/>
          <w:szCs w:val="20"/>
          <w:color w:val="auto"/>
        </w:rPr>
      </w:pPr>
    </w:p>
    <w:p>
      <w:pPr>
        <w:ind w:right="780" w:firstLine="309"/>
        <w:spacing w:after="0" w:line="442" w:lineRule="auto"/>
        <w:rPr>
          <w:sz w:val="20"/>
          <w:szCs w:val="20"/>
          <w:color w:val="auto"/>
        </w:rPr>
      </w:pPr>
      <w:r>
        <w:rPr>
          <w:rFonts w:ascii="Arial" w:cs="Arial" w:eastAsia="Arial" w:hAnsi="Arial"/>
          <w:sz w:val="17"/>
          <w:szCs w:val="17"/>
          <w:color w:val="auto"/>
        </w:rPr>
        <w:t xml:space="preserve">As of December 31, 2019, the total minimum committed cumulative liquidation preference due upon an immediate redemption was $282.5 million. </w:t>
      </w:r>
      <w:r>
        <w:rPr>
          <w:rFonts w:ascii="Arial" w:cs="Arial" w:eastAsia="Arial" w:hAnsi="Arial"/>
          <w:sz w:val="17"/>
          <w:szCs w:val="17"/>
          <w:b w:val="1"/>
          <w:bCs w:val="1"/>
          <w:color w:val="auto"/>
        </w:rPr>
        <w:t>Note 14 - Employee Retirement Benefits</w:t>
      </w:r>
    </w:p>
    <w:p>
      <w:pPr>
        <w:spacing w:after="0" w:line="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has a 401(k) plan that all eligible employees can contribute pre-tax and after-tax (Roth) to up to the maximum annual amount established by the Internal Revenue Code. The Company matches 35% of the employee's contribution to the 401(k) plan up to the first 6% of their contribution. Matching contributions made by the Company were approximately $1.4 million and $0.6 million for the years ended December 31, 2019, and 2018, respectively. Matching contributions will be fully vested after three years of service. Employee contributions are 100% vested immediately. The acquisition of Zoom Information, Inc. contributed to the increase in the Company's matching contribution in 2019.</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Equity-Based Compensation</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b w:val="1"/>
          <w:bCs w:val="1"/>
          <w:color w:val="auto"/>
        </w:rPr>
        <w:t xml:space="preserve">Class P Incentive Units </w:t>
      </w:r>
      <w:r>
        <w:rPr>
          <w:rFonts w:ascii="Arial" w:cs="Arial" w:eastAsia="Arial" w:hAnsi="Arial"/>
          <w:sz w:val="16"/>
          <w:szCs w:val="16"/>
          <w:color w:val="auto"/>
        </w:rPr>
        <w:t>- Class P units under the Company’s current LLC Agreement and the Class C units under the Company’s Prior LLC Agreement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converted to Common Units (collectively with Management Holdings Class P Units described below, the “Class P Incentive Units”) operate under employee incentive programs and are granted to employees and service providers as approved by the Board of Managers. In June 2019, the Company expanded its employee incentive program under a newly formed upper tier entity DiscoverOrg Management Holdings, LLC (“Management Holdings”) established to issue Class P units of Management Holdings to employees of the Company. Through this newly formed upper tier entity, Class P units of Management Holdings are issued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116"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Class P Incentive Units are subject to a time-based vesting condition. The service vesting condition is generally over four years with 50% vesting on the two year anniversary of the vesting commencement date of the award, followed by 1/24th of the remaining 50% vesting monthly over two years. The fair value of each grant was estimated on the date of the award using a Black-Scholes option pricing model with the following assumption ranges and fair value per unit: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78"/>
        </w:trPr>
        <w:tc>
          <w:tcPr>
            <w:tcW w:w="78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rate</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1.58% - 2.49%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- 2.82%</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Volatility of the underlying assets</w:t>
            </w: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38.4% - 41.9%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39.1%</w:t>
            </w:r>
          </w:p>
        </w:tc>
        <w:tc>
          <w:tcPr>
            <w:tcW w:w="880" w:type="dxa"/>
            <w:vAlign w:val="bottom"/>
          </w:tcPr>
          <w:p>
            <w:pPr>
              <w:ind w:left="20"/>
              <w:spacing w:after="0"/>
              <w:rPr>
                <w:sz w:val="20"/>
                <w:szCs w:val="20"/>
                <w:color w:val="auto"/>
              </w:rPr>
            </w:pPr>
            <w:r>
              <w:rPr>
                <w:rFonts w:ascii="Arial" w:cs="Arial" w:eastAsia="Arial" w:hAnsi="Arial"/>
                <w:sz w:val="17"/>
                <w:szCs w:val="17"/>
                <w:color w:val="auto"/>
              </w:rPr>
              <w:t>- 41.2%</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6"/>
              </w:rPr>
              <w:t>4 years</w:t>
            </w:r>
          </w:p>
        </w:tc>
        <w:tc>
          <w:tcPr>
            <w:tcW w:w="166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4 years</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Marketability discount</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660" w:type="dxa"/>
            <w:vAlign w:val="bottom"/>
            <w:gridSpan w:val="2"/>
          </w:tcPr>
          <w:p>
            <w:pPr>
              <w:jc w:val="right"/>
              <w:ind w:right="594"/>
              <w:spacing w:after="0"/>
              <w:rPr>
                <w:sz w:val="20"/>
                <w:szCs w:val="20"/>
                <w:color w:val="auto"/>
              </w:rPr>
            </w:pPr>
            <w:r>
              <w:rPr>
                <w:rFonts w:ascii="Arial" w:cs="Arial" w:eastAsia="Arial" w:hAnsi="Arial"/>
                <w:sz w:val="17"/>
                <w:szCs w:val="17"/>
                <w:color w:val="auto"/>
              </w:rPr>
              <w:t>29%</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per common unit</w:t>
            </w:r>
          </w:p>
        </w:tc>
        <w:tc>
          <w:tcPr>
            <w:tcW w:w="1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$5.20 - $14.36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$5.20</w:t>
            </w:r>
          </w:p>
        </w:tc>
      </w:tr>
      <w:tr>
        <w:trPr>
          <w:trHeight w:val="148"/>
        </w:trPr>
        <w:tc>
          <w:tcPr>
            <w:tcW w:w="7800" w:type="dxa"/>
            <w:vAlign w:val="bottom"/>
          </w:tcPr>
          <w:p>
            <w:pPr>
              <w:spacing w:after="0" w:line="148" w:lineRule="exact"/>
              <w:rPr>
                <w:sz w:val="20"/>
                <w:szCs w:val="20"/>
                <w:color w:val="auto"/>
              </w:rPr>
            </w:pPr>
            <w:r>
              <w:rPr>
                <w:rFonts w:ascii="Arial" w:cs="Arial" w:eastAsia="Arial" w:hAnsi="Arial"/>
                <w:sz w:val="14"/>
                <w:szCs w:val="14"/>
                <w:color w:val="auto"/>
              </w:rPr>
              <w:t>__________________</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jc w:val="both"/>
        <w:ind w:left="320" w:hanging="317"/>
        <w:spacing w:after="0" w:line="234" w:lineRule="auto"/>
        <w:tabs>
          <w:tab w:leader="none" w:pos="317" w:val="left"/>
        </w:tabs>
        <w:numPr>
          <w:ilvl w:val="0"/>
          <w:numId w:val="143"/>
        </w:numPr>
        <w:rPr>
          <w:rFonts w:ascii="Arial" w:cs="Arial" w:eastAsia="Arial" w:hAnsi="Arial"/>
          <w:sz w:val="14"/>
          <w:szCs w:val="14"/>
          <w:color w:val="auto"/>
        </w:rPr>
      </w:pPr>
      <w:r>
        <w:rPr>
          <w:rFonts w:ascii="Arial" w:cs="Arial" w:eastAsia="Arial" w:hAnsi="Arial"/>
          <w:sz w:val="14"/>
          <w:szCs w:val="14"/>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For common units, an estimated time until a liquidation event of 1.5 - 4.0 years and a marketability discount of 13% - 25% was used, depending on an IPO or non-IPO scenarios. As of December 31, 2019, an 80% weight was applied to an IPO scenario.</w:t>
      </w:r>
    </w:p>
    <w:p>
      <w:pPr>
        <w:spacing w:after="0" w:line="14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estimated the future stock price volatility based on the volatility of a set of publicly traded comparable companies with a look back period consistent with the expected life. The expected life of the Class P units represents the period of time over which the units granted are expected to remain outstanding giving consideration to vesting schedules and forfeiture patterns. The risk-free rate is based on the rate for a U.S. government security with the same expected life at the time of grant. As of December 31, 2019 and December 31, 2018, the Company had recognized $11.1 million and $1.5 million as compensation cost in the Consolidated statement of operations, respectively, with an offset to Members’ Deficit. As of December 31, 2019, the amount of unamortized equity-based compensation related to the Incentive Units is $53.8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b w:val="1"/>
          <w:bCs w:val="1"/>
          <w:color w:val="auto"/>
        </w:rPr>
        <w:t>Note 15 - Equity-Based Compensation (continued)</w:t>
      </w:r>
    </w:p>
    <w:p>
      <w:pPr>
        <w:spacing w:after="0" w:line="191"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DOH Phantom Units </w:t>
      </w:r>
      <w:r>
        <w:rPr>
          <w:rFonts w:ascii="Arial" w:cs="Arial" w:eastAsia="Arial" w:hAnsi="Arial"/>
          <w:sz w:val="17"/>
          <w:szCs w:val="17"/>
          <w:color w:val="auto"/>
        </w:rPr>
        <w:t>- In June 2019, the Company adopted the ZoomInfo OpCo 2019 Phantom Unit Plan which is authorized to issue an aggregate of</w:t>
      </w:r>
      <w:r>
        <w:rPr>
          <w:rFonts w:ascii="Arial" w:cs="Arial" w:eastAsia="Arial" w:hAnsi="Arial"/>
          <w:sz w:val="17"/>
          <w:szCs w:val="17"/>
          <w:b w:val="1"/>
          <w:bCs w:val="1"/>
          <w:color w:val="auto"/>
        </w:rPr>
        <w:t xml:space="preserve"> </w:t>
      </w:r>
      <w:r>
        <w:rPr>
          <w:rFonts w:ascii="Arial" w:cs="Arial" w:eastAsia="Arial" w:hAnsi="Arial"/>
          <w:sz w:val="17"/>
          <w:szCs w:val="17"/>
          <w:color w:val="auto"/>
        </w:rPr>
        <w:t>7.5 million Phantom Units (as defined in the plan) (“DOH Phantom Units”). DOH Phantom Units generally are eligible to vest over four years with 50% vesting on the two year anniversary of the service requirement start date of the award, followed by 1/24th of the remaining 50% vesting monthly over two years. As of December 31, 2019 zero DOH Phantom Units had been granted under the plan.</w:t>
      </w:r>
    </w:p>
    <w:p>
      <w:pPr>
        <w:spacing w:after="0" w:line="119" w:lineRule="exact"/>
        <w:rPr>
          <w:sz w:val="20"/>
          <w:szCs w:val="20"/>
          <w:color w:val="auto"/>
        </w:rPr>
      </w:pPr>
    </w:p>
    <w:p>
      <w:pPr>
        <w:jc w:val="both"/>
        <w:ind w:firstLine="309"/>
        <w:spacing w:after="0" w:line="289" w:lineRule="auto"/>
        <w:rPr>
          <w:sz w:val="20"/>
          <w:szCs w:val="20"/>
          <w:color w:val="auto"/>
        </w:rPr>
      </w:pPr>
      <w:r>
        <w:rPr>
          <w:rFonts w:ascii="Arial" w:cs="Arial" w:eastAsia="Arial" w:hAnsi="Arial"/>
          <w:sz w:val="15"/>
          <w:szCs w:val="15"/>
          <w:b w:val="1"/>
          <w:bCs w:val="1"/>
          <w:color w:val="auto"/>
        </w:rPr>
        <w:t xml:space="preserve">HSKB Incentive Units </w:t>
      </w:r>
      <w:r>
        <w:rPr>
          <w:rFonts w:ascii="Arial" w:cs="Arial" w:eastAsia="Arial" w:hAnsi="Arial"/>
          <w:sz w:val="15"/>
          <w:szCs w:val="15"/>
          <w:color w:val="auto"/>
        </w:rPr>
        <w:t>- The founders of the Company previously contributed membership units into an upper tier entity, HSKB Funds, LLC (“HSKB”),</w:t>
      </w:r>
      <w:r>
        <w:rPr>
          <w:rFonts w:ascii="Arial" w:cs="Arial" w:eastAsia="Arial" w:hAnsi="Arial"/>
          <w:sz w:val="15"/>
          <w:szCs w:val="15"/>
          <w:b w:val="1"/>
          <w:bCs w:val="1"/>
          <w:color w:val="auto"/>
        </w:rPr>
        <w:t xml:space="preserve"> </w:t>
      </w:r>
      <w:r>
        <w:rPr>
          <w:rFonts w:ascii="Arial" w:cs="Arial" w:eastAsia="Arial" w:hAnsi="Arial"/>
          <w:sz w:val="15"/>
          <w:szCs w:val="15"/>
          <w:color w:val="auto"/>
        </w:rPr>
        <w:t>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 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w:t>
      </w:r>
    </w:p>
    <w:p>
      <w:pPr>
        <w:jc w:val="both"/>
        <w:ind w:firstLine="3"/>
        <w:spacing w:after="0" w:line="259" w:lineRule="auto"/>
        <w:tabs>
          <w:tab w:leader="none" w:pos="38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This modification affected 142 grantees and resulted in an increase in unrecognized equity-based compensation cost related to the HSKB Grants of $88.4 million. As of the date of the HSKB Grants modification, the amount of unrecognized equity-based compensation related to the HSKB Grants is $166.4 million.</w:t>
      </w:r>
    </w:p>
    <w:p>
      <w:pPr>
        <w:spacing w:after="0" w:line="123"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b w:val="1"/>
          <w:bCs w:val="1"/>
          <w:color w:val="auto"/>
        </w:rPr>
        <w:t xml:space="preserve">HSKB Phantom Units </w:t>
      </w:r>
      <w:r>
        <w:rPr>
          <w:rFonts w:ascii="Arial" w:cs="Arial" w:eastAsia="Arial" w:hAnsi="Arial"/>
          <w:sz w:val="17"/>
          <w:szCs w:val="17"/>
          <w:color w:val="auto"/>
        </w:rPr>
        <w:t>- In December 2019, HSKB adopted the HSKB Funds, LLC 2019 Phantom Unit Plan wherein HSKB may grant Phantom Units</w:t>
      </w:r>
      <w:r>
        <w:rPr>
          <w:rFonts w:ascii="Arial" w:cs="Arial" w:eastAsia="Arial" w:hAnsi="Arial"/>
          <w:sz w:val="17"/>
          <w:szCs w:val="17"/>
          <w:b w:val="1"/>
          <w:bCs w:val="1"/>
          <w:color w:val="auto"/>
        </w:rPr>
        <w:t xml:space="preserve"> </w:t>
      </w:r>
      <w:r>
        <w:rPr>
          <w:rFonts w:ascii="Arial" w:cs="Arial" w:eastAsia="Arial" w:hAnsi="Arial"/>
          <w:sz w:val="17"/>
          <w:szCs w:val="17"/>
          <w:color w:val="auto"/>
        </w:rPr>
        <w:t>(“HSKB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December 31, 2019, the amount of unamortized equity-based compensation related to the HSKB Phantom Units is $5.0 million.</w:t>
      </w:r>
    </w:p>
    <w:p>
      <w:pPr>
        <w:spacing w:after="0" w:line="13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The Company recognizes compensation cost associated with this commitment as it is earned over time, or paid, whichever is sooner. As of December 31, 2019 and December 31, 2018, the Company had recognized $14.0 million and $31.2 million as compensation cost in the Consolidated statement of operations, respectively, with an offset to Members’ Deficit. In March 2019, HSKB distributed $14.8 million towards the outstanding commitment.</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connection with the Carlyle Investment transaction, accelerated vesting was triggered on all non-vested units and they were converted to new Common and Preferred units. The Company recognized $0.3 million compensation expense in connection with this accelerated vesting event. On March 12, 2018, a total of 82,735 non-vested Class C units held by employees were converted into 1,745,723 Common units subject to time-vesting conditions, of which 1,304,043 were fully vested upon conversion and 441,681 were not vested.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54" w:name="page255"/>
    <w:bookmarkEnd w:id="254"/>
    <w:p>
      <w:pPr>
        <w:spacing w:after="0"/>
        <w:rPr>
          <w:sz w:val="20"/>
          <w:szCs w:val="20"/>
          <w:color w:val="auto"/>
        </w:rPr>
      </w:pPr>
      <w:r>
        <w:rPr>
          <w:rFonts w:ascii="Arial" w:cs="Arial" w:eastAsia="Arial" w:hAnsi="Arial"/>
          <w:sz w:val="17"/>
          <w:szCs w:val="17"/>
          <w:b w:val="1"/>
          <w:bCs w:val="1"/>
          <w:color w:val="auto"/>
        </w:rPr>
        <w:t>Note 15 - Equity-Based Compensation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number and weighted-average grant date fair value for Common Units and Class P Incentive Units for key activities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Common Units</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Class P Units</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720" w:type="dxa"/>
            <w:vAlign w:val="bottom"/>
          </w:tcPr>
          <w:p>
            <w:pPr>
              <w:spacing w:after="0"/>
              <w:rPr>
                <w:sz w:val="11"/>
                <w:szCs w:val="11"/>
                <w:color w:val="auto"/>
              </w:rPr>
            </w:pPr>
          </w:p>
        </w:tc>
        <w:tc>
          <w:tcPr>
            <w:tcW w:w="13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1"/>
                <w:szCs w:val="11"/>
                <w:color w:val="auto"/>
              </w:rPr>
            </w:pPr>
          </w:p>
        </w:tc>
        <w:tc>
          <w:tcPr>
            <w:tcW w:w="132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2"/>
              </w:rPr>
              <w:t>Weighted Avg Grant</w:t>
            </w:r>
          </w:p>
        </w:tc>
        <w:tc>
          <w:tcPr>
            <w:tcW w:w="80" w:type="dxa"/>
            <w:vAlign w:val="bottom"/>
          </w:tcPr>
          <w:p>
            <w:pPr>
              <w:spacing w:after="0"/>
              <w:rPr>
                <w:sz w:val="11"/>
                <w:szCs w:val="11"/>
                <w:color w:val="auto"/>
              </w:rPr>
            </w:pPr>
          </w:p>
        </w:tc>
        <w:tc>
          <w:tcPr>
            <w:tcW w:w="13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130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2"/>
              </w:rPr>
              <w:t>Weighted Avg Grant</w:t>
            </w:r>
          </w:p>
        </w:tc>
        <w:tc>
          <w:tcPr>
            <w:tcW w:w="0" w:type="dxa"/>
            <w:vAlign w:val="bottom"/>
          </w:tcPr>
          <w:p>
            <w:pPr>
              <w:spacing w:after="0"/>
              <w:rPr>
                <w:sz w:val="1"/>
                <w:szCs w:val="1"/>
                <w:color w:val="auto"/>
              </w:rPr>
            </w:pPr>
          </w:p>
        </w:tc>
      </w:tr>
      <w:tr>
        <w:trPr>
          <w:trHeight w:val="179"/>
        </w:trPr>
        <w:tc>
          <w:tcPr>
            <w:tcW w:w="57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Date Fair Value/Unit</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Date Fair Value/Unit</w:t>
            </w: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units at December 31, 2018</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441,681</w:t>
            </w:r>
          </w:p>
        </w:tc>
        <w:tc>
          <w:tcPr>
            <w:tcW w:w="76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5,716,467</w:t>
            </w:r>
          </w:p>
        </w:tc>
        <w:tc>
          <w:tcPr>
            <w:tcW w:w="740" w:type="dxa"/>
            <w:vAlign w:val="bottom"/>
            <w:gridSpan w:val="2"/>
            <w:shd w:val="clear" w:color="auto" w:fill="CCEEFF"/>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18"/>
        </w:trPr>
        <w:tc>
          <w:tcPr>
            <w:tcW w:w="5720" w:type="dxa"/>
            <w:vAlign w:val="bottom"/>
          </w:tcPr>
          <w:p>
            <w:pPr>
              <w:ind w:left="14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511"/>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13,310,663</w:t>
            </w:r>
          </w:p>
        </w:tc>
        <w:tc>
          <w:tcPr>
            <w:tcW w:w="740" w:type="dxa"/>
            <w:vAlign w:val="bottom"/>
            <w:gridSpan w:val="2"/>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20"/>
        </w:trPr>
        <w:tc>
          <w:tcPr>
            <w:tcW w:w="5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(118,867)</w:t>
            </w:r>
          </w:p>
        </w:tc>
        <w:tc>
          <w:tcPr>
            <w:tcW w:w="760" w:type="dxa"/>
            <w:vAlign w:val="bottom"/>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(280,563)</w:t>
            </w:r>
          </w:p>
        </w:tc>
        <w:tc>
          <w:tcPr>
            <w:tcW w:w="740" w:type="dxa"/>
            <w:vAlign w:val="bottom"/>
            <w:gridSpan w:val="2"/>
            <w:shd w:val="clear" w:color="auto" w:fill="CCEEFF"/>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18"/>
        </w:trPr>
        <w:tc>
          <w:tcPr>
            <w:tcW w:w="57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(93,995)</w:t>
            </w:r>
          </w:p>
        </w:tc>
        <w:tc>
          <w:tcPr>
            <w:tcW w:w="760" w:type="dxa"/>
            <w:vAlign w:val="bottom"/>
            <w:tcBorders>
              <w:bottom w:val="single" w:sz="8" w:color="CCEEFF"/>
            </w:tcBorders>
            <w:gridSpan w:val="2"/>
          </w:tcPr>
          <w:p>
            <w:pPr>
              <w:jc w:val="right"/>
              <w:ind w:right="511"/>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0.17</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(1,852,964)</w:t>
            </w:r>
          </w:p>
        </w:tc>
        <w:tc>
          <w:tcPr>
            <w:tcW w:w="740" w:type="dxa"/>
            <w:vAlign w:val="bottom"/>
            <w:tcBorders>
              <w:bottom w:val="single" w:sz="8" w:color="CCEEFF"/>
            </w:tcBorders>
            <w:gridSpan w:val="2"/>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38"/>
        </w:trPr>
        <w:tc>
          <w:tcPr>
            <w:tcW w:w="572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Non-vested units at December 31, 2019 </w:t>
            </w:r>
            <w:r>
              <w:rPr>
                <w:rFonts w:ascii="Arial" w:cs="Arial" w:eastAsia="Arial" w:hAnsi="Arial"/>
                <w:sz w:val="22"/>
                <w:szCs w:val="22"/>
                <w:color w:val="auto"/>
                <w:vertAlign w:val="superscript"/>
              </w:rPr>
              <w:t>(1)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228,819</w:t>
            </w:r>
          </w:p>
        </w:tc>
        <w:tc>
          <w:tcPr>
            <w:tcW w:w="760" w:type="dxa"/>
            <w:vAlign w:val="bottom"/>
            <w:tcBorders>
              <w:bottom w:val="single" w:sz="8" w:color="CCEEFF"/>
            </w:tcBorders>
            <w:gridSpan w:val="2"/>
            <w:shd w:val="clear" w:color="auto" w:fill="CCEEFF"/>
          </w:tcPr>
          <w:p>
            <w:pPr>
              <w:jc w:val="right"/>
              <w:ind w:right="511"/>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16,893,603</w:t>
            </w:r>
          </w:p>
        </w:tc>
        <w:tc>
          <w:tcPr>
            <w:tcW w:w="740" w:type="dxa"/>
            <w:vAlign w:val="bottom"/>
            <w:tcBorders>
              <w:bottom w:val="single" w:sz="8" w:color="CCEEFF"/>
            </w:tcBorders>
            <w:gridSpan w:val="2"/>
            <w:shd w:val="clear" w:color="auto" w:fill="CCEEFF"/>
          </w:tcPr>
          <w:p>
            <w:pPr>
              <w:jc w:val="right"/>
              <w:ind w:right="471"/>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line="159" w:lineRule="exact"/>
              <w:rPr>
                <w:sz w:val="20"/>
                <w:szCs w:val="20"/>
                <w:color w:val="auto"/>
              </w:rPr>
            </w:pPr>
            <w:r>
              <w:rPr>
                <w:rFonts w:ascii="Arial" w:cs="Arial" w:eastAsia="Arial" w:hAnsi="Arial"/>
                <w:sz w:val="14"/>
                <w:szCs w:val="14"/>
                <w:color w:val="auto"/>
              </w:rPr>
              <w:t>__________________</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72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20" w:hanging="317"/>
        <w:spacing w:after="0" w:line="236" w:lineRule="auto"/>
        <w:tabs>
          <w:tab w:leader="none" w:pos="313" w:val="left"/>
        </w:tabs>
        <w:numPr>
          <w:ilvl w:val="0"/>
          <w:numId w:val="145"/>
        </w:numPr>
        <w:rPr>
          <w:rFonts w:ascii="Arial" w:cs="Arial" w:eastAsia="Arial" w:hAnsi="Arial"/>
          <w:sz w:val="14"/>
          <w:szCs w:val="14"/>
          <w:color w:val="auto"/>
        </w:rPr>
      </w:pPr>
      <w:r>
        <w:rPr>
          <w:rFonts w:ascii="Arial" w:cs="Arial" w:eastAsia="Arial" w:hAnsi="Arial"/>
          <w:sz w:val="14"/>
          <w:szCs w:val="14"/>
          <w:color w:val="auto"/>
        </w:rPr>
        <w:t>During the year 24,872 units were modified when non-vested units were permitted to be retained by a separating employee without vesting or forfeiting as per the terms of the original agreement. The fair value of these Common units at the time of the modification was $10.48 per unit.</w:t>
      </w:r>
    </w:p>
    <w:p>
      <w:pPr>
        <w:spacing w:after="0" w:line="14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following table summarizes equity-based compensation expense related to all employee incentive unit awards including Class P Incentive Units, DOH Phantom Units, HSKB Grants, and HSKB Phantom Units (in millions):</w:t>
      </w:r>
    </w:p>
    <w:p>
      <w:pPr>
        <w:spacing w:after="0" w:line="125"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Year Ended</w:t>
      </w: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 and Operating expenses include equity-based compensation expenses as follows:</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Cost of service</w:t>
            </w:r>
          </w:p>
        </w:tc>
        <w:tc>
          <w:tcPr>
            <w:tcW w:w="1060" w:type="dxa"/>
            <w:vAlign w:val="bottom"/>
          </w:tcPr>
          <w:p>
            <w:pPr>
              <w:jc w:val="right"/>
              <w:ind w:right="880"/>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3"/>
        </w:trPr>
        <w:tc>
          <w:tcPr>
            <w:tcW w:w="8020" w:type="dxa"/>
            <w:vAlign w:val="bottom"/>
          </w:tcPr>
          <w:p>
            <w:pPr>
              <w:ind w:left="440"/>
              <w:spacing w:after="0"/>
              <w:rPr>
                <w:sz w:val="20"/>
                <w:szCs w:val="20"/>
                <w:color w:val="auto"/>
              </w:rPr>
            </w:pPr>
            <w:r>
              <w:rPr>
                <w:rFonts w:ascii="Arial" w:cs="Arial" w:eastAsia="Arial" w:hAnsi="Arial"/>
                <w:sz w:val="17"/>
                <w:szCs w:val="17"/>
                <w:color w:val="auto"/>
              </w:rPr>
              <w:t>Total equity-based compensation expense</w:t>
            </w: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Segment and Geographic Data</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condensed consolidated financial statements.</w:t>
      </w:r>
    </w:p>
    <w:p>
      <w:pPr>
        <w:spacing w:after="0" w:line="12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As of December 31, 2019 and 2018, no significant long-lived assets were held by entities outside of the U.S.</w:t>
      </w:r>
    </w:p>
    <w:p>
      <w:pPr>
        <w:spacing w:after="0" w:line="112"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Revenue by geographical region is determined by location of the Company’s customers. Revenue from customers outside of the U.S. was approximately 9% and 7% of total revenue for the years ended December 31, 2019, and 2018, respectively. Revenue by geographic region is as follows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78"/>
        </w:trPr>
        <w:tc>
          <w:tcPr>
            <w:tcW w:w="3200" w:type="dxa"/>
            <w:vAlign w:val="bottom"/>
            <w:tcBorders>
              <w:bottom w:val="single" w:sz="8" w:color="CCEEFF"/>
            </w:tcBorders>
          </w:tcPr>
          <w:p>
            <w:pPr>
              <w:spacing w:after="0"/>
              <w:rPr>
                <w:sz w:val="15"/>
                <w:szCs w:val="15"/>
                <w:color w:val="auto"/>
              </w:rPr>
            </w:pPr>
          </w:p>
        </w:tc>
        <w:tc>
          <w:tcPr>
            <w:tcW w:w="48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5"/>
                <w:szCs w:val="15"/>
                <w:color w:val="auto"/>
              </w:rPr>
            </w:pPr>
          </w:p>
        </w:tc>
      </w:tr>
      <w:tr>
        <w:trPr>
          <w:trHeight w:val="213"/>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840" w:type="dxa"/>
            <w:vAlign w:val="bottom"/>
            <w:gridSpan w:val="2"/>
            <w:shd w:val="clear" w:color="auto" w:fill="CCEEFF"/>
          </w:tcPr>
          <w:p>
            <w:pPr>
              <w:jc w:val="right"/>
              <w:ind w:right="85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w:t>
            </w:r>
          </w:p>
        </w:tc>
      </w:tr>
      <w:tr>
        <w:trPr>
          <w:trHeight w:val="218"/>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 of world</w:t>
            </w:r>
          </w:p>
        </w:tc>
        <w:tc>
          <w:tcPr>
            <w:tcW w:w="48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r>
      <w:tr>
        <w:trPr>
          <w:trHeight w:val="232"/>
        </w:trPr>
        <w:tc>
          <w:tcPr>
            <w:tcW w:w="320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jc w:val="right"/>
              <w:ind w:right="85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821"/>
        </w:trPr>
        <w:tc>
          <w:tcPr>
            <w:tcW w:w="3200" w:type="dxa"/>
            <w:vAlign w:val="bottom"/>
          </w:tcPr>
          <w:p>
            <w:pPr>
              <w:spacing w:after="0"/>
              <w:rPr>
                <w:sz w:val="24"/>
                <w:szCs w:val="24"/>
                <w:color w:val="auto"/>
              </w:rPr>
            </w:pPr>
          </w:p>
        </w:tc>
        <w:tc>
          <w:tcPr>
            <w:tcW w:w="5840" w:type="dxa"/>
            <w:vAlign w:val="bottom"/>
            <w:gridSpan w:val="2"/>
          </w:tcPr>
          <w:p>
            <w:pPr>
              <w:jc w:val="right"/>
              <w:ind w:right="3191"/>
              <w:spacing w:after="0"/>
              <w:rPr>
                <w:sz w:val="20"/>
                <w:szCs w:val="20"/>
                <w:color w:val="auto"/>
              </w:rPr>
            </w:pPr>
            <w:r>
              <w:rPr>
                <w:rFonts w:ascii="Arial" w:cs="Arial" w:eastAsia="Arial" w:hAnsi="Arial"/>
                <w:sz w:val="17"/>
                <w:szCs w:val="17"/>
                <w:color w:val="auto"/>
              </w:rPr>
              <w:t>F-38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51"/>
        </w:trPr>
        <w:tc>
          <w:tcPr>
            <w:tcW w:w="32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55" w:name="page256"/>
    <w:bookmarkEnd w:id="255"/>
    <w:p>
      <w:pPr>
        <w:spacing w:after="0"/>
        <w:rPr>
          <w:sz w:val="20"/>
          <w:szCs w:val="20"/>
          <w:color w:val="auto"/>
        </w:rPr>
      </w:pPr>
      <w:r>
        <w:rPr>
          <w:rFonts w:ascii="Arial" w:cs="Arial" w:eastAsia="Arial" w:hAnsi="Arial"/>
          <w:sz w:val="17"/>
          <w:szCs w:val="17"/>
          <w:b w:val="1"/>
          <w:bCs w:val="1"/>
          <w:color w:val="auto"/>
        </w:rPr>
        <w:t>Note 17 - Income Tax Provision</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provision for income taxes is based on the effective annual tax rate for each fiscal year. The provision includes anticipated current year income taxes payable and the tax effect of anticipated differences between the financial reporting and tax basis of assets and liabilities.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benefit from income taxes for the years ended December 31, 2019 and 2018 consists of the following (in millions):</w:t>
      </w:r>
    </w:p>
    <w:p>
      <w:pPr>
        <w:spacing w:after="0" w:line="178"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Year Ended</w:t>
      </w:r>
    </w:p>
    <w:p>
      <w:pPr>
        <w:jc w:val="center"/>
        <w:ind w:left="800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tax provision</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Federal</w:t>
            </w: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State</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8"/>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Foreign</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8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58"/>
        </w:trPr>
        <w:tc>
          <w:tcPr>
            <w:tcW w:w="8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provision</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Federal</w:t>
            </w: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9"/>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State</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2"/>
        </w:trPr>
        <w:tc>
          <w:tcPr>
            <w:tcW w:w="8020" w:type="dxa"/>
            <w:vAlign w:val="bottom"/>
          </w:tcPr>
          <w:p>
            <w:pPr>
              <w:spacing w:after="0"/>
              <w:rPr>
                <w:sz w:val="18"/>
                <w:szCs w:val="18"/>
                <w:color w:val="auto"/>
              </w:rPr>
            </w:pP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58"/>
        </w:trPr>
        <w:tc>
          <w:tcPr>
            <w:tcW w:w="80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r>
      <w:tr>
        <w:trPr>
          <w:trHeight w:val="212"/>
        </w:trPr>
        <w:tc>
          <w:tcPr>
            <w:tcW w:w="8020" w:type="dxa"/>
            <w:vAlign w:val="bottom"/>
          </w:tcPr>
          <w:p>
            <w:pPr>
              <w:ind w:left="440"/>
              <w:spacing w:after="0"/>
              <w:rPr>
                <w:sz w:val="20"/>
                <w:szCs w:val="20"/>
                <w:color w:val="auto"/>
              </w:rPr>
            </w:pPr>
            <w:r>
              <w:rPr>
                <w:rFonts w:ascii="Arial" w:cs="Arial" w:eastAsia="Arial" w:hAnsi="Arial"/>
                <w:sz w:val="17"/>
                <w:szCs w:val="17"/>
                <w:color w:val="auto"/>
              </w:rPr>
              <w:t>Expense (benefit) from income taxes</w:t>
            </w:r>
          </w:p>
        </w:tc>
        <w:tc>
          <w:tcPr>
            <w:tcW w:w="1060" w:type="dxa"/>
            <w:vAlign w:val="bottom"/>
            <w:tcBorders>
              <w:bottom w:val="single" w:sz="8" w:color="auto"/>
            </w:tcBorders>
          </w:tcPr>
          <w:p>
            <w:pPr>
              <w:jc w:val="right"/>
              <w:ind w:right="877"/>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comprised of nontaxable partnerships and two C corporation subsidiaries. RKSI Acquisition Corporation, a C corporation, was subject to income tax as of December 31, 2019 and 2018.</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federal statutory rate was 21% for the years ended December 31, 2019 and 2018. Differences between the statutory rate and the effective tax rate arise as a result of the nondeductible expenses.</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October 1, 2018 and March 15, 2019, the Company's C corporation subsidiary executed nontaxable contributions of all operations including its deferred tax items, in exchange for a noncontrolling interest in, DiscoverOrg Data LLC. DiscoverOrg Data LLC, is treated as a partnership for U.S. federal and most applicable state and local income tax purposes. As a partnership, DiscoverOrg Data LLC is not directly subject to U.S. federal and certain state and local taxes. Any taxable income or loss generated by DiscoverOrg Data LLC is passed through to and included in the taxable income or loss of its partners, including the Company's C corporation subsidiary following the Business Combination.</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years ended December 31, 2019 and 2018, the effective income tax rate differs from the federal statutory income tax rate as explained below:</w:t>
      </w:r>
    </w:p>
    <w:p>
      <w:pPr>
        <w:spacing w:after="0" w:line="189"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Year Ended</w:t>
      </w:r>
    </w:p>
    <w:p>
      <w:pPr>
        <w:jc w:val="center"/>
        <w:ind w:left="776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federal statutory income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State and local income taxes, net of federal benefit</w:t>
            </w:r>
          </w:p>
        </w:tc>
        <w:tc>
          <w:tcPr>
            <w:tcW w:w="64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5.8 %</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Nontaxable partnerships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18"/>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64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Effective income tax rate</w:t>
            </w:r>
          </w:p>
        </w:tc>
        <w:tc>
          <w:tcPr>
            <w:tcW w:w="640" w:type="dxa"/>
            <w:vAlign w:val="bottom"/>
          </w:tcPr>
          <w:p>
            <w:pPr>
              <w:jc w:val="right"/>
              <w:spacing w:after="0"/>
              <w:rPr>
                <w:sz w:val="20"/>
                <w:szCs w:val="20"/>
                <w:color w:val="auto"/>
              </w:rPr>
            </w:pPr>
            <w:r>
              <w:rPr>
                <w:rFonts w:ascii="Arial" w:cs="Arial" w:eastAsia="Arial" w:hAnsi="Arial"/>
                <w:sz w:val="17"/>
                <w:szCs w:val="17"/>
                <w:color w:val="auto"/>
              </w:rPr>
              <w:t>7.7 %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9.1 %</w:t>
            </w:r>
          </w:p>
        </w:tc>
      </w:tr>
      <w:tr>
        <w:trPr>
          <w:trHeight w:val="20"/>
        </w:trPr>
        <w:tc>
          <w:tcPr>
            <w:tcW w:w="7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138670" cy="165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56" w:name="page257"/>
    <w:bookmarkEnd w:id="256"/>
    <w:p>
      <w:pPr>
        <w:spacing w:after="0"/>
        <w:rPr>
          <w:sz w:val="20"/>
          <w:szCs w:val="20"/>
          <w:color w:val="auto"/>
        </w:rPr>
      </w:pPr>
      <w:r>
        <w:rPr>
          <w:rFonts w:ascii="Arial" w:cs="Arial" w:eastAsia="Arial" w:hAnsi="Arial"/>
          <w:sz w:val="17"/>
          <w:szCs w:val="17"/>
          <w:b w:val="1"/>
          <w:bCs w:val="1"/>
          <w:color w:val="auto"/>
        </w:rPr>
        <w:t>Note 17 - Income Tax Provision (continued)</w:t>
      </w:r>
    </w:p>
    <w:p>
      <w:pPr>
        <w:spacing w:after="0" w:line="19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Company uses the assets and liabilities method of accounting for income taxes. Under this method, deferred tax assets and liabilities are recognized for the expected future tax consequences of temporary differences between the financial reporting and tax basis of assets and liabilities. Deferred tax assets are also recognized for the future benefit of operating loss carryforwards. Deferred tax assets and liabilities are measured using enacted tax rates that are expected to apply to taxable income for the years in which those tax assets and liabilities are expected to be recovered or settled. As of December 31, 2019 and 2018, net deferred tax liability in the accompanying balance sheet included the following components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258"/>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r>
      <w:tr>
        <w:trPr>
          <w:trHeight w:val="178"/>
        </w:trPr>
        <w:tc>
          <w:tcPr>
            <w:tcW w:w="80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5"/>
                <w:szCs w:val="15"/>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Net operating loss carryforwards</w:t>
            </w:r>
          </w:p>
        </w:tc>
        <w:tc>
          <w:tcPr>
            <w:tcW w:w="1060" w:type="dxa"/>
            <w:vAlign w:val="bottom"/>
          </w:tcPr>
          <w:p>
            <w:pPr>
              <w:jc w:val="right"/>
              <w:ind w:right="881"/>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1060" w:type="dxa"/>
            <w:vAlign w:val="bottom"/>
          </w:tcPr>
          <w:p>
            <w:pPr>
              <w:jc w:val="right"/>
              <w:ind w:right="878"/>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carryforward</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Credit carryforwards</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020" w:type="dxa"/>
            <w:vAlign w:val="bottom"/>
          </w:tcPr>
          <w:p>
            <w:pPr>
              <w:ind w:left="440"/>
              <w:spacing w:after="0"/>
              <w:rPr>
                <w:sz w:val="20"/>
                <w:szCs w:val="20"/>
                <w:color w:val="auto"/>
              </w:rPr>
            </w:pPr>
            <w:r>
              <w:rPr>
                <w:rFonts w:ascii="Arial" w:cs="Arial" w:eastAsia="Arial" w:hAnsi="Arial"/>
                <w:sz w:val="17"/>
                <w:szCs w:val="17"/>
                <w:color w:val="auto"/>
              </w:rPr>
              <w:t>Total deferred tax assets</w:t>
            </w: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78"/>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58"/>
        </w:trPr>
        <w:tc>
          <w:tcPr>
            <w:tcW w:w="80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Investment in DiscoverOrg Data LLC</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deferred tax liabilities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r>
      <w:tr>
        <w:trPr>
          <w:trHeight w:val="238"/>
        </w:trPr>
        <w:tc>
          <w:tcPr>
            <w:tcW w:w="80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r>
      <w:tr>
        <w:trPr>
          <w:trHeight w:val="218"/>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Less valuation allowance</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8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Net deferred tax liability</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Deferred tax assets are recognized to the extent management believes, based on available evidence, that it is more likely than not that they will be realized.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Certain acquired state net operating losses and credits are unlikely to be realized and require a valuation allowance at December 31, 2019.</w:t>
      </w:r>
    </w:p>
    <w:p>
      <w:pPr>
        <w:spacing w:after="0" w:line="154"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At December 31, 2019, the Company's C corporation subsidiary has an available federal net operating loss (NOL) carryforward of approximately $13.5 million. The Company's C corporation subsidiary also had various state net operating loss carryforwards totaling $34.6 million. Unless utilized, the state carryforwards begin to expire in 2026. At December 31, 2019, the Company has federal and state research and development credit carryforwards of approximately $0.4 million and $1.1 million, respectively. Unless utilized, these carryforwards begin expiring in 2027 and 2021.</w:t>
      </w:r>
    </w:p>
    <w:p>
      <w:pPr>
        <w:spacing w:after="0" w:line="128"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There were no interest and penalties accrued for the years ended December 31, 2019 or 2018. The Company has assessed its tax positions taken and concluded there are no significant uncertain tax positions. The Company has no unrecognized tax benefits as of December 31, 2019 or 2018, that, if recognized, would affect the annual effective tax rate.</w:t>
      </w:r>
    </w:p>
    <w:p>
      <w:pPr>
        <w:spacing w:after="0" w:line="123"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files returns with the Internal Revenue Service and multiple state jurisdictions, which are subject to examination by the taxing authorities for years 2015 and later. Should the Company's C corporation subsidiary utilize any of its U.S. or state loss carryforwards, their carryforward losses, which date back to 2014, would be subject to examination.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b w:val="1"/>
          <w:bCs w:val="1"/>
          <w:color w:val="auto"/>
        </w:rPr>
        <w:t>Note 18 - Subsequent Events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has evaluated subsequent events through February 26, 2020, which is the date the consolidated financial statements were available to be issued.</w:t>
      </w:r>
    </w:p>
    <w:p>
      <w:pPr>
        <w:spacing w:after="0" w:line="18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remains unchanged.</w:t>
      </w:r>
    </w:p>
    <w:p>
      <w:pPr>
        <w:spacing w:after="0" w:line="111" w:lineRule="exact"/>
        <w:rPr>
          <w:sz w:val="20"/>
          <w:szCs w:val="20"/>
          <w:color w:val="auto"/>
        </w:rPr>
      </w:pPr>
    </w:p>
    <w:p>
      <w:pPr>
        <w:jc w:val="both"/>
        <w:ind w:firstLine="309"/>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In connection with preparing for an initial public offering, the Company’s Board of Managers approved a four—for—one reverse unit split of the Company’s Series A Preferred Units, Preferred Units, Common Units and Class P Units. The reverse unit split became effective on May 20, 2020. In addition, all unit counts are now presented as exact units instead of in thousands of units. All unit and per unit amounts in the financial statements and notes </w:t>
      </w:r>
      <w:hyperlink w:anchor="page244">
        <w:r>
          <w:rPr>
            <w:rFonts w:ascii="Arial" w:cs="Arial" w:eastAsia="Arial" w:hAnsi="Arial"/>
            <w:sz w:val="17"/>
            <w:szCs w:val="17"/>
            <w:u w:val="single" w:color="auto"/>
            <w:color w:val="0000FF"/>
          </w:rPr>
          <w:t>7</w:t>
        </w:r>
      </w:hyperlink>
      <w:r>
        <w:rPr>
          <w:rFonts w:ascii="Arial" w:cs="Arial" w:eastAsia="Arial" w:hAnsi="Arial"/>
          <w:sz w:val="17"/>
          <w:szCs w:val="17"/>
          <w:color w:val="auto"/>
        </w:rPr>
        <w:t xml:space="preserve">, </w:t>
      </w:r>
      <w:hyperlink w:anchor="page288">
        <w:r>
          <w:rPr>
            <w:rFonts w:ascii="Arial" w:cs="Arial" w:eastAsia="Arial" w:hAnsi="Arial"/>
            <w:sz w:val="17"/>
            <w:szCs w:val="17"/>
            <w:u w:val="single" w:color="auto"/>
            <w:color w:val="0000FF"/>
          </w:rPr>
          <w:t>12</w:t>
        </w:r>
      </w:hyperlink>
      <w:r>
        <w:rPr>
          <w:rFonts w:ascii="Arial" w:cs="Arial" w:eastAsia="Arial" w:hAnsi="Arial"/>
          <w:sz w:val="17"/>
          <w:szCs w:val="17"/>
          <w:color w:val="auto"/>
        </w:rPr>
        <w:t xml:space="preserve">, </w:t>
      </w:r>
      <w:hyperlink w:anchor="page252">
        <w:r>
          <w:rPr>
            <w:rFonts w:ascii="Arial" w:cs="Arial" w:eastAsia="Arial" w:hAnsi="Arial"/>
            <w:sz w:val="17"/>
            <w:szCs w:val="17"/>
            <w:u w:val="single" w:color="auto"/>
            <w:color w:val="0000FF"/>
          </w:rPr>
          <w:t>13</w:t>
        </w:r>
      </w:hyperlink>
      <w:r>
        <w:rPr>
          <w:rFonts w:ascii="Arial" w:cs="Arial" w:eastAsia="Arial" w:hAnsi="Arial"/>
          <w:sz w:val="17"/>
          <w:szCs w:val="17"/>
          <w:color w:val="auto"/>
        </w:rPr>
        <w:t xml:space="preserve">, and </w:t>
      </w:r>
      <w:hyperlink w:anchor="page253">
        <w:r>
          <w:rPr>
            <w:rFonts w:ascii="Arial" w:cs="Arial" w:eastAsia="Arial" w:hAnsi="Arial"/>
            <w:sz w:val="17"/>
            <w:szCs w:val="17"/>
            <w:u w:val="single" w:color="auto"/>
            <w:color w:val="0000FF"/>
          </w:rPr>
          <w:t>15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have been retroactively adjusted to give effect to the reverse unit split.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8"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3640" w:type="dxa"/>
            <w:vAlign w:val="bottom"/>
            <w:gridSpan w:val="2"/>
          </w:tcPr>
          <w:p>
            <w:pPr>
              <w:jc w:val="right"/>
              <w:ind w:right="1720"/>
              <w:spacing w:after="0"/>
              <w:rPr>
                <w:sz w:val="20"/>
                <w:szCs w:val="20"/>
                <w:color w:val="auto"/>
              </w:rPr>
            </w:pPr>
            <w:r>
              <w:rPr>
                <w:rFonts w:ascii="Arial" w:cs="Arial" w:eastAsia="Arial" w:hAnsi="Arial"/>
                <w:sz w:val="14"/>
                <w:szCs w:val="14"/>
                <w:b w:val="1"/>
                <w:bCs w:val="1"/>
                <w:i w:val="1"/>
                <w:iCs w:val="1"/>
                <w:color w:val="auto"/>
                <w:w w:val="92"/>
              </w:rPr>
              <w:t>(in millions, except share data)</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76"/>
        </w:trPr>
        <w:tc>
          <w:tcPr>
            <w:tcW w:w="4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24"/>
                <w:szCs w:val="24"/>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78"/>
        </w:trPr>
        <w:tc>
          <w:tcPr>
            <w:tcW w:w="4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73"/>
        </w:trPr>
        <w:tc>
          <w:tcPr>
            <w:tcW w:w="4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Restricted cash</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costs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Income tax receivable</w:t>
            </w:r>
          </w:p>
        </w:tc>
        <w:tc>
          <w:tcPr>
            <w:tcW w:w="3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12"/>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3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148.2</w:t>
            </w:r>
          </w:p>
        </w:tc>
      </w:tr>
      <w:tr>
        <w:trPr>
          <w:trHeight w:val="71"/>
        </w:trPr>
        <w:tc>
          <w:tcPr>
            <w:tcW w:w="45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Operating lease right-of-use assets, net</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36.8</w:t>
            </w:r>
          </w:p>
        </w:tc>
      </w:tr>
      <w:tr>
        <w:trPr>
          <w:trHeight w:val="91"/>
        </w:trPr>
        <w:tc>
          <w:tcPr>
            <w:tcW w:w="4580" w:type="dxa"/>
            <w:vAlign w:val="bottom"/>
            <w:shd w:val="clear" w:color="auto" w:fill="CCEEFF"/>
          </w:tcPr>
          <w:p>
            <w:pPr>
              <w:spacing w:after="0"/>
              <w:rPr>
                <w:sz w:val="7"/>
                <w:szCs w:val="7"/>
                <w:color w:val="auto"/>
              </w:rPr>
            </w:pPr>
          </w:p>
        </w:tc>
        <w:tc>
          <w:tcPr>
            <w:tcW w:w="34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Intangible assets, net</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370.6</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Goodwill</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966.8</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assets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costs, net of current portion</w:t>
            </w:r>
          </w:p>
        </w:tc>
        <w:tc>
          <w:tcPr>
            <w:tcW w:w="3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r>
      <w:tr>
        <w:trPr>
          <w:trHeight w:val="233"/>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3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6"/>
        </w:trPr>
        <w:tc>
          <w:tcPr>
            <w:tcW w:w="4580" w:type="dxa"/>
            <w:vAlign w:val="bottom"/>
          </w:tcPr>
          <w:p>
            <w:pPr>
              <w:spacing w:after="0"/>
              <w:rPr>
                <w:sz w:val="3"/>
                <w:szCs w:val="3"/>
                <w:color w:val="auto"/>
              </w:rPr>
            </w:pPr>
          </w:p>
        </w:tc>
        <w:tc>
          <w:tcPr>
            <w:tcW w:w="3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Temporary, and Permanent Equity (Deficit)</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62.9</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Unearned revenue, current portion</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operating lease liabilities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Current portion of long-term debt</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2"/>
        </w:trPr>
        <w:tc>
          <w:tcPr>
            <w:tcW w:w="45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3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241.7</w:t>
            </w:r>
          </w:p>
        </w:tc>
      </w:tr>
      <w:tr>
        <w:trPr>
          <w:trHeight w:val="71"/>
        </w:trPr>
        <w:tc>
          <w:tcPr>
            <w:tcW w:w="45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Unearned revenue, net of current portion</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Tax receivable agreements liability, net of current portion</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Long-term debt, net of current portion</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744.3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1,194.6</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r>
      <w:tr>
        <w:trPr>
          <w:trHeight w:val="21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3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r>
      <w:tr>
        <w:trPr>
          <w:trHeight w:val="212"/>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3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1,575.5</w:t>
            </w:r>
          </w:p>
        </w:tc>
      </w:tr>
      <w:tr>
        <w:trPr>
          <w:trHeight w:val="71"/>
        </w:trPr>
        <w:tc>
          <w:tcPr>
            <w:tcW w:w="45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A Preferred Units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r>
      <w:tr>
        <w:trPr>
          <w:trHeight w:val="198"/>
        </w:trPr>
        <w:tc>
          <w:tcPr>
            <w:tcW w:w="4580" w:type="dxa"/>
            <w:vAlign w:val="bottom"/>
          </w:tcPr>
          <w:p>
            <w:pPr>
              <w:ind w:left="20"/>
              <w:spacing w:after="0"/>
              <w:rPr>
                <w:sz w:val="20"/>
                <w:szCs w:val="20"/>
                <w:color w:val="auto"/>
              </w:rPr>
            </w:pPr>
            <w:r>
              <w:rPr>
                <w:rFonts w:ascii="Arial" w:cs="Arial" w:eastAsia="Arial" w:hAnsi="Arial"/>
                <w:sz w:val="17"/>
                <w:szCs w:val="17"/>
                <w:color w:val="auto"/>
              </w:rPr>
              <w:t>Commitments and Contingencies (Note 11)</w:t>
            </w:r>
          </w:p>
        </w:tc>
        <w:tc>
          <w:tcPr>
            <w:tcW w:w="34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91"/>
        </w:trPr>
        <w:tc>
          <w:tcPr>
            <w:tcW w:w="4580" w:type="dxa"/>
            <w:vAlign w:val="bottom"/>
            <w:shd w:val="clear" w:color="auto" w:fill="CCEEFF"/>
          </w:tcPr>
          <w:p>
            <w:pPr>
              <w:spacing w:after="0"/>
              <w:rPr>
                <w:sz w:val="7"/>
                <w:szCs w:val="7"/>
                <w:color w:val="auto"/>
              </w:rPr>
            </w:pPr>
          </w:p>
        </w:tc>
        <w:tc>
          <w:tcPr>
            <w:tcW w:w="34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Permanent Equity (Deficit)</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Members' equity (deficit)</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Class A common stock, par value $0.01</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Class B common stock, par value $0.01</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Class C common stock, par value $0.01</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58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45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Noncontrolling interests</w:t>
            </w:r>
          </w:p>
        </w:tc>
        <w:tc>
          <w:tcPr>
            <w:tcW w:w="3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equity (deficit)</w:t>
            </w:r>
          </w:p>
        </w:tc>
        <w:tc>
          <w:tcPr>
            <w:tcW w:w="3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(213.8)</w:t>
            </w:r>
          </w:p>
        </w:tc>
      </w:tr>
      <w:tr>
        <w:trPr>
          <w:trHeight w:val="71"/>
        </w:trPr>
        <w:tc>
          <w:tcPr>
            <w:tcW w:w="458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39"/>
        </w:trPr>
        <w:tc>
          <w:tcPr>
            <w:tcW w:w="458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6"/>
              </w:rPr>
              <w:t>Total liabilities, temporary, and permanent equity (deficit)</w:t>
            </w:r>
          </w:p>
        </w:tc>
        <w:tc>
          <w:tcPr>
            <w:tcW w:w="3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438150</wp:posOffset>
            </wp:positionV>
            <wp:extent cx="7138670" cy="165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259" w:name="page260"/>
    <w:bookmarkEnd w:id="259"/>
    <w:p>
      <w:pPr>
        <w:jc w:val="center"/>
        <w:ind w:right="20"/>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60" w:type="dxa"/>
            <w:vAlign w:val="bottom"/>
            <w:gridSpan w:val="5"/>
          </w:tcPr>
          <w:p>
            <w:pPr>
              <w:ind w:left="4180"/>
              <w:spacing w:after="0"/>
              <w:rPr>
                <w:sz w:val="20"/>
                <w:szCs w:val="20"/>
                <w:color w:val="auto"/>
              </w:rPr>
            </w:pPr>
            <w:r>
              <w:rPr>
                <w:rFonts w:ascii="Arial" w:cs="Arial" w:eastAsia="Arial" w:hAnsi="Arial"/>
                <w:sz w:val="14"/>
                <w:szCs w:val="14"/>
                <w:b w:val="1"/>
                <w:bCs w:val="1"/>
                <w:i w:val="1"/>
                <w:iCs w:val="1"/>
                <w:color w:val="auto"/>
                <w:w w:val="97"/>
              </w:rPr>
              <w:t>(in millions, except per share amounts; unaudited)</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780" w:type="dxa"/>
            <w:vAlign w:val="bottom"/>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8"/>
        </w:trPr>
        <w:tc>
          <w:tcPr>
            <w:tcW w:w="47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6"/>
        </w:trPr>
        <w:tc>
          <w:tcPr>
            <w:tcW w:w="4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8"/>
        </w:trPr>
        <w:tc>
          <w:tcPr>
            <w:tcW w:w="4780" w:type="dxa"/>
            <w:vAlign w:val="bottom"/>
          </w:tcPr>
          <w:p>
            <w:pPr>
              <w:ind w:left="20"/>
              <w:spacing w:after="0"/>
              <w:rPr>
                <w:sz w:val="20"/>
                <w:szCs w:val="20"/>
                <w:color w:val="auto"/>
              </w:rPr>
            </w:pPr>
            <w:r>
              <w:rPr>
                <w:rFonts w:ascii="Arial" w:cs="Arial" w:eastAsia="Arial" w:hAnsi="Arial"/>
                <w:sz w:val="17"/>
                <w:szCs w:val="17"/>
                <w:color w:val="auto"/>
              </w:rPr>
              <w:t>Cost of service:</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Cost of service</w:t>
            </w:r>
            <w:r>
              <w:rPr>
                <w:rFonts w:ascii="Arial" w:cs="Arial" w:eastAsia="Arial" w:hAnsi="Arial"/>
                <w:sz w:val="22"/>
                <w:szCs w:val="22"/>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18"/>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Amortization of acquired technology</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0" w:type="dxa"/>
            <w:vAlign w:val="bottom"/>
          </w:tcPr>
          <w:p>
            <w:pPr>
              <w:spacing w:after="0"/>
              <w:rPr>
                <w:sz w:val="1"/>
                <w:szCs w:val="1"/>
                <w:color w:val="auto"/>
              </w:rPr>
            </w:pPr>
          </w:p>
        </w:tc>
      </w:tr>
      <w:tr>
        <w:trPr>
          <w:trHeight w:val="218"/>
        </w:trPr>
        <w:tc>
          <w:tcPr>
            <w:tcW w:w="47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2"/>
                <w:szCs w:val="22"/>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19"/>
        </w:trPr>
        <w:tc>
          <w:tcPr>
            <w:tcW w:w="4780" w:type="dxa"/>
            <w:vAlign w:val="bottom"/>
          </w:tcPr>
          <w:p>
            <w:pPr>
              <w:ind w:left="220"/>
              <w:spacing w:after="0" w:line="21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2"/>
                <w:szCs w:val="22"/>
                <w:color w:val="auto"/>
                <w:vertAlign w:val="superscript"/>
              </w:rPr>
              <w:t>(2)</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8"/>
        </w:trPr>
        <w:tc>
          <w:tcPr>
            <w:tcW w:w="4780" w:type="dxa"/>
            <w:vAlign w:val="bottom"/>
          </w:tcPr>
          <w:p>
            <w:pPr>
              <w:ind w:left="220"/>
              <w:spacing w:after="0"/>
              <w:rPr>
                <w:sz w:val="20"/>
                <w:szCs w:val="20"/>
                <w:color w:val="auto"/>
              </w:rPr>
            </w:pPr>
            <w:r>
              <w:rPr>
                <w:rFonts w:ascii="Arial" w:cs="Arial" w:eastAsia="Arial" w:hAnsi="Arial"/>
                <w:sz w:val="17"/>
                <w:szCs w:val="17"/>
                <w:color w:val="auto"/>
              </w:rPr>
              <w:t>Amortization of other acquired intangibles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Restructuring and transaction related expenses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1"/>
        </w:trPr>
        <w:tc>
          <w:tcPr>
            <w:tcW w:w="47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operating expenses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135.2</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8"/>
        </w:trPr>
        <w:tc>
          <w:tcPr>
            <w:tcW w:w="478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76.9</w:t>
            </w:r>
          </w:p>
        </w:tc>
        <w:tc>
          <w:tcPr>
            <w:tcW w:w="0" w:type="dxa"/>
            <w:vAlign w:val="bottom"/>
          </w:tcPr>
          <w:p>
            <w:pPr>
              <w:spacing w:after="0"/>
              <w:rPr>
                <w:sz w:val="1"/>
                <w:szCs w:val="1"/>
                <w:color w:val="auto"/>
              </w:rPr>
            </w:pPr>
          </w:p>
        </w:tc>
      </w:tr>
      <w:tr>
        <w:trPr>
          <w:trHeight w:val="220"/>
        </w:trPr>
        <w:tc>
          <w:tcPr>
            <w:tcW w:w="4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debt extinguishment</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8"/>
        </w:trPr>
        <w:tc>
          <w:tcPr>
            <w:tcW w:w="4780" w:type="dxa"/>
            <w:vAlign w:val="bottom"/>
          </w:tcPr>
          <w:p>
            <w:pPr>
              <w:ind w:left="220"/>
              <w:spacing w:after="0"/>
              <w:rPr>
                <w:sz w:val="20"/>
                <w:szCs w:val="20"/>
                <w:color w:val="auto"/>
              </w:rPr>
            </w:pPr>
            <w:r>
              <w:rPr>
                <w:rFonts w:ascii="Arial" w:cs="Arial" w:eastAsia="Arial" w:hAnsi="Arial"/>
                <w:sz w:val="17"/>
                <w:szCs w:val="17"/>
                <w:color w:val="auto"/>
              </w:rPr>
              <w:t>Other (income) expense, net</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before income taxes</w:t>
            </w: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(13.4)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218"/>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(expense) from income taxes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Net income (loss)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(12.4)</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148"/>
        </w:trPr>
        <w:tc>
          <w:tcPr>
            <w:tcW w:w="4780" w:type="dxa"/>
            <w:vAlign w:val="bottom"/>
          </w:tcPr>
          <w:p>
            <w:pPr>
              <w:ind w:left="20"/>
              <w:spacing w:after="0" w:line="148" w:lineRule="exact"/>
              <w:rPr>
                <w:sz w:val="20"/>
                <w:szCs w:val="20"/>
                <w:color w:val="auto"/>
              </w:rPr>
            </w:pPr>
            <w:r>
              <w:rPr>
                <w:rFonts w:ascii="Arial" w:cs="Arial" w:eastAsia="Arial" w:hAnsi="Arial"/>
                <w:sz w:val="17"/>
                <w:szCs w:val="17"/>
                <w:color w:val="auto"/>
                <w:w w:val="95"/>
              </w:rPr>
              <w:t>Less: Net income (loss) attributable to ZoomInfo OpCo prior to the</w:t>
            </w:r>
          </w:p>
        </w:tc>
        <w:tc>
          <w:tcPr>
            <w:tcW w:w="98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w w:val="98"/>
              </w:rPr>
              <w:t>(12.4)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18"/>
        </w:trPr>
        <w:tc>
          <w:tcPr>
            <w:tcW w:w="4780" w:type="dxa"/>
            <w:vAlign w:val="bottom"/>
          </w:tcPr>
          <w:p>
            <w:pPr>
              <w:ind w:left="20"/>
              <w:spacing w:after="0"/>
              <w:rPr>
                <w:sz w:val="20"/>
                <w:szCs w:val="20"/>
                <w:color w:val="auto"/>
              </w:rPr>
            </w:pPr>
            <w:r>
              <w:rPr>
                <w:rFonts w:ascii="Arial" w:cs="Arial" w:eastAsia="Arial" w:hAnsi="Arial"/>
                <w:sz w:val="17"/>
                <w:szCs w:val="17"/>
                <w:color w:val="auto"/>
              </w:rPr>
              <w:t>Reorganization Transactions</w:t>
            </w:r>
          </w:p>
        </w:tc>
        <w:tc>
          <w:tcPr>
            <w:tcW w:w="9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7"/>
                <w:szCs w:val="17"/>
                <w:b w:val="1"/>
                <w:bCs w:val="1"/>
                <w:color w:val="auto"/>
                <w:w w:val="92"/>
              </w:rPr>
              <w:t>Net income (loss) attributable to ZoomInfo Technologies Inc.</w:t>
            </w:r>
          </w:p>
        </w:tc>
        <w:tc>
          <w:tcPr>
            <w:tcW w:w="980" w:type="dxa"/>
            <w:vAlign w:val="bottom"/>
          </w:tcPr>
          <w:p>
            <w:pPr>
              <w:jc w:val="right"/>
              <w:ind w:right="80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7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80" w:type="dxa"/>
            <w:vAlign w:val="bottom"/>
          </w:tcPr>
          <w:p>
            <w:pPr>
              <w:ind w:left="20"/>
              <w:spacing w:after="0" w:line="167" w:lineRule="exact"/>
              <w:rPr>
                <w:sz w:val="20"/>
                <w:szCs w:val="20"/>
                <w:color w:val="auto"/>
              </w:rPr>
            </w:pPr>
            <w:r>
              <w:rPr>
                <w:rFonts w:ascii="Arial" w:cs="Arial" w:eastAsia="Arial" w:hAnsi="Arial"/>
                <w:sz w:val="17"/>
                <w:szCs w:val="17"/>
                <w:color w:val="auto"/>
              </w:rPr>
              <w:t>Net income (loss) per share of Class A and Class C common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780" w:type="dxa"/>
            <w:vAlign w:val="bottom"/>
          </w:tcPr>
          <w:p>
            <w:pPr>
              <w:ind w:left="20"/>
              <w:spacing w:after="0" w:line="219" w:lineRule="exact"/>
              <w:rPr>
                <w:sz w:val="20"/>
                <w:szCs w:val="20"/>
                <w:color w:val="auto"/>
              </w:rPr>
            </w:pPr>
            <w:r>
              <w:rPr>
                <w:rFonts w:ascii="Arial" w:cs="Arial" w:eastAsia="Arial" w:hAnsi="Arial"/>
                <w:sz w:val="17"/>
                <w:szCs w:val="17"/>
                <w:color w:val="auto"/>
              </w:rPr>
              <w:t>stock</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Basic</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N/A</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7"/>
        </w:trPr>
        <w:tc>
          <w:tcPr>
            <w:tcW w:w="4780" w:type="dxa"/>
            <w:vAlign w:val="bottom"/>
          </w:tcPr>
          <w:p>
            <w:pPr>
              <w:ind w:left="260"/>
              <w:spacing w:after="0"/>
              <w:rPr>
                <w:sz w:val="20"/>
                <w:szCs w:val="20"/>
                <w:color w:val="auto"/>
              </w:rPr>
            </w:pPr>
            <w:r>
              <w:rPr>
                <w:rFonts w:ascii="Arial" w:cs="Arial" w:eastAsia="Arial" w:hAnsi="Arial"/>
                <w:sz w:val="17"/>
                <w:szCs w:val="17"/>
                <w:color w:val="auto"/>
              </w:rPr>
              <w:t>Diluted</w:t>
            </w:r>
          </w:p>
        </w:tc>
        <w:tc>
          <w:tcPr>
            <w:tcW w:w="980" w:type="dxa"/>
            <w:vAlign w:val="bottom"/>
          </w:tcPr>
          <w:p>
            <w:pPr>
              <w:jc w:val="right"/>
              <w:ind w:right="80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7"/>
                <w:szCs w:val="17"/>
                <w:color w:val="auto"/>
              </w:rPr>
              <w:t>N/A</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jc w:val="both"/>
        <w:ind w:left="320" w:hanging="317"/>
        <w:spacing w:after="0" w:line="248" w:lineRule="auto"/>
        <w:tabs>
          <w:tab w:leader="none" w:pos="313" w:val="left"/>
        </w:tabs>
        <w:numPr>
          <w:ilvl w:val="0"/>
          <w:numId w:val="146"/>
        </w:numPr>
        <w:rPr>
          <w:rFonts w:ascii="Arial" w:cs="Arial" w:eastAsia="Arial" w:hAnsi="Arial"/>
          <w:sz w:val="13"/>
          <w:szCs w:val="13"/>
          <w:color w:val="auto"/>
        </w:rPr>
      </w:pPr>
      <w:r>
        <w:rPr>
          <w:rFonts w:ascii="Arial" w:cs="Arial" w:eastAsia="Arial" w:hAnsi="Arial"/>
          <w:sz w:val="13"/>
          <w:szCs w:val="13"/>
          <w:color w:val="auto"/>
        </w:rPr>
        <w:t>Basic and diluted net income (loss) per share of Class A and Class C common stock is applicable only for the period from June 4, 2020 through September 30, 2020, which is the period following the initial public offering ("IPO") and related Reorganization Transactions (as defined in Note 1 to the Unaudited Consolidated Financial Statements). See Note 13 for the number of shares used in the computation of net income (loss) per share of Class A and Class C common stock and the basis for the computation of net income (loss) per share.</w:t>
      </w:r>
    </w:p>
    <w:p>
      <w:pPr>
        <w:ind w:left="300" w:hanging="297"/>
        <w:spacing w:after="0"/>
        <w:tabs>
          <w:tab w:leader="none" w:pos="30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16"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4840" w:type="dxa"/>
            <w:vAlign w:val="bottom"/>
            <w:shd w:val="clear" w:color="auto" w:fill="CCEEFF"/>
          </w:tcPr>
          <w:p>
            <w:pPr>
              <w:spacing w:after="0"/>
              <w:rPr>
                <w:sz w:val="20"/>
                <w:szCs w:val="20"/>
                <w:color w:val="auto"/>
              </w:rPr>
            </w:pPr>
            <w:r>
              <w:rPr>
                <w:rFonts w:ascii="Arial" w:cs="Arial" w:eastAsia="Arial" w:hAnsi="Arial"/>
                <w:sz w:val="14"/>
                <w:szCs w:val="14"/>
                <w:color w:val="auto"/>
              </w:rPr>
              <w:t>Cost of service</w:t>
            </w: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00"/>
        </w:trPr>
        <w:tc>
          <w:tcPr>
            <w:tcW w:w="4840" w:type="dxa"/>
            <w:vAlign w:val="bottom"/>
          </w:tcPr>
          <w:p>
            <w:pPr>
              <w:spacing w:after="0"/>
              <w:rPr>
                <w:sz w:val="20"/>
                <w:szCs w:val="20"/>
                <w:color w:val="auto"/>
              </w:rPr>
            </w:pPr>
            <w:r>
              <w:rPr>
                <w:rFonts w:ascii="Arial" w:cs="Arial" w:eastAsia="Arial" w:hAnsi="Arial"/>
                <w:sz w:val="14"/>
                <w:szCs w:val="14"/>
                <w:color w:val="auto"/>
              </w:rPr>
              <w:t>Sales and marketing</w:t>
            </w: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53.6</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12"/>
        </w:trPr>
        <w:tc>
          <w:tcPr>
            <w:tcW w:w="484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0"/>
        </w:trPr>
        <w:tc>
          <w:tcPr>
            <w:tcW w:w="4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3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3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04"/>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equity-based compensation expense</w:t>
            </w: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3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 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7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6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78"/>
        </w:trPr>
        <w:tc>
          <w:tcPr>
            <w:tcW w:w="58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36"/>
        </w:trPr>
        <w:tc>
          <w:tcPr>
            <w:tcW w:w="5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 (loss)</w:t>
            </w:r>
          </w:p>
        </w:tc>
        <w:tc>
          <w:tcPr>
            <w:tcW w:w="840" w:type="dxa"/>
            <w:vAlign w:val="bottom"/>
            <w:shd w:val="clear" w:color="auto" w:fill="CCEEFF"/>
          </w:tcPr>
          <w:p>
            <w:pPr>
              <w:jc w:val="right"/>
              <w:ind w:right="66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19"/>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 net of tax</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Unrealized gain (loss) on cash flow hedges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8"/>
        </w:trPr>
        <w:tc>
          <w:tcPr>
            <w:tcW w:w="5800" w:type="dxa"/>
            <w:vAlign w:val="bottom"/>
          </w:tcPr>
          <w:p>
            <w:pPr>
              <w:ind w:left="220"/>
              <w:spacing w:after="0"/>
              <w:rPr>
                <w:sz w:val="20"/>
                <w:szCs w:val="20"/>
                <w:color w:val="auto"/>
              </w:rPr>
            </w:pPr>
            <w:r>
              <w:rPr>
                <w:rFonts w:ascii="Arial" w:cs="Arial" w:eastAsia="Arial" w:hAnsi="Arial"/>
                <w:sz w:val="17"/>
                <w:szCs w:val="17"/>
                <w:color w:val="auto"/>
              </w:rPr>
              <w:t>Realized loss (gain) on settlement of cash flow hedges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0"/>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3"/>
              </w:rPr>
              <w:t>Amortization of deferred losses related to the dedesignated Interest Rate Swap</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8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Other comprehensive income (loss)</w:t>
            </w:r>
          </w:p>
        </w:tc>
        <w:tc>
          <w:tcPr>
            <w:tcW w:w="8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Comprehensive income (loss)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168"/>
        </w:trPr>
        <w:tc>
          <w:tcPr>
            <w:tcW w:w="5800" w:type="dxa"/>
            <w:vAlign w:val="bottom"/>
          </w:tcPr>
          <w:p>
            <w:pPr>
              <w:ind w:left="220"/>
              <w:spacing w:after="0" w:line="168" w:lineRule="exact"/>
              <w:rPr>
                <w:sz w:val="20"/>
                <w:szCs w:val="20"/>
                <w:color w:val="auto"/>
              </w:rPr>
            </w:pPr>
            <w:r>
              <w:rPr>
                <w:rFonts w:ascii="Arial" w:cs="Arial" w:eastAsia="Arial" w:hAnsi="Arial"/>
                <w:sz w:val="17"/>
                <w:szCs w:val="17"/>
                <w:color w:val="auto"/>
                <w:w w:val="97"/>
              </w:rPr>
              <w:t>Less: Net income attributable to ZoomInfo OpCo prior to the Reorganization</w:t>
            </w:r>
          </w:p>
        </w:tc>
        <w:tc>
          <w:tcPr>
            <w:tcW w:w="840" w:type="dxa"/>
            <w:vAlign w:val="bottom"/>
          </w:tcPr>
          <w:p>
            <w:pPr>
              <w:spacing w:after="0"/>
              <w:rPr>
                <w:sz w:val="14"/>
                <w:szCs w:val="14"/>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218"/>
        </w:trPr>
        <w:tc>
          <w:tcPr>
            <w:tcW w:w="5800" w:type="dxa"/>
            <w:vAlign w:val="bottom"/>
          </w:tcPr>
          <w:p>
            <w:pPr>
              <w:ind w:left="220"/>
              <w:spacing w:after="0"/>
              <w:rPr>
                <w:sz w:val="20"/>
                <w:szCs w:val="20"/>
                <w:color w:val="auto"/>
              </w:rPr>
            </w:pPr>
            <w:r>
              <w:rPr>
                <w:rFonts w:ascii="Arial" w:cs="Arial" w:eastAsia="Arial" w:hAnsi="Arial"/>
                <w:sz w:val="17"/>
                <w:szCs w:val="17"/>
                <w:color w:val="auto"/>
              </w:rPr>
              <w:t>Transactions</w:t>
            </w:r>
          </w:p>
        </w:tc>
        <w:tc>
          <w:tcPr>
            <w:tcW w:w="8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Less: Comprehensive income (loss) attributable to noncontrolling interests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800" w:type="dxa"/>
            <w:vAlign w:val="bottom"/>
          </w:tcPr>
          <w:p>
            <w:pPr>
              <w:ind w:left="20"/>
              <w:spacing w:after="0"/>
              <w:rPr>
                <w:sz w:val="20"/>
                <w:szCs w:val="20"/>
                <w:color w:val="auto"/>
              </w:rPr>
            </w:pPr>
            <w:r>
              <w:rPr>
                <w:rFonts w:ascii="Arial" w:cs="Arial" w:eastAsia="Arial" w:hAnsi="Arial"/>
                <w:sz w:val="17"/>
                <w:szCs w:val="17"/>
                <w:b w:val="1"/>
                <w:bCs w:val="1"/>
                <w:color w:val="auto"/>
                <w:w w:val="97"/>
              </w:rPr>
              <w:t>Comprehensive income (loss) attributable to ZoomInfo Technologies Inc.</w:t>
            </w:r>
          </w:p>
        </w:tc>
        <w:tc>
          <w:tcPr>
            <w:tcW w:w="840" w:type="dxa"/>
            <w:vAlign w:val="bottom"/>
          </w:tcPr>
          <w:p>
            <w:pPr>
              <w:jc w:val="right"/>
              <w:ind w:right="663"/>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(28.3)</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gridSpan w:val="9"/>
          </w:tcPr>
          <w:p>
            <w:pPr>
              <w:jc w:val="center"/>
              <w:ind w:right="200"/>
              <w:spacing w:after="0"/>
              <w:rPr>
                <w:sz w:val="20"/>
                <w:szCs w:val="20"/>
                <w:color w:val="auto"/>
              </w:rPr>
            </w:pPr>
            <w:r>
              <w:rPr>
                <w:rFonts w:ascii="Arial" w:cs="Arial" w:eastAsia="Arial" w:hAnsi="Arial"/>
                <w:sz w:val="17"/>
                <w:szCs w:val="17"/>
                <w:b w:val="1"/>
                <w:bCs w:val="1"/>
                <w:color w:val="auto"/>
                <w:w w:val="90"/>
              </w:rPr>
              <w:t>ZoomInfo Technologies Inc.</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80" w:type="dxa"/>
            <w:vAlign w:val="bottom"/>
            <w:gridSpan w:val="16"/>
          </w:tcPr>
          <w:p>
            <w:pPr>
              <w:jc w:val="center"/>
              <w:ind w:left="480"/>
              <w:spacing w:after="0"/>
              <w:rPr>
                <w:sz w:val="20"/>
                <w:szCs w:val="20"/>
                <w:color w:val="auto"/>
              </w:rPr>
            </w:pPr>
            <w:r>
              <w:rPr>
                <w:rFonts w:ascii="Arial" w:cs="Arial" w:eastAsia="Arial" w:hAnsi="Arial"/>
                <w:sz w:val="17"/>
                <w:szCs w:val="17"/>
                <w:b w:val="1"/>
                <w:bCs w:val="1"/>
                <w:color w:val="auto"/>
                <w:w w:val="90"/>
              </w:rPr>
              <w:t>Consolidated Statements of Changes in Equity (Deficit)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gridSpan w:val="14"/>
          </w:tcPr>
          <w:p>
            <w:pPr>
              <w:jc w:val="center"/>
              <w:ind w:right="160"/>
              <w:spacing w:after="0"/>
              <w:rPr>
                <w:sz w:val="20"/>
                <w:szCs w:val="20"/>
                <w:color w:val="auto"/>
              </w:rPr>
            </w:pPr>
            <w:r>
              <w:rPr>
                <w:rFonts w:ascii="Arial" w:cs="Arial" w:eastAsia="Arial" w:hAnsi="Arial"/>
                <w:sz w:val="17"/>
                <w:szCs w:val="17"/>
                <w:b w:val="1"/>
                <w:bCs w:val="1"/>
                <w:color w:val="auto"/>
                <w:w w:val="90"/>
              </w:rPr>
              <w:t>(in millions, except share data; unaudited)</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6"/>
              </w:rPr>
              <w:t>ZoomInfo</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900" w:type="dxa"/>
            <w:vAlign w:val="bottom"/>
            <w:gridSpan w:val="4"/>
          </w:tcPr>
          <w:p>
            <w:pPr>
              <w:jc w:val="center"/>
              <w:ind w:right="180"/>
              <w:spacing w:after="0" w:line="104" w:lineRule="exact"/>
              <w:rPr>
                <w:sz w:val="20"/>
                <w:szCs w:val="20"/>
                <w:color w:val="auto"/>
              </w:rPr>
            </w:pPr>
            <w:r>
              <w:rPr>
                <w:rFonts w:ascii="Arial" w:cs="Arial" w:eastAsia="Arial" w:hAnsi="Arial"/>
                <w:sz w:val="10"/>
                <w:szCs w:val="10"/>
                <w:b w:val="1"/>
                <w:bCs w:val="1"/>
                <w:color w:val="auto"/>
                <w:w w:val="98"/>
              </w:rPr>
              <w:t>Holdings LLC</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jc w:val="center"/>
              <w:ind w:right="260"/>
              <w:spacing w:after="0" w:line="104" w:lineRule="exact"/>
              <w:rPr>
                <w:sz w:val="20"/>
                <w:szCs w:val="20"/>
                <w:color w:val="auto"/>
              </w:rPr>
            </w:pPr>
            <w:r>
              <w:rPr>
                <w:rFonts w:ascii="Arial" w:cs="Arial" w:eastAsia="Arial" w:hAnsi="Arial"/>
                <w:sz w:val="10"/>
                <w:szCs w:val="10"/>
                <w:b w:val="1"/>
                <w:bCs w:val="1"/>
                <w:color w:val="auto"/>
                <w:w w:val="97"/>
              </w:rPr>
              <w:t>(Prior to</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900" w:type="dxa"/>
            <w:vAlign w:val="bottom"/>
            <w:gridSpan w:val="4"/>
          </w:tcPr>
          <w:p>
            <w:pPr>
              <w:jc w:val="center"/>
              <w:ind w:right="180"/>
              <w:spacing w:after="0" w:line="104" w:lineRule="exact"/>
              <w:rPr>
                <w:sz w:val="20"/>
                <w:szCs w:val="20"/>
                <w:color w:val="auto"/>
              </w:rPr>
            </w:pPr>
            <w:r>
              <w:rPr>
                <w:rFonts w:ascii="Arial" w:cs="Arial" w:eastAsia="Arial" w:hAnsi="Arial"/>
                <w:sz w:val="10"/>
                <w:szCs w:val="10"/>
                <w:b w:val="1"/>
                <w:bCs w:val="1"/>
                <w:color w:val="auto"/>
                <w:w w:val="94"/>
              </w:rPr>
              <w:t>Reorganization</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380" w:type="dxa"/>
            <w:vAlign w:val="bottom"/>
            <w:gridSpan w:val="11"/>
            <w:vMerge w:val="restart"/>
          </w:tcPr>
          <w:p>
            <w:pPr>
              <w:jc w:val="right"/>
              <w:ind w:right="120"/>
              <w:spacing w:after="0"/>
              <w:rPr>
                <w:sz w:val="20"/>
                <w:szCs w:val="20"/>
                <w:color w:val="auto"/>
              </w:rPr>
            </w:pPr>
            <w:r>
              <w:rPr>
                <w:rFonts w:ascii="Arial" w:cs="Arial" w:eastAsia="Arial" w:hAnsi="Arial"/>
                <w:sz w:val="10"/>
                <w:szCs w:val="10"/>
                <w:b w:val="1"/>
                <w:bCs w:val="1"/>
                <w:color w:val="auto"/>
                <w:w w:val="92"/>
              </w:rPr>
              <w:t>ZoomInfo Technologies Inc. Stockholders' Equity</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91"/>
              </w:rPr>
              <w:t>Transactions)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380" w:type="dxa"/>
            <w:vAlign w:val="bottom"/>
            <w:gridSpan w:val="11"/>
            <w:vMerge w:val="continue"/>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Members'</w:t>
            </w:r>
          </w:p>
        </w:tc>
        <w:tc>
          <w:tcPr>
            <w:tcW w:w="60" w:type="dxa"/>
            <w:vAlign w:val="bottom"/>
          </w:tcPr>
          <w:p>
            <w:pPr>
              <w:spacing w:after="0"/>
              <w:rPr>
                <w:sz w:val="8"/>
                <w:szCs w:val="8"/>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Class A</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Class B</w:t>
            </w:r>
          </w:p>
        </w:tc>
        <w:tc>
          <w:tcPr>
            <w:tcW w:w="68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Class C</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Class A</w:t>
            </w:r>
          </w:p>
        </w:tc>
        <w:tc>
          <w:tcPr>
            <w:tcW w:w="7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Class B</w:t>
            </w:r>
          </w:p>
        </w:tc>
        <w:tc>
          <w:tcPr>
            <w:tcW w:w="7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Class C</w:t>
            </w:r>
          </w:p>
        </w:tc>
        <w:tc>
          <w:tcPr>
            <w:tcW w:w="66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8"/>
                <w:szCs w:val="8"/>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Retained</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w w:val="92"/>
              </w:rPr>
              <w:t>Noncontrolling</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66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7"/>
              </w:rPr>
              <w:t>paid-in</w:t>
            </w:r>
          </w:p>
        </w:tc>
        <w:tc>
          <w:tcPr>
            <w:tcW w:w="10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AOCI</w:t>
            </w:r>
          </w:p>
        </w:tc>
        <w:tc>
          <w:tcPr>
            <w:tcW w:w="800" w:type="dxa"/>
            <w:vAlign w:val="bottom"/>
            <w:gridSpan w:val="3"/>
            <w:vMerge w:val="continue"/>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1"/>
              </w:rPr>
              <w:t>Deficit</w:t>
            </w:r>
          </w:p>
        </w:tc>
        <w:tc>
          <w:tcPr>
            <w:tcW w:w="60" w:type="dxa"/>
            <w:vAlign w:val="bottom"/>
          </w:tcPr>
          <w:p>
            <w:pPr>
              <w:spacing w:after="0"/>
              <w:rPr>
                <w:sz w:val="11"/>
                <w:szCs w:val="11"/>
                <w:color w:val="auto"/>
              </w:rPr>
            </w:pP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680" w:type="dxa"/>
            <w:vAlign w:val="bottom"/>
          </w:tcPr>
          <w:p>
            <w:pPr>
              <w:ind w:left="20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72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7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4"/>
              </w:rPr>
              <w:t>capital</w:t>
            </w:r>
          </w:p>
        </w:tc>
        <w:tc>
          <w:tcPr>
            <w:tcW w:w="100" w:type="dxa"/>
            <w:vAlign w:val="bottom"/>
          </w:tcPr>
          <w:p>
            <w:pPr>
              <w:spacing w:after="0"/>
              <w:rPr>
                <w:sz w:val="11"/>
                <w:szCs w:val="11"/>
                <w:color w:val="auto"/>
              </w:rPr>
            </w:pPr>
          </w:p>
        </w:tc>
        <w:tc>
          <w:tcPr>
            <w:tcW w:w="780" w:type="dxa"/>
            <w:vAlign w:val="bottom"/>
            <w:gridSpan w:val="3"/>
          </w:tcPr>
          <w:p>
            <w:pPr>
              <w:ind w:left="40"/>
              <w:spacing w:after="0"/>
              <w:rPr>
                <w:sz w:val="20"/>
                <w:szCs w:val="20"/>
                <w:color w:val="auto"/>
              </w:rPr>
            </w:pPr>
            <w:r>
              <w:rPr>
                <w:rFonts w:ascii="Arial" w:cs="Arial" w:eastAsia="Arial" w:hAnsi="Arial"/>
                <w:sz w:val="10"/>
                <w:szCs w:val="10"/>
                <w:b w:val="1"/>
                <w:bCs w:val="1"/>
                <w:color w:val="auto"/>
              </w:rPr>
              <w:t>Earnings</w:t>
            </w: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interests</w:t>
            </w: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(207.8)</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(213.8)</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gridSpan w:val="3"/>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Member distributions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10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gridSpan w:val="3"/>
          </w:tcPr>
          <w:p>
            <w:pPr>
              <w:ind w:left="38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Equity-based compensation</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53"/>
        </w:trPr>
        <w:tc>
          <w:tcPr>
            <w:tcW w:w="2160" w:type="dxa"/>
            <w:vAlign w:val="bottom"/>
          </w:tcPr>
          <w:p>
            <w:pPr>
              <w:ind w:left="220"/>
              <w:spacing w:after="0"/>
              <w:rPr>
                <w:sz w:val="20"/>
                <w:szCs w:val="20"/>
                <w:color w:val="auto"/>
              </w:rPr>
            </w:pPr>
            <w:r>
              <w:rPr>
                <w:rFonts w:ascii="Arial" w:cs="Arial" w:eastAsia="Arial" w:hAnsi="Arial"/>
                <w:sz w:val="12"/>
                <w:szCs w:val="12"/>
                <w:b w:val="1"/>
                <w:bCs w:val="1"/>
                <w:color w:val="auto"/>
              </w:rPr>
              <w:t>Balance at March 31, 2020</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(207.4)</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(12.7)</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(220.1)</w:t>
            </w: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7"/>
              </w:rPr>
              <w:t>Net income (loss) prior to Reorganization</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Transactions</w:t>
            </w: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Other comprehensive loss prior to</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Reorganization Transactions and IPO</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rPr>
              <w:t>Member distributions prior to</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Reorganization Transactions</w:t>
            </w: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Equity-based compensation prior to</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4.5</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Reorganization Transactions</w:t>
            </w: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b w:val="1"/>
                <w:bCs w:val="1"/>
                <w:i w:val="1"/>
                <w:iCs w:val="1"/>
                <w:color w:val="auto"/>
                <w:w w:val="92"/>
              </w:rPr>
              <w:t>Impacts of Reorganization Transactions</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b w:val="1"/>
                <w:bCs w:val="1"/>
                <w:i w:val="1"/>
                <w:iCs w:val="1"/>
                <w:color w:val="auto"/>
              </w:rPr>
              <w:t>and IPO</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Initial effect of the Reorganization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Transactions and IPO on noncontrolling</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203.9</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w w:val="92"/>
              </w:rPr>
              <w:t>242,414,027</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98,381,656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540" w:type="dxa"/>
            <w:vAlign w:val="bottom"/>
            <w:vMerge w:val="restart"/>
          </w:tcPr>
          <w:p>
            <w:pPr>
              <w:jc w:val="right"/>
              <w:ind w:right="1"/>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(628.1)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412.4</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interests</w:t>
            </w: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3"/>
              </w:rPr>
              <w:t>Issuance of Class A common stock in IPO,</w:t>
            </w:r>
          </w:p>
        </w:tc>
        <w:tc>
          <w:tcPr>
            <w:tcW w:w="10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9"/>
              </w:rPr>
              <w:t>48,528,783</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0.5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1,016.1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1,016.6</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of costs</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Purchases of ZoomInfo OpCo units in</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2,370,948</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(2,370,948)</w:t>
            </w: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(47.2)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(47.2)</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connection with IPO</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7"/>
              </w:rPr>
              <w:t>Purchases of Class C units in connection</w:t>
            </w:r>
          </w:p>
        </w:tc>
        <w:tc>
          <w:tcPr>
            <w:tcW w:w="10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275,269</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w w:val="89"/>
              </w:rPr>
              <w:t>(275,269)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with IPO</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w w:val="92"/>
              </w:rPr>
              <w:t>Opco Units exchanged into Class A shares</w:t>
            </w:r>
          </w:p>
        </w:tc>
        <w:tc>
          <w:tcPr>
            <w:tcW w:w="10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878,984</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(878,984)</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80" w:type="dxa"/>
            <w:vAlign w:val="bottom"/>
            <w:gridSpan w:val="3"/>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Forfeitures / cancellations</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(59,693)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(10,882)</w:t>
            </w: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rPr>
              <w:t>Series A Preferred Unit redemption</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(74.0)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(74.0)</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accretion</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2"/>
              </w:rPr>
              <w:t>Increase in deferred tax asset from step-up</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160" w:type="dxa"/>
            <w:vAlign w:val="bottom"/>
            <w:shd w:val="clear" w:color="auto" w:fill="CCEEFF"/>
          </w:tcPr>
          <w:p>
            <w:pPr>
              <w:ind w:left="20"/>
              <w:spacing w:after="0" w:line="116" w:lineRule="exact"/>
              <w:rPr>
                <w:sz w:val="20"/>
                <w:szCs w:val="20"/>
                <w:color w:val="auto"/>
              </w:rPr>
            </w:pPr>
            <w:r>
              <w:rPr>
                <w:rFonts w:ascii="Arial" w:cs="Arial" w:eastAsia="Arial" w:hAnsi="Arial"/>
                <w:sz w:val="12"/>
                <w:szCs w:val="12"/>
                <w:color w:val="auto"/>
              </w:rPr>
              <w:t>in tax basis under TRA related to unit</w:t>
            </w:r>
          </w:p>
        </w:tc>
        <w:tc>
          <w:tcPr>
            <w:tcW w:w="10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82.0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42.9</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126.3</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exchanges</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w w:val="94"/>
              </w:rPr>
              <w:t>Net income subsequent to Reorganization</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color w:val="auto"/>
                <w:w w:val="95"/>
              </w:rPr>
              <w:t>(34.4)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(44.3)</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(78.7)</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Transactions</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60" w:type="dxa"/>
            <w:vAlign w:val="bottom"/>
            <w:shd w:val="clear" w:color="auto" w:fill="CCEEFF"/>
          </w:tcPr>
          <w:p>
            <w:pPr>
              <w:ind w:left="20"/>
              <w:spacing w:after="0" w:line="124" w:lineRule="exact"/>
              <w:rPr>
                <w:sz w:val="20"/>
                <w:szCs w:val="20"/>
                <w:color w:val="auto"/>
              </w:rPr>
            </w:pPr>
            <w:r>
              <w:rPr>
                <w:rFonts w:ascii="Arial" w:cs="Arial" w:eastAsia="Arial" w:hAnsi="Arial"/>
                <w:sz w:val="12"/>
                <w:szCs w:val="12"/>
                <w:color w:val="auto"/>
                <w:w w:val="97"/>
              </w:rPr>
              <w:t>Other comprehensive loss subsequent to</w:t>
            </w:r>
          </w:p>
        </w:tc>
        <w:tc>
          <w:tcPr>
            <w:tcW w:w="10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Reorganization Transactions and IPO</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60" w:type="dxa"/>
            <w:vAlign w:val="bottom"/>
          </w:tcPr>
          <w:p>
            <w:pPr>
              <w:ind w:left="20"/>
              <w:spacing w:after="0" w:line="116" w:lineRule="exact"/>
              <w:rPr>
                <w:sz w:val="20"/>
                <w:szCs w:val="20"/>
                <w:color w:val="auto"/>
              </w:rPr>
            </w:pPr>
            <w:r>
              <w:rPr>
                <w:rFonts w:ascii="Arial" w:cs="Arial" w:eastAsia="Arial" w:hAnsi="Arial"/>
                <w:sz w:val="12"/>
                <w:szCs w:val="12"/>
                <w:color w:val="auto"/>
                <w:w w:val="93"/>
              </w:rPr>
              <w:t>Equity-based compensation subsequent to</w:t>
            </w:r>
          </w:p>
        </w:tc>
        <w:tc>
          <w:tcPr>
            <w:tcW w:w="10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ind w:right="1"/>
              <w:spacing w:after="0"/>
              <w:rPr>
                <w:sz w:val="20"/>
                <w:szCs w:val="20"/>
                <w:color w:val="auto"/>
              </w:rPr>
            </w:pPr>
            <w:r>
              <w:rPr>
                <w:rFonts w:ascii="Arial" w:cs="Arial" w:eastAsia="Arial" w:hAnsi="Arial"/>
                <w:sz w:val="12"/>
                <w:szCs w:val="12"/>
                <w:color w:val="auto"/>
              </w:rPr>
              <w:t>23.1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36.9</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2"/>
                <w:szCs w:val="12"/>
                <w:color w:val="auto"/>
              </w:rPr>
              <w:t>Reorganization Transactions</w:t>
            </w:r>
          </w:p>
        </w:tc>
        <w:tc>
          <w:tcPr>
            <w:tcW w:w="10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2"/>
                <w:szCs w:val="12"/>
                <w:b w:val="1"/>
                <w:bCs w:val="1"/>
                <w:color w:val="auto"/>
              </w:rPr>
              <w:t>Balance at June 30, 2020</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51,994,291</w:t>
            </w: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239,153,213</w:t>
            </w: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98,106,387</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366.4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2"/>
                <w:szCs w:val="12"/>
                <w:color w:val="auto"/>
                <w:w w:val="95"/>
              </w:rPr>
              <w:t>(34.4)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450.2</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783.3</w:t>
            </w:r>
          </w:p>
        </w:tc>
        <w:tc>
          <w:tcPr>
            <w:tcW w:w="0" w:type="dxa"/>
            <w:vAlign w:val="bottom"/>
          </w:tcPr>
          <w:p>
            <w:pPr>
              <w:spacing w:after="0"/>
              <w:rPr>
                <w:sz w:val="1"/>
                <w:szCs w:val="1"/>
                <w:color w:val="auto"/>
              </w:rPr>
            </w:pPr>
          </w:p>
        </w:tc>
      </w:tr>
      <w:tr>
        <w:trPr>
          <w:trHeight w:val="348"/>
        </w:trPr>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Exchanges</w:t>
      </w:r>
    </w:p>
    <w:p>
      <w:pPr>
        <w:spacing w:after="0" w:line="29" w:lineRule="exact"/>
        <w:rPr>
          <w:sz w:val="20"/>
          <w:szCs w:val="20"/>
          <w:color w:val="auto"/>
        </w:rPr>
      </w:pPr>
    </w:p>
    <w:p>
      <w:pPr>
        <w:ind w:right="600"/>
        <w:spacing w:after="0" w:line="349" w:lineRule="auto"/>
        <w:rPr>
          <w:sz w:val="20"/>
          <w:szCs w:val="20"/>
          <w:color w:val="auto"/>
        </w:rPr>
      </w:pPr>
      <w:r>
        <w:rPr>
          <w:rFonts w:ascii="Arial" w:cs="Arial" w:eastAsia="Arial" w:hAnsi="Arial"/>
          <w:sz w:val="10"/>
          <w:szCs w:val="10"/>
          <w:color w:val="auto"/>
        </w:rPr>
        <w:t>Forfeitures / cancellations Net income (loss)</w:t>
      </w:r>
    </w:p>
    <w:p>
      <w:pPr>
        <w:spacing w:after="0"/>
        <w:rPr>
          <w:sz w:val="20"/>
          <w:szCs w:val="20"/>
          <w:color w:val="auto"/>
        </w:rPr>
      </w:pPr>
      <w:r>
        <w:rPr>
          <w:rFonts w:ascii="Arial" w:cs="Arial" w:eastAsia="Arial" w:hAnsi="Arial"/>
          <w:sz w:val="12"/>
          <w:szCs w:val="12"/>
          <w:color w:val="auto"/>
        </w:rPr>
        <w:t>Other comprehensive income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Paid and accrued tax distributions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Equity-based compensation</w:t>
      </w:r>
    </w:p>
    <w:p>
      <w:pPr>
        <w:spacing w:after="0" w:line="29" w:lineRule="exact"/>
        <w:rPr>
          <w:sz w:val="20"/>
          <w:szCs w:val="20"/>
          <w:color w:val="auto"/>
        </w:rPr>
      </w:pPr>
    </w:p>
    <w:p>
      <w:pPr>
        <w:spacing w:after="0" w:line="509" w:lineRule="auto"/>
        <w:rPr>
          <w:sz w:val="20"/>
          <w:szCs w:val="20"/>
          <w:color w:val="auto"/>
        </w:rPr>
      </w:pPr>
      <w:r>
        <w:rPr>
          <w:rFonts w:ascii="Arial" w:cs="Arial" w:eastAsia="Arial" w:hAnsi="Arial"/>
          <w:sz w:val="10"/>
          <w:szCs w:val="10"/>
          <w:color w:val="auto"/>
        </w:rPr>
        <w:t xml:space="preserve">Tax receivable agreement adjustments </w:t>
      </w:r>
      <w:r>
        <w:rPr>
          <w:rFonts w:ascii="Arial" w:cs="Arial" w:eastAsia="Arial" w:hAnsi="Arial"/>
          <w:sz w:val="10"/>
          <w:szCs w:val="10"/>
          <w:b w:val="1"/>
          <w:bCs w:val="1"/>
          <w:color w:val="auto"/>
        </w:rPr>
        <w:t>Balance at September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11"/>
        <w:spacing w:after="0" w:line="256" w:lineRule="auto"/>
        <w:rPr>
          <w:sz w:val="20"/>
          <w:szCs w:val="20"/>
          <w:color w:val="auto"/>
        </w:rPr>
      </w:pPr>
      <w:r>
        <w:rPr>
          <w:rFonts w:ascii="Arial" w:cs="Arial" w:eastAsia="Arial" w:hAnsi="Arial"/>
          <w:sz w:val="9"/>
          <w:szCs w:val="9"/>
          <w:b w:val="1"/>
          <w:bCs w:val="1"/>
          <w:color w:val="auto"/>
        </w:rPr>
        <w:t>ZoomInfo Holdings LLC (Prior to Reorganization Transactions)</w:t>
      </w:r>
    </w:p>
    <w:p>
      <w:pPr>
        <w:spacing w:after="0" w:line="131" w:lineRule="exact"/>
        <w:rPr>
          <w:sz w:val="20"/>
          <w:szCs w:val="20"/>
          <w:color w:val="auto"/>
        </w:rPr>
      </w:pPr>
    </w:p>
    <w:p>
      <w:pPr>
        <w:jc w:val="center"/>
        <w:ind w:left="-11"/>
        <w:spacing w:after="0"/>
        <w:rPr>
          <w:sz w:val="20"/>
          <w:szCs w:val="20"/>
          <w:color w:val="auto"/>
        </w:rPr>
      </w:pPr>
      <w:r>
        <w:rPr>
          <w:rFonts w:ascii="Arial" w:cs="Arial" w:eastAsia="Arial" w:hAnsi="Arial"/>
          <w:sz w:val="10"/>
          <w:szCs w:val="10"/>
          <w:b w:val="1"/>
          <w:bCs w:val="1"/>
          <w:color w:val="auto"/>
        </w:rPr>
        <w:t>Members'</w:t>
      </w:r>
    </w:p>
    <w:p>
      <w:pPr>
        <w:jc w:val="center"/>
        <w:ind w:left="-11"/>
        <w:spacing w:after="0"/>
        <w:rPr>
          <w:sz w:val="20"/>
          <w:szCs w:val="20"/>
          <w:color w:val="auto"/>
        </w:rPr>
      </w:pPr>
      <w:r>
        <w:rPr>
          <w:rFonts w:ascii="Arial" w:cs="Arial" w:eastAsia="Arial" w:hAnsi="Arial"/>
          <w:sz w:val="10"/>
          <w:szCs w:val="10"/>
          <w:b w:val="1"/>
          <w:bCs w:val="1"/>
          <w:color w:val="auto"/>
        </w:rPr>
        <w:t>Deficit</w:t>
      </w:r>
    </w:p>
    <w:p>
      <w:pPr>
        <w:spacing w:after="0" w:line="40"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29" w:lineRule="exact"/>
        <w:rPr>
          <w:sz w:val="20"/>
          <w:szCs w:val="20"/>
          <w:color w:val="auto"/>
        </w:rPr>
      </w:pPr>
    </w:p>
    <w:p>
      <w:pPr>
        <w:ind w:left="532"/>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532" w:hanging="532"/>
        <w:spacing w:after="0"/>
        <w:tabs>
          <w:tab w:leader="none" w:pos="532" w:val="left"/>
        </w:tabs>
        <w:numPr>
          <w:ilvl w:val="0"/>
          <w:numId w:val="147"/>
        </w:numPr>
        <w:rPr>
          <w:rFonts w:ascii="Arial" w:cs="Arial" w:eastAsia="Arial" w:hAnsi="Arial"/>
          <w:sz w:val="12"/>
          <w:szCs w:val="12"/>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4660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960"/>
        <w:spacing w:after="0"/>
        <w:rPr>
          <w:sz w:val="20"/>
          <w:szCs w:val="20"/>
          <w:color w:val="auto"/>
        </w:rPr>
      </w:pPr>
      <w:r>
        <w:rPr>
          <w:rFonts w:ascii="Arial" w:cs="Arial" w:eastAsia="Arial" w:hAnsi="Arial"/>
          <w:sz w:val="17"/>
          <w:szCs w:val="17"/>
          <w:b w:val="1"/>
          <w:bCs w:val="1"/>
          <w:color w:val="auto"/>
        </w:rPr>
        <w:t>ZoomInfo Technologies Inc.</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Consolidated Statements of Changes in Equity (Deficit)</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(in millions, except share data; unaudited)(continued)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9"/>
          </w:tcPr>
          <w:p>
            <w:pPr>
              <w:ind w:left="20"/>
              <w:spacing w:after="0"/>
              <w:rPr>
                <w:sz w:val="20"/>
                <w:szCs w:val="20"/>
                <w:color w:val="auto"/>
              </w:rPr>
            </w:pPr>
            <w:r>
              <w:rPr>
                <w:rFonts w:ascii="Arial" w:cs="Arial" w:eastAsia="Arial" w:hAnsi="Arial"/>
                <w:sz w:val="10"/>
                <w:szCs w:val="10"/>
                <w:b w:val="1"/>
                <w:bCs w:val="1"/>
                <w:color w:val="auto"/>
                <w:w w:val="99"/>
              </w:rPr>
              <w:t>ZoomInfo Technologies Inc. Stockholders' Equity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
        </w:trPr>
        <w:tc>
          <w:tcPr>
            <w:tcW w:w="7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Class A</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Class B</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Class C</w:t>
            </w:r>
          </w:p>
        </w:tc>
        <w:tc>
          <w:tcPr>
            <w:tcW w:w="120" w:type="dxa"/>
            <w:vAlign w:val="bottom"/>
          </w:tcPr>
          <w:p>
            <w:pPr>
              <w:spacing w:after="0"/>
              <w:rPr>
                <w:sz w:val="8"/>
                <w:szCs w:val="8"/>
                <w:color w:val="auto"/>
              </w:rPr>
            </w:pPr>
          </w:p>
        </w:tc>
        <w:tc>
          <w:tcPr>
            <w:tcW w:w="520" w:type="dxa"/>
            <w:vAlign w:val="bottom"/>
            <w:vMerge w:val="restart"/>
          </w:tcPr>
          <w:p>
            <w:pPr>
              <w:jc w:val="right"/>
              <w:ind w:right="82"/>
              <w:spacing w:after="0"/>
              <w:rPr>
                <w:sz w:val="20"/>
                <w:szCs w:val="20"/>
                <w:color w:val="auto"/>
              </w:rPr>
            </w:pPr>
            <w:r>
              <w:rPr>
                <w:rFonts w:ascii="Arial" w:cs="Arial" w:eastAsia="Arial" w:hAnsi="Arial"/>
                <w:sz w:val="10"/>
                <w:szCs w:val="10"/>
                <w:b w:val="1"/>
                <w:bCs w:val="1"/>
                <w:color w:val="auto"/>
                <w:w w:val="98"/>
              </w:rPr>
              <w:t>Class A</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Class B</w:t>
            </w:r>
          </w:p>
        </w:tc>
        <w:tc>
          <w:tcPr>
            <w:tcW w:w="100" w:type="dxa"/>
            <w:vAlign w:val="bottom"/>
          </w:tcPr>
          <w:p>
            <w:pPr>
              <w:spacing w:after="0"/>
              <w:rPr>
                <w:sz w:val="8"/>
                <w:szCs w:val="8"/>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Class C</w:t>
            </w:r>
          </w:p>
        </w:tc>
        <w:tc>
          <w:tcPr>
            <w:tcW w:w="80" w:type="dxa"/>
            <w:vAlign w:val="bottom"/>
          </w:tcPr>
          <w:p>
            <w:pPr>
              <w:spacing w:after="0"/>
              <w:rPr>
                <w:sz w:val="8"/>
                <w:szCs w:val="8"/>
                <w:color w:val="auto"/>
              </w:rPr>
            </w:pPr>
          </w:p>
        </w:tc>
        <w:tc>
          <w:tcPr>
            <w:tcW w:w="660" w:type="dxa"/>
            <w:vAlign w:val="bottom"/>
            <w:gridSpan w:val="2"/>
          </w:tcPr>
          <w:p>
            <w:pPr>
              <w:jc w:val="center"/>
              <w:ind w:right="160"/>
              <w:spacing w:after="0" w:line="96" w:lineRule="exact"/>
              <w:rPr>
                <w:sz w:val="20"/>
                <w:szCs w:val="20"/>
                <w:color w:val="auto"/>
              </w:rPr>
            </w:pPr>
            <w:r>
              <w:rPr>
                <w:rFonts w:ascii="Arial" w:cs="Arial" w:eastAsia="Arial" w:hAnsi="Arial"/>
                <w:sz w:val="10"/>
                <w:szCs w:val="10"/>
                <w:b w:val="1"/>
                <w:bCs w:val="1"/>
                <w:color w:val="auto"/>
                <w:w w:val="93"/>
              </w:rPr>
              <w:t>Additional</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89"/>
              </w:rPr>
              <w:t>Retained</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92"/>
              </w:rPr>
              <w:t>Noncontrolling</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160"/>
              <w:spacing w:after="0" w:line="104" w:lineRule="exact"/>
              <w:rPr>
                <w:sz w:val="20"/>
                <w:szCs w:val="20"/>
                <w:color w:val="auto"/>
              </w:rPr>
            </w:pPr>
            <w:r>
              <w:rPr>
                <w:rFonts w:ascii="Arial" w:cs="Arial" w:eastAsia="Arial" w:hAnsi="Arial"/>
                <w:sz w:val="10"/>
                <w:szCs w:val="10"/>
                <w:b w:val="1"/>
                <w:bCs w:val="1"/>
                <w:color w:val="auto"/>
                <w:w w:val="91"/>
              </w:rPr>
              <w:t>paid-in</w:t>
            </w: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AOCI</w:t>
            </w:r>
          </w:p>
        </w:tc>
        <w:tc>
          <w:tcPr>
            <w:tcW w:w="800" w:type="dxa"/>
            <w:vAlign w:val="bottom"/>
            <w:gridSpan w:val="2"/>
            <w:vMerge w:val="continue"/>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34"/>
        </w:trPr>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1"/>
                <w:szCs w:val="11"/>
                <w:color w:val="auto"/>
              </w:rPr>
            </w:pPr>
          </w:p>
        </w:tc>
        <w:tc>
          <w:tcPr>
            <w:tcW w:w="520" w:type="dxa"/>
            <w:vAlign w:val="bottom"/>
          </w:tcPr>
          <w:p>
            <w:pPr>
              <w:jc w:val="right"/>
              <w:ind w:right="82"/>
              <w:spacing w:after="0"/>
              <w:rPr>
                <w:sz w:val="20"/>
                <w:szCs w:val="20"/>
                <w:color w:val="auto"/>
              </w:rPr>
            </w:pPr>
            <w:r>
              <w:rPr>
                <w:rFonts w:ascii="Arial" w:cs="Arial" w:eastAsia="Arial" w:hAnsi="Arial"/>
                <w:sz w:val="10"/>
                <w:szCs w:val="10"/>
                <w:b w:val="1"/>
                <w:bCs w:val="1"/>
                <w:color w:val="auto"/>
                <w:w w:val="95"/>
              </w:rPr>
              <w:t>Amount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1"/>
                <w:szCs w:val="11"/>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4"/>
              </w:rPr>
              <w:t>capital</w:t>
            </w: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Earnings</w:t>
            </w: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interests</w:t>
            </w: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99"/>
              </w:rPr>
              <w:t>17,179,135</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3"/>
              </w:rPr>
              <w:t>(10,655,101)</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(6,524,034)</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19.3</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(19.1)</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(6,511)</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6"/>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6"/>
              <w:spacing w:after="0"/>
              <w:rPr>
                <w:sz w:val="20"/>
                <w:szCs w:val="20"/>
                <w:color w:val="auto"/>
              </w:rPr>
            </w:pPr>
            <w:r>
              <w:rPr>
                <w:rFonts w:ascii="Arial" w:cs="Arial" w:eastAsia="Arial" w:hAnsi="Arial"/>
                <w:sz w:val="12"/>
                <w:szCs w:val="12"/>
                <w:color w:val="auto"/>
              </w:rPr>
              <w:t>6.2</w:t>
            </w:r>
          </w:p>
        </w:tc>
        <w:tc>
          <w:tcPr>
            <w:tcW w:w="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67"/>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67"/>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67"/>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11.7</w:t>
            </w: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6"/>
              <w:spacing w:after="0"/>
              <w:rPr>
                <w:sz w:val="20"/>
                <w:szCs w:val="20"/>
                <w:color w:val="auto"/>
              </w:rPr>
            </w:pPr>
            <w:r>
              <w:rPr>
                <w:rFonts w:ascii="Arial" w:cs="Arial" w:eastAsia="Arial" w:hAnsi="Arial"/>
                <w:sz w:val="12"/>
                <w:szCs w:val="12"/>
                <w:color w:val="auto"/>
              </w:rPr>
              <w:t>16.7</w:t>
            </w:r>
          </w:p>
        </w:tc>
        <w:tc>
          <w:tcPr>
            <w:tcW w:w="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28.4</w:t>
            </w:r>
          </w:p>
        </w:tc>
        <w:tc>
          <w:tcPr>
            <w:tcW w:w="0" w:type="dxa"/>
            <w:vAlign w:val="bottom"/>
          </w:tcPr>
          <w:p>
            <w:pPr>
              <w:spacing w:after="0"/>
              <w:rPr>
                <w:sz w:val="1"/>
                <w:szCs w:val="1"/>
                <w:color w:val="auto"/>
              </w:rPr>
            </w:pPr>
          </w:p>
        </w:tc>
      </w:tr>
      <w:tr>
        <w:trPr>
          <w:trHeight w:val="176"/>
        </w:trPr>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4.7</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6"/>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60"/>
        </w:trPr>
        <w:tc>
          <w:tcPr>
            <w:tcW w:w="6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99"/>
              </w:rPr>
              <w:t>69,173,426</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2"/>
              </w:rPr>
              <w:t>228,491,601</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91,582,353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0.7</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0.9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402.1</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color w:val="auto"/>
                <w:w w:val="95"/>
              </w:rPr>
              <w:t>$(29.5)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2"/>
                <w:szCs w:val="12"/>
                <w:color w:val="auto"/>
                <w:w w:val="86"/>
              </w:rPr>
              <w:t>$446.9</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2"/>
                <w:szCs w:val="12"/>
                <w:color w:val="auto"/>
                <w:w w:val="86"/>
              </w:rPr>
              <w:t>$820.5</w:t>
            </w:r>
          </w:p>
        </w:tc>
        <w:tc>
          <w:tcPr>
            <w:tcW w:w="0" w:type="dxa"/>
            <w:vAlign w:val="bottom"/>
          </w:tcPr>
          <w:p>
            <w:pPr>
              <w:spacing w:after="0"/>
              <w:rPr>
                <w:sz w:val="1"/>
                <w:szCs w:val="1"/>
                <w:color w:val="auto"/>
              </w:rPr>
            </w:pPr>
          </w:p>
        </w:tc>
      </w:tr>
      <w:tr>
        <w:trPr>
          <w:trHeight w:val="26"/>
        </w:trPr>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-1136015</wp:posOffset>
            </wp:positionV>
            <wp:extent cx="7138670" cy="11201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8670" cy="112014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3">
            <w:col w:w="1840" w:space="208"/>
            <w:col w:w="692" w:space="200"/>
            <w:col w:w="8280"/>
          </w:cols>
          <w:pgMar w:left="340" w:top="1409" w:right="339" w:bottom="1440" w:gutter="0" w:footer="0" w:header="0"/>
        </w:sect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438150</wp:posOffset>
            </wp:positionV>
            <wp:extent cx="7138670" cy="165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40" w:top="1409" w:right="339" w:bottom="1440" w:gutter="0" w:footer="0" w:header="0"/>
          <w:type w:val="continuous"/>
        </w:sectPr>
      </w:pPr>
    </w:p>
    <w:bookmarkStart w:id="263" w:name="page264"/>
    <w:bookmarkEnd w:id="263"/>
    <w:p>
      <w:pPr>
        <w:jc w:val="center"/>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Equity (Deficit)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rPr>
              <w:t>($ in millions; unaudited)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6"/>
              </w:rPr>
              <w:t>Members' Deficit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79"/>
        </w:trPr>
        <w:tc>
          <w:tcPr>
            <w:tcW w:w="448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3"/>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Member distributions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Impact of adoption of new accounting standard (ASC 842)</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Equity-based compensation</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Balance at March 31, 2019</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0" w:type="dxa"/>
            <w:vAlign w:val="bottom"/>
          </w:tcPr>
          <w:p>
            <w:pPr>
              <w:spacing w:after="0"/>
              <w:rPr>
                <w:sz w:val="1"/>
                <w:szCs w:val="1"/>
                <w:color w:val="auto"/>
              </w:rPr>
            </w:pPr>
          </w:p>
        </w:tc>
      </w:tr>
      <w:tr>
        <w:trPr>
          <w:trHeight w:val="225"/>
        </w:trPr>
        <w:tc>
          <w:tcPr>
            <w:tcW w:w="44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Member distributions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Repurchase outstanding equity / member units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Equity-based compensation</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1080"/>
              <w:spacing w:after="0"/>
              <w:rPr>
                <w:sz w:val="20"/>
                <w:szCs w:val="20"/>
                <w:color w:val="auto"/>
              </w:rPr>
            </w:pPr>
            <w:r>
              <w:rPr>
                <w:rFonts w:ascii="Arial" w:cs="Arial" w:eastAsia="Arial" w:hAnsi="Arial"/>
                <w:sz w:val="17"/>
                <w:szCs w:val="17"/>
                <w:color w:val="auto"/>
                <w:w w:val="97"/>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1"/>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b w:val="1"/>
                <w:bCs w:val="1"/>
                <w:color w:val="auto"/>
              </w:rPr>
              <w:t>Balance at June 30, 2019</w:t>
            </w:r>
          </w:p>
        </w:tc>
        <w:tc>
          <w:tcPr>
            <w:tcW w:w="1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(194.8)</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7"/>
                <w:szCs w:val="17"/>
                <w:color w:val="auto"/>
                <w:w w:val="97"/>
              </w:rPr>
              <w:t>(5.9)</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(200.7)</w:t>
            </w: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Member distributions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Arial" w:cs="Arial" w:eastAsia="Arial" w:hAnsi="Arial"/>
                <w:sz w:val="17"/>
                <w:szCs w:val="17"/>
                <w:color w:val="auto"/>
              </w:rPr>
              <w:t>Repurchase outstanding equity / member units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1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Equity-based compensation</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w w:val="97"/>
              </w:rPr>
              <w:t>(1.3)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Balance at September 30, 2019</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ind w:left="1080"/>
              <w:spacing w:after="0"/>
              <w:rPr>
                <w:sz w:val="20"/>
                <w:szCs w:val="20"/>
                <w:color w:val="auto"/>
              </w:rPr>
            </w:pPr>
            <w:r>
              <w:rPr>
                <w:rFonts w:ascii="Arial" w:cs="Arial" w:eastAsia="Arial" w:hAnsi="Arial"/>
                <w:sz w:val="17"/>
                <w:szCs w:val="17"/>
                <w:color w:val="auto"/>
                <w:w w:val="97"/>
              </w:rPr>
              <w:t>(7.2)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4480" w:type="dxa"/>
            <w:vAlign w:val="bottom"/>
          </w:tcPr>
          <w:p>
            <w:pPr>
              <w:spacing w:after="0"/>
              <w:rPr>
                <w:sz w:val="24"/>
                <w:szCs w:val="24"/>
                <w:color w:val="auto"/>
              </w:rPr>
            </w:pPr>
          </w:p>
        </w:tc>
        <w:tc>
          <w:tcPr>
            <w:tcW w:w="2020" w:type="dxa"/>
            <w:vAlign w:val="bottom"/>
            <w:gridSpan w:val="2"/>
          </w:tcPr>
          <w:p>
            <w:pPr>
              <w:jc w:val="right"/>
              <w:ind w:right="720"/>
              <w:spacing w:after="0"/>
              <w:rPr>
                <w:sz w:val="20"/>
                <w:szCs w:val="20"/>
                <w:color w:val="auto"/>
              </w:rPr>
            </w:pPr>
            <w:r>
              <w:rPr>
                <w:rFonts w:ascii="Arial" w:cs="Arial" w:eastAsia="Arial" w:hAnsi="Arial"/>
                <w:sz w:val="17"/>
                <w:szCs w:val="17"/>
                <w:color w:val="auto"/>
              </w:rPr>
              <w:t>F-47</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44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7"/>
          <w:szCs w:val="17"/>
          <w:b w:val="1"/>
          <w:bCs w:val="1"/>
          <w:color w:val="auto"/>
        </w:rPr>
        <w:t>ZoomInfo Technologies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60" w:type="dxa"/>
            <w:vAlign w:val="bottom"/>
          </w:tcPr>
          <w:p>
            <w:pPr>
              <w:spacing w:after="0"/>
              <w:rPr>
                <w:sz w:val="15"/>
                <w:szCs w:val="15"/>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5"/>
                <w:szCs w:val="15"/>
                <w:color w:val="auto"/>
              </w:rPr>
            </w:pPr>
          </w:p>
        </w:tc>
      </w:tr>
      <w:tr>
        <w:trPr>
          <w:trHeight w:val="174"/>
        </w:trPr>
        <w:tc>
          <w:tcPr>
            <w:tcW w:w="80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r>
      <w:tr>
        <w:trPr>
          <w:trHeight w:val="18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Net income (loss)</w:t>
            </w:r>
          </w:p>
        </w:tc>
        <w:tc>
          <w:tcPr>
            <w:tcW w:w="900" w:type="dxa"/>
            <w:vAlign w:val="bottom"/>
          </w:tcPr>
          <w:p>
            <w:pPr>
              <w:jc w:val="right"/>
              <w:ind w:right="725"/>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(72.7)</w:t>
            </w:r>
          </w:p>
        </w:tc>
        <w:tc>
          <w:tcPr>
            <w:tcW w:w="12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(72.5)</w:t>
            </w:r>
          </w:p>
        </w:tc>
      </w:tr>
      <w:tr>
        <w:trPr>
          <w:trHeight w:val="209"/>
        </w:trPr>
        <w:tc>
          <w:tcPr>
            <w:tcW w:w="8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37.0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36.7</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Amortization of debt discounts and issuance costs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Amortization of deferred commissions costs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Loss on early extinguishment of debt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Deferred consideration valuation adjustments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Equity-based compensation expense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Deferred income taxes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Tax receivable agreement remeasurement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Provision for bad debt expense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Changes in operating assets and liabilities, net of acquisitions: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Prepaid expenses and other current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Deferred costs and other assets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(13.2)</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Income tax receivable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203"/>
        </w:trPr>
        <w:tc>
          <w:tcPr>
            <w:tcW w:w="8060" w:type="dxa"/>
            <w:vAlign w:val="bottom"/>
          </w:tcPr>
          <w:p>
            <w:pPr>
              <w:ind w:left="440"/>
              <w:spacing w:after="0"/>
              <w:rPr>
                <w:sz w:val="20"/>
                <w:szCs w:val="20"/>
                <w:color w:val="auto"/>
              </w:rPr>
            </w:pPr>
            <w:r>
              <w:rPr>
                <w:rFonts w:ascii="Arial" w:cs="Arial" w:eastAsia="Arial" w:hAnsi="Arial"/>
                <w:sz w:val="15"/>
                <w:szCs w:val="15"/>
                <w:color w:val="auto"/>
              </w:rPr>
              <w:t>Accounts payable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9"/>
        </w:trPr>
        <w:tc>
          <w:tcPr>
            <w:tcW w:w="80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Accrued expenses and other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r>
      <w:tr>
        <w:trPr>
          <w:trHeight w:val="203"/>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Unearned revenue</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w:t>
            </w:r>
          </w:p>
        </w:tc>
      </w:tr>
      <w:tr>
        <w:trPr>
          <w:trHeight w:val="199"/>
        </w:trPr>
        <w:tc>
          <w:tcPr>
            <w:tcW w:w="80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Net cash provided by (used in) operating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102.7</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w:t>
            </w:r>
          </w:p>
        </w:tc>
      </w:tr>
      <w:tr>
        <w:trPr>
          <w:trHeight w:val="176"/>
        </w:trPr>
        <w:tc>
          <w:tcPr>
            <w:tcW w:w="8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Purchases of property and equipment and other assets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(9.3)</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for acquisitions, net of cash acquired</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(714.9)</w:t>
            </w:r>
          </w:p>
        </w:tc>
      </w:tr>
      <w:tr>
        <w:trPr>
          <w:trHeight w:val="196"/>
        </w:trPr>
        <w:tc>
          <w:tcPr>
            <w:tcW w:w="806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Net cash provided by (used in) investing activities</w:t>
            </w:r>
          </w:p>
        </w:tc>
        <w:tc>
          <w:tcPr>
            <w:tcW w:w="9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(724.2)</w:t>
            </w:r>
          </w:p>
        </w:tc>
      </w:tr>
      <w:tr>
        <w:trPr>
          <w:trHeight w:val="176"/>
        </w:trPr>
        <w:tc>
          <w:tcPr>
            <w:tcW w:w="80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4"/>
        </w:trPr>
        <w:tc>
          <w:tcPr>
            <w:tcW w:w="80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8"/>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of deferred consideration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Proceeds from debt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35.0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1"/>
              </w:rPr>
              <w:t>1,220.8</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Repayment of debt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(647.6)</w:t>
            </w: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Payments of debt issuance costs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(16.7)</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Repurchase outstanding equity / member units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r>
      <w:tr>
        <w:trPr>
          <w:trHeight w:val="203"/>
        </w:trPr>
        <w:tc>
          <w:tcPr>
            <w:tcW w:w="8060" w:type="dxa"/>
            <w:vAlign w:val="bottom"/>
          </w:tcPr>
          <w:p>
            <w:pPr>
              <w:ind w:left="220"/>
              <w:spacing w:after="0"/>
              <w:rPr>
                <w:sz w:val="20"/>
                <w:szCs w:val="20"/>
                <w:color w:val="auto"/>
              </w:rPr>
            </w:pPr>
            <w:r>
              <w:rPr>
                <w:rFonts w:ascii="Arial" w:cs="Arial" w:eastAsia="Arial" w:hAnsi="Arial"/>
                <w:sz w:val="15"/>
                <w:szCs w:val="15"/>
                <w:color w:val="auto"/>
              </w:rPr>
              <w:t>Proceeds from equity offering, net of underwriting discounts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1"/>
              </w:rPr>
              <w:t>1,023.7</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200.2</w:t>
            </w:r>
          </w:p>
        </w:tc>
      </w:tr>
      <w:tr>
        <w:trPr>
          <w:trHeight w:val="209"/>
        </w:trPr>
        <w:tc>
          <w:tcPr>
            <w:tcW w:w="8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of IPO issuance costs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Tax distributions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w:t>
            </w:r>
          </w:p>
        </w:tc>
      </w:tr>
      <w:tr>
        <w:trPr>
          <w:trHeight w:val="199"/>
        </w:trPr>
        <w:tc>
          <w:tcPr>
            <w:tcW w:w="80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Net cash provided by (used in) financing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172.6</w:t>
            </w:r>
          </w:p>
        </w:tc>
        <w:tc>
          <w:tcPr>
            <w:tcW w:w="1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728.0</w:t>
            </w:r>
          </w:p>
        </w:tc>
      </w:tr>
      <w:tr>
        <w:trPr>
          <w:trHeight w:val="176"/>
        </w:trPr>
        <w:tc>
          <w:tcPr>
            <w:tcW w:w="8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w:t>
            </w:r>
          </w:p>
        </w:tc>
      </w:tr>
      <w:tr>
        <w:trPr>
          <w:trHeight w:val="20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r>
      <w:tr>
        <w:trPr>
          <w:trHeight w:val="22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306.0</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42"/>
        </w:trPr>
        <w:tc>
          <w:tcPr>
            <w:tcW w:w="8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cash flow information</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8060" w:type="dxa"/>
            <w:vAlign w:val="bottom"/>
          </w:tcPr>
          <w:p>
            <w:pPr>
              <w:ind w:left="320"/>
              <w:spacing w:after="0"/>
              <w:rPr>
                <w:sz w:val="20"/>
                <w:szCs w:val="20"/>
                <w:color w:val="auto"/>
              </w:rPr>
            </w:pPr>
            <w:r>
              <w:rPr>
                <w:rFonts w:ascii="Arial" w:cs="Arial" w:eastAsia="Arial" w:hAnsi="Arial"/>
                <w:sz w:val="15"/>
                <w:szCs w:val="15"/>
                <w:color w:val="auto"/>
              </w:rPr>
              <w:t>Interest paid in cash</w:t>
            </w:r>
          </w:p>
        </w:tc>
        <w:tc>
          <w:tcPr>
            <w:tcW w:w="900" w:type="dxa"/>
            <w:vAlign w:val="bottom"/>
          </w:tcPr>
          <w:p>
            <w:pPr>
              <w:jc w:val="right"/>
              <w:ind w:right="725"/>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56.8</w:t>
            </w:r>
          </w:p>
        </w:tc>
        <w:tc>
          <w:tcPr>
            <w:tcW w:w="120" w:type="dxa"/>
            <w:vAlign w:val="bottom"/>
          </w:tcPr>
          <w:p>
            <w:pPr>
              <w:spacing w:after="0"/>
              <w:rPr>
                <w:sz w:val="17"/>
                <w:szCs w:val="17"/>
                <w:color w:val="auto"/>
              </w:rPr>
            </w:pPr>
          </w:p>
        </w:tc>
        <w:tc>
          <w:tcPr>
            <w:tcW w:w="1080" w:type="dxa"/>
            <w:vAlign w:val="bottom"/>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70.7</w:t>
            </w:r>
          </w:p>
        </w:tc>
      </w:tr>
      <w:tr>
        <w:trPr>
          <w:trHeight w:val="209"/>
        </w:trPr>
        <w:tc>
          <w:tcPr>
            <w:tcW w:w="8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paid for taxes</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8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6"/>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investing and financing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1"/>
        </w:trPr>
        <w:tc>
          <w:tcPr>
            <w:tcW w:w="8060" w:type="dxa"/>
            <w:vAlign w:val="bottom"/>
          </w:tcPr>
          <w:p>
            <w:pPr>
              <w:ind w:left="320"/>
              <w:spacing w:after="0"/>
              <w:rPr>
                <w:sz w:val="20"/>
                <w:szCs w:val="20"/>
                <w:color w:val="auto"/>
              </w:rPr>
            </w:pPr>
            <w:r>
              <w:rPr>
                <w:rFonts w:ascii="Arial" w:cs="Arial" w:eastAsia="Arial" w:hAnsi="Arial"/>
                <w:sz w:val="15"/>
                <w:szCs w:val="15"/>
                <w:color w:val="auto"/>
              </w:rPr>
              <w:t>Deferred variable consideration from acquisition of a business</w:t>
            </w:r>
          </w:p>
        </w:tc>
        <w:tc>
          <w:tcPr>
            <w:tcW w:w="900" w:type="dxa"/>
            <w:vAlign w:val="bottom"/>
          </w:tcPr>
          <w:p>
            <w:pPr>
              <w:jc w:val="right"/>
              <w:ind w:right="725"/>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904"/>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33.2</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5" w:name="page266"/>
    <w:bookmarkEnd w:id="265"/>
    <w:p>
      <w:pPr>
        <w:jc w:val="center"/>
        <w:ind w:right="-319"/>
        <w:spacing w:after="0"/>
        <w:rPr>
          <w:sz w:val="20"/>
          <w:szCs w:val="20"/>
          <w:color w:val="auto"/>
        </w:rPr>
      </w:pPr>
      <w:r>
        <w:rPr>
          <w:rFonts w:ascii="Arial" w:cs="Arial" w:eastAsia="Arial" w:hAnsi="Arial"/>
          <w:sz w:val="17"/>
          <w:szCs w:val="17"/>
          <w:b w:val="1"/>
          <w:bCs w:val="1"/>
          <w:color w:val="auto"/>
        </w:rPr>
        <w:t>ZoomInfo Technologies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11"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(In millions, except share/unit data and per share/unit amounts, unless otherwise noted)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 w:type="dxa"/>
            <w:vAlign w:val="bottom"/>
          </w:tcPr>
          <w:p>
            <w:pPr>
              <w:ind w:left="20"/>
              <w:spacing w:after="0"/>
              <w:rPr>
                <w:rFonts w:ascii="Arial" w:cs="Arial" w:eastAsia="Arial" w:hAnsi="Arial"/>
                <w:sz w:val="17"/>
                <w:szCs w:val="17"/>
                <w:u w:val="single" w:color="auto"/>
                <w:color w:val="0000FF"/>
              </w:rPr>
            </w:pPr>
            <w:hyperlink w:anchor="page266">
              <w:r>
                <w:rPr>
                  <w:rFonts w:ascii="Arial" w:cs="Arial" w:eastAsia="Arial" w:hAnsi="Arial"/>
                  <w:sz w:val="17"/>
                  <w:szCs w:val="17"/>
                  <w:u w:val="single" w:color="auto"/>
                  <w:color w:val="0000FF"/>
                </w:rPr>
                <w:t>Note 1</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66">
              <w:r>
                <w:rPr>
                  <w:rFonts w:ascii="Arial" w:cs="Arial" w:eastAsia="Arial" w:hAnsi="Arial"/>
                  <w:sz w:val="17"/>
                  <w:szCs w:val="17"/>
                  <w:u w:val="single" w:color="auto"/>
                  <w:color w:val="0000FF"/>
                </w:rPr>
                <w:t>Organization and Background</w:t>
              </w:r>
            </w:hyperlink>
          </w:p>
        </w:tc>
        <w:tc>
          <w:tcPr>
            <w:tcW w:w="2840" w:type="dxa"/>
            <w:vAlign w:val="bottom"/>
          </w:tcPr>
          <w:p>
            <w:pPr>
              <w:ind w:left="2320"/>
              <w:spacing w:after="0"/>
              <w:rPr>
                <w:rFonts w:ascii="Arial" w:cs="Arial" w:eastAsia="Arial" w:hAnsi="Arial"/>
                <w:sz w:val="17"/>
                <w:szCs w:val="17"/>
                <w:color w:val="auto"/>
              </w:rPr>
            </w:pPr>
            <w:hyperlink w:anchor="page266">
              <w:r>
                <w:rPr>
                  <w:rFonts w:ascii="Arial" w:cs="Arial" w:eastAsia="Arial" w:hAnsi="Arial"/>
                  <w:sz w:val="17"/>
                  <w:szCs w:val="17"/>
                  <w:color w:val="auto"/>
                </w:rPr>
                <w:t>F-50</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68">
              <w:r>
                <w:rPr>
                  <w:rFonts w:ascii="Arial" w:cs="Arial" w:eastAsia="Arial" w:hAnsi="Arial"/>
                  <w:sz w:val="17"/>
                  <w:szCs w:val="17"/>
                  <w:u w:val="single" w:color="auto"/>
                  <w:color w:val="0000FF"/>
                </w:rPr>
                <w:t>Note 2</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68">
              <w:r>
                <w:rPr>
                  <w:rFonts w:ascii="Arial" w:cs="Arial" w:eastAsia="Arial" w:hAnsi="Arial"/>
                  <w:sz w:val="17"/>
                  <w:szCs w:val="17"/>
                  <w:u w:val="single" w:color="auto"/>
                  <w:color w:val="0000FF"/>
                </w:rPr>
                <w:t>Basis of Presentation and Summary of Significant Accounting Policies</w:t>
              </w:r>
            </w:hyperlink>
          </w:p>
        </w:tc>
        <w:tc>
          <w:tcPr>
            <w:tcW w:w="2840" w:type="dxa"/>
            <w:vAlign w:val="bottom"/>
          </w:tcPr>
          <w:p>
            <w:pPr>
              <w:ind w:left="2320"/>
              <w:spacing w:after="0"/>
              <w:rPr>
                <w:rFonts w:ascii="Arial" w:cs="Arial" w:eastAsia="Arial" w:hAnsi="Arial"/>
                <w:sz w:val="17"/>
                <w:szCs w:val="17"/>
                <w:color w:val="auto"/>
              </w:rPr>
            </w:pPr>
            <w:hyperlink w:anchor="page268">
              <w:r>
                <w:rPr>
                  <w:rFonts w:ascii="Arial" w:cs="Arial" w:eastAsia="Arial" w:hAnsi="Arial"/>
                  <w:sz w:val="17"/>
                  <w:szCs w:val="17"/>
                  <w:color w:val="auto"/>
                </w:rPr>
                <w:t>F-51</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76">
              <w:r>
                <w:rPr>
                  <w:rFonts w:ascii="Arial" w:cs="Arial" w:eastAsia="Arial" w:hAnsi="Arial"/>
                  <w:sz w:val="17"/>
                  <w:szCs w:val="17"/>
                  <w:u w:val="single" w:color="auto"/>
                  <w:color w:val="0000FF"/>
                </w:rPr>
                <w:t>Note 3</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76">
              <w:r>
                <w:rPr>
                  <w:rFonts w:ascii="Arial" w:cs="Arial" w:eastAsia="Arial" w:hAnsi="Arial"/>
                  <w:sz w:val="17"/>
                  <w:szCs w:val="17"/>
                  <w:u w:val="single" w:color="auto"/>
                  <w:color w:val="0000FF"/>
                </w:rPr>
                <w:t>Revenue from Contracts with Customers</w:t>
              </w:r>
            </w:hyperlink>
          </w:p>
        </w:tc>
        <w:tc>
          <w:tcPr>
            <w:tcW w:w="2840" w:type="dxa"/>
            <w:vAlign w:val="bottom"/>
          </w:tcPr>
          <w:p>
            <w:pPr>
              <w:ind w:left="2320"/>
              <w:spacing w:after="0"/>
              <w:rPr>
                <w:rFonts w:ascii="Arial" w:cs="Arial" w:eastAsia="Arial" w:hAnsi="Arial"/>
                <w:sz w:val="17"/>
                <w:szCs w:val="17"/>
                <w:color w:val="auto"/>
              </w:rPr>
            </w:pPr>
            <w:hyperlink w:anchor="page276">
              <w:r>
                <w:rPr>
                  <w:rFonts w:ascii="Arial" w:cs="Arial" w:eastAsia="Arial" w:hAnsi="Arial"/>
                  <w:sz w:val="17"/>
                  <w:szCs w:val="17"/>
                  <w:color w:val="auto"/>
                </w:rPr>
                <w:t>F-59</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77">
              <w:r>
                <w:rPr>
                  <w:rFonts w:ascii="Arial" w:cs="Arial" w:eastAsia="Arial" w:hAnsi="Arial"/>
                  <w:sz w:val="17"/>
                  <w:szCs w:val="17"/>
                  <w:u w:val="single" w:color="auto"/>
                  <w:color w:val="0000FF"/>
                </w:rPr>
                <w:t>Note 4</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77">
              <w:r>
                <w:rPr>
                  <w:rFonts w:ascii="Arial" w:cs="Arial" w:eastAsia="Arial" w:hAnsi="Arial"/>
                  <w:sz w:val="17"/>
                  <w:szCs w:val="17"/>
                  <w:u w:val="single" w:color="auto"/>
                  <w:color w:val="0000FF"/>
                </w:rPr>
                <w:t>Business Combinations</w:t>
              </w:r>
            </w:hyperlink>
          </w:p>
        </w:tc>
        <w:tc>
          <w:tcPr>
            <w:tcW w:w="2840" w:type="dxa"/>
            <w:vAlign w:val="bottom"/>
          </w:tcPr>
          <w:p>
            <w:pPr>
              <w:ind w:left="2320"/>
              <w:spacing w:after="0"/>
              <w:rPr>
                <w:rFonts w:ascii="Arial" w:cs="Arial" w:eastAsia="Arial" w:hAnsi="Arial"/>
                <w:sz w:val="17"/>
                <w:szCs w:val="17"/>
                <w:color w:val="auto"/>
              </w:rPr>
            </w:pPr>
            <w:hyperlink w:anchor="page277">
              <w:r>
                <w:rPr>
                  <w:rFonts w:ascii="Arial" w:cs="Arial" w:eastAsia="Arial" w:hAnsi="Arial"/>
                  <w:sz w:val="17"/>
                  <w:szCs w:val="17"/>
                  <w:color w:val="auto"/>
                </w:rPr>
                <w:t>F-60</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80">
              <w:r>
                <w:rPr>
                  <w:rFonts w:ascii="Arial" w:cs="Arial" w:eastAsia="Arial" w:hAnsi="Arial"/>
                  <w:sz w:val="17"/>
                  <w:szCs w:val="17"/>
                  <w:u w:val="single" w:color="auto"/>
                  <w:color w:val="0000FF"/>
                </w:rPr>
                <w:t>Note 5</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0">
              <w:r>
                <w:rPr>
                  <w:rFonts w:ascii="Arial" w:cs="Arial" w:eastAsia="Arial" w:hAnsi="Arial"/>
                  <w:sz w:val="17"/>
                  <w:szCs w:val="17"/>
                  <w:u w:val="single" w:color="auto"/>
                  <w:color w:val="0000FF"/>
                </w:rPr>
                <w:t>Cash and Cash Equivalents</w:t>
              </w:r>
            </w:hyperlink>
          </w:p>
        </w:tc>
        <w:tc>
          <w:tcPr>
            <w:tcW w:w="2840" w:type="dxa"/>
            <w:vAlign w:val="bottom"/>
          </w:tcPr>
          <w:p>
            <w:pPr>
              <w:ind w:left="2320"/>
              <w:spacing w:after="0"/>
              <w:rPr>
                <w:rFonts w:ascii="Arial" w:cs="Arial" w:eastAsia="Arial" w:hAnsi="Arial"/>
                <w:sz w:val="17"/>
                <w:szCs w:val="17"/>
                <w:color w:val="auto"/>
              </w:rPr>
            </w:pPr>
            <w:hyperlink w:anchor="page280">
              <w:r>
                <w:rPr>
                  <w:rFonts w:ascii="Arial" w:cs="Arial" w:eastAsia="Arial" w:hAnsi="Arial"/>
                  <w:sz w:val="17"/>
                  <w:szCs w:val="17"/>
                  <w:color w:val="auto"/>
                </w:rPr>
                <w:t>F-63</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80">
              <w:r>
                <w:rPr>
                  <w:rFonts w:ascii="Arial" w:cs="Arial" w:eastAsia="Arial" w:hAnsi="Arial"/>
                  <w:sz w:val="17"/>
                  <w:szCs w:val="17"/>
                  <w:u w:val="single" w:color="auto"/>
                  <w:color w:val="0000FF"/>
                </w:rPr>
                <w:t>Note 6</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0">
              <w:r>
                <w:rPr>
                  <w:rFonts w:ascii="Arial" w:cs="Arial" w:eastAsia="Arial" w:hAnsi="Arial"/>
                  <w:sz w:val="17"/>
                  <w:szCs w:val="17"/>
                  <w:u w:val="single" w:color="auto"/>
                  <w:color w:val="0000FF"/>
                </w:rPr>
                <w:t>Property and Equipment</w:t>
              </w:r>
            </w:hyperlink>
          </w:p>
        </w:tc>
        <w:tc>
          <w:tcPr>
            <w:tcW w:w="2840" w:type="dxa"/>
            <w:vAlign w:val="bottom"/>
          </w:tcPr>
          <w:p>
            <w:pPr>
              <w:ind w:left="2320"/>
              <w:spacing w:after="0"/>
              <w:rPr>
                <w:rFonts w:ascii="Arial" w:cs="Arial" w:eastAsia="Arial" w:hAnsi="Arial"/>
                <w:sz w:val="17"/>
                <w:szCs w:val="17"/>
                <w:color w:val="auto"/>
              </w:rPr>
            </w:pPr>
            <w:hyperlink w:anchor="page280">
              <w:r>
                <w:rPr>
                  <w:rFonts w:ascii="Arial" w:cs="Arial" w:eastAsia="Arial" w:hAnsi="Arial"/>
                  <w:sz w:val="17"/>
                  <w:szCs w:val="17"/>
                  <w:color w:val="auto"/>
                </w:rPr>
                <w:t>F-64</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81">
              <w:r>
                <w:rPr>
                  <w:rFonts w:ascii="Arial" w:cs="Arial" w:eastAsia="Arial" w:hAnsi="Arial"/>
                  <w:sz w:val="17"/>
                  <w:szCs w:val="17"/>
                  <w:u w:val="single" w:color="auto"/>
                  <w:color w:val="0000FF"/>
                </w:rPr>
                <w:t>Note 7</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1">
              <w:r>
                <w:rPr>
                  <w:rFonts w:ascii="Arial" w:cs="Arial" w:eastAsia="Arial" w:hAnsi="Arial"/>
                  <w:sz w:val="17"/>
                  <w:szCs w:val="17"/>
                  <w:u w:val="single" w:color="auto"/>
                  <w:color w:val="0000FF"/>
                </w:rPr>
                <w:t>Goodwill and Acquired Intangible Assets</w:t>
              </w:r>
            </w:hyperlink>
          </w:p>
        </w:tc>
        <w:tc>
          <w:tcPr>
            <w:tcW w:w="2840" w:type="dxa"/>
            <w:vAlign w:val="bottom"/>
          </w:tcPr>
          <w:p>
            <w:pPr>
              <w:ind w:left="2320"/>
              <w:spacing w:after="0"/>
              <w:rPr>
                <w:rFonts w:ascii="Arial" w:cs="Arial" w:eastAsia="Arial" w:hAnsi="Arial"/>
                <w:sz w:val="17"/>
                <w:szCs w:val="17"/>
                <w:color w:val="auto"/>
              </w:rPr>
            </w:pPr>
            <w:hyperlink w:anchor="page281">
              <w:r>
                <w:rPr>
                  <w:rFonts w:ascii="Arial" w:cs="Arial" w:eastAsia="Arial" w:hAnsi="Arial"/>
                  <w:sz w:val="17"/>
                  <w:szCs w:val="17"/>
                  <w:color w:val="auto"/>
                </w:rPr>
                <w:t>F-64</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81">
              <w:r>
                <w:rPr>
                  <w:rFonts w:ascii="Arial" w:cs="Arial" w:eastAsia="Arial" w:hAnsi="Arial"/>
                  <w:sz w:val="17"/>
                  <w:szCs w:val="17"/>
                  <w:u w:val="single" w:color="auto"/>
                  <w:color w:val="0000FF"/>
                </w:rPr>
                <w:t>Note 8</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1">
              <w:r>
                <w:rPr>
                  <w:rFonts w:ascii="Arial" w:cs="Arial" w:eastAsia="Arial" w:hAnsi="Arial"/>
                  <w:sz w:val="17"/>
                  <w:szCs w:val="17"/>
                  <w:u w:val="single" w:color="auto"/>
                  <w:color w:val="0000FF"/>
                </w:rPr>
                <w:t>Financing Arrangements</w:t>
              </w:r>
            </w:hyperlink>
          </w:p>
        </w:tc>
        <w:tc>
          <w:tcPr>
            <w:tcW w:w="2840" w:type="dxa"/>
            <w:vAlign w:val="bottom"/>
          </w:tcPr>
          <w:p>
            <w:pPr>
              <w:ind w:left="2320"/>
              <w:spacing w:after="0"/>
              <w:rPr>
                <w:rFonts w:ascii="Arial" w:cs="Arial" w:eastAsia="Arial" w:hAnsi="Arial"/>
                <w:sz w:val="17"/>
                <w:szCs w:val="17"/>
                <w:color w:val="auto"/>
              </w:rPr>
            </w:pPr>
            <w:hyperlink w:anchor="page281">
              <w:r>
                <w:rPr>
                  <w:rFonts w:ascii="Arial" w:cs="Arial" w:eastAsia="Arial" w:hAnsi="Arial"/>
                  <w:sz w:val="17"/>
                  <w:szCs w:val="17"/>
                  <w:color w:val="auto"/>
                </w:rPr>
                <w:t>F-65</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84">
              <w:r>
                <w:rPr>
                  <w:rFonts w:ascii="Arial" w:cs="Arial" w:eastAsia="Arial" w:hAnsi="Arial"/>
                  <w:sz w:val="17"/>
                  <w:szCs w:val="17"/>
                  <w:u w:val="single" w:color="auto"/>
                  <w:color w:val="0000FF"/>
                </w:rPr>
                <w:t>Note 9</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4">
              <w:r>
                <w:rPr>
                  <w:rFonts w:ascii="Arial" w:cs="Arial" w:eastAsia="Arial" w:hAnsi="Arial"/>
                  <w:sz w:val="17"/>
                  <w:szCs w:val="17"/>
                  <w:u w:val="single" w:color="auto"/>
                  <w:color w:val="0000FF"/>
                </w:rPr>
                <w:t>Derivatives and Hedging Activities</w:t>
              </w:r>
            </w:hyperlink>
          </w:p>
        </w:tc>
        <w:tc>
          <w:tcPr>
            <w:tcW w:w="2840" w:type="dxa"/>
            <w:vAlign w:val="bottom"/>
          </w:tcPr>
          <w:p>
            <w:pPr>
              <w:ind w:left="2320"/>
              <w:spacing w:after="0"/>
              <w:rPr>
                <w:rFonts w:ascii="Arial" w:cs="Arial" w:eastAsia="Arial" w:hAnsi="Arial"/>
                <w:sz w:val="17"/>
                <w:szCs w:val="17"/>
                <w:color w:val="auto"/>
              </w:rPr>
            </w:pPr>
            <w:hyperlink w:anchor="page284">
              <w:r>
                <w:rPr>
                  <w:rFonts w:ascii="Arial" w:cs="Arial" w:eastAsia="Arial" w:hAnsi="Arial"/>
                  <w:sz w:val="17"/>
                  <w:szCs w:val="17"/>
                  <w:color w:val="auto"/>
                </w:rPr>
                <w:t>F-67</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86">
              <w:r>
                <w:rPr>
                  <w:rFonts w:ascii="Arial" w:cs="Arial" w:eastAsia="Arial" w:hAnsi="Arial"/>
                  <w:sz w:val="17"/>
                  <w:szCs w:val="17"/>
                  <w:u w:val="single" w:color="auto"/>
                  <w:color w:val="0000FF"/>
                </w:rPr>
                <w:t>Note 10</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6">
              <w:r>
                <w:rPr>
                  <w:rFonts w:ascii="Arial" w:cs="Arial" w:eastAsia="Arial" w:hAnsi="Arial"/>
                  <w:sz w:val="17"/>
                  <w:szCs w:val="17"/>
                  <w:u w:val="single" w:color="auto"/>
                  <w:color w:val="0000FF"/>
                </w:rPr>
                <w:t>Fair Value</w:t>
              </w:r>
            </w:hyperlink>
          </w:p>
        </w:tc>
        <w:tc>
          <w:tcPr>
            <w:tcW w:w="2840" w:type="dxa"/>
            <w:vAlign w:val="bottom"/>
          </w:tcPr>
          <w:p>
            <w:pPr>
              <w:ind w:left="2320"/>
              <w:spacing w:after="0"/>
              <w:rPr>
                <w:rFonts w:ascii="Arial" w:cs="Arial" w:eastAsia="Arial" w:hAnsi="Arial"/>
                <w:sz w:val="17"/>
                <w:szCs w:val="17"/>
                <w:color w:val="auto"/>
              </w:rPr>
            </w:pPr>
            <w:hyperlink w:anchor="page286">
              <w:r>
                <w:rPr>
                  <w:rFonts w:ascii="Arial" w:cs="Arial" w:eastAsia="Arial" w:hAnsi="Arial"/>
                  <w:sz w:val="17"/>
                  <w:szCs w:val="17"/>
                  <w:color w:val="auto"/>
                </w:rPr>
                <w:t>F-69</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87">
              <w:r>
                <w:rPr>
                  <w:rFonts w:ascii="Arial" w:cs="Arial" w:eastAsia="Arial" w:hAnsi="Arial"/>
                  <w:sz w:val="17"/>
                  <w:szCs w:val="17"/>
                  <w:u w:val="single" w:color="auto"/>
                  <w:color w:val="0000FF"/>
                </w:rPr>
                <w:t>Note 11</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7">
              <w:r>
                <w:rPr>
                  <w:rFonts w:ascii="Arial" w:cs="Arial" w:eastAsia="Arial" w:hAnsi="Arial"/>
                  <w:sz w:val="17"/>
                  <w:szCs w:val="17"/>
                  <w:u w:val="single" w:color="auto"/>
                  <w:color w:val="0000FF"/>
                </w:rPr>
                <w:t>Commitments and Contingencies</w:t>
              </w:r>
            </w:hyperlink>
          </w:p>
        </w:tc>
        <w:tc>
          <w:tcPr>
            <w:tcW w:w="2840" w:type="dxa"/>
            <w:vAlign w:val="bottom"/>
          </w:tcPr>
          <w:p>
            <w:pPr>
              <w:ind w:left="2320"/>
              <w:spacing w:after="0"/>
              <w:rPr>
                <w:rFonts w:ascii="Arial" w:cs="Arial" w:eastAsia="Arial" w:hAnsi="Arial"/>
                <w:sz w:val="17"/>
                <w:szCs w:val="17"/>
                <w:color w:val="auto"/>
              </w:rPr>
            </w:pPr>
            <w:hyperlink w:anchor="page287">
              <w:r>
                <w:rPr>
                  <w:rFonts w:ascii="Arial" w:cs="Arial" w:eastAsia="Arial" w:hAnsi="Arial"/>
                  <w:sz w:val="17"/>
                  <w:szCs w:val="17"/>
                  <w:color w:val="auto"/>
                </w:rPr>
                <w:t>F-70</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87">
              <w:r>
                <w:rPr>
                  <w:rFonts w:ascii="Arial" w:cs="Arial" w:eastAsia="Arial" w:hAnsi="Arial"/>
                  <w:sz w:val="17"/>
                  <w:szCs w:val="17"/>
                  <w:u w:val="single" w:color="auto"/>
                  <w:color w:val="0000FF"/>
                </w:rPr>
                <w:t>Note 12</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7">
              <w:r>
                <w:rPr>
                  <w:rFonts w:ascii="Arial" w:cs="Arial" w:eastAsia="Arial" w:hAnsi="Arial"/>
                  <w:sz w:val="17"/>
                  <w:szCs w:val="17"/>
                  <w:u w:val="single" w:color="auto"/>
                  <w:color w:val="0000FF"/>
                </w:rPr>
                <w:t>Noncontrolling Interest</w:t>
              </w:r>
            </w:hyperlink>
          </w:p>
        </w:tc>
        <w:tc>
          <w:tcPr>
            <w:tcW w:w="2840" w:type="dxa"/>
            <w:vAlign w:val="bottom"/>
          </w:tcPr>
          <w:p>
            <w:pPr>
              <w:ind w:left="2320"/>
              <w:spacing w:after="0"/>
              <w:rPr>
                <w:rFonts w:ascii="Arial" w:cs="Arial" w:eastAsia="Arial" w:hAnsi="Arial"/>
                <w:sz w:val="17"/>
                <w:szCs w:val="17"/>
                <w:color w:val="auto"/>
              </w:rPr>
            </w:pPr>
            <w:hyperlink w:anchor="page287">
              <w:r>
                <w:rPr>
                  <w:rFonts w:ascii="Arial" w:cs="Arial" w:eastAsia="Arial" w:hAnsi="Arial"/>
                  <w:sz w:val="17"/>
                  <w:szCs w:val="17"/>
                  <w:color w:val="auto"/>
                </w:rPr>
                <w:t>F-71</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88">
              <w:r>
                <w:rPr>
                  <w:rFonts w:ascii="Arial" w:cs="Arial" w:eastAsia="Arial" w:hAnsi="Arial"/>
                  <w:sz w:val="17"/>
                  <w:szCs w:val="17"/>
                  <w:u w:val="single" w:color="auto"/>
                  <w:color w:val="0000FF"/>
                </w:rPr>
                <w:t>Note 13</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88">
              <w:r>
                <w:rPr>
                  <w:rFonts w:ascii="Arial" w:cs="Arial" w:eastAsia="Arial" w:hAnsi="Arial"/>
                  <w:sz w:val="17"/>
                  <w:szCs w:val="17"/>
                  <w:u w:val="single" w:color="auto"/>
                  <w:color w:val="0000FF"/>
                </w:rPr>
                <w:t>Earnings Per Share</w:t>
              </w:r>
            </w:hyperlink>
          </w:p>
        </w:tc>
        <w:tc>
          <w:tcPr>
            <w:tcW w:w="2840" w:type="dxa"/>
            <w:vAlign w:val="bottom"/>
          </w:tcPr>
          <w:p>
            <w:pPr>
              <w:ind w:left="2320"/>
              <w:spacing w:after="0"/>
              <w:rPr>
                <w:rFonts w:ascii="Arial" w:cs="Arial" w:eastAsia="Arial" w:hAnsi="Arial"/>
                <w:sz w:val="17"/>
                <w:szCs w:val="17"/>
                <w:color w:val="auto"/>
              </w:rPr>
            </w:pPr>
            <w:hyperlink w:anchor="page288">
              <w:r>
                <w:rPr>
                  <w:rFonts w:ascii="Arial" w:cs="Arial" w:eastAsia="Arial" w:hAnsi="Arial"/>
                  <w:sz w:val="17"/>
                  <w:szCs w:val="17"/>
                  <w:color w:val="auto"/>
                </w:rPr>
                <w:t>F-71</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90">
              <w:r>
                <w:rPr>
                  <w:rFonts w:ascii="Arial" w:cs="Arial" w:eastAsia="Arial" w:hAnsi="Arial"/>
                  <w:sz w:val="17"/>
                  <w:szCs w:val="17"/>
                  <w:u w:val="single" w:color="auto"/>
                  <w:color w:val="0000FF"/>
                </w:rPr>
                <w:t>Note 14</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0">
              <w:r>
                <w:rPr>
                  <w:rFonts w:ascii="Arial" w:cs="Arial" w:eastAsia="Arial" w:hAnsi="Arial"/>
                  <w:sz w:val="17"/>
                  <w:szCs w:val="17"/>
                  <w:u w:val="single" w:color="auto"/>
                  <w:color w:val="0000FF"/>
                </w:rPr>
                <w:t>Leases</w:t>
              </w:r>
            </w:hyperlink>
          </w:p>
        </w:tc>
        <w:tc>
          <w:tcPr>
            <w:tcW w:w="2840" w:type="dxa"/>
            <w:vAlign w:val="bottom"/>
          </w:tcPr>
          <w:p>
            <w:pPr>
              <w:ind w:left="2320"/>
              <w:spacing w:after="0"/>
              <w:rPr>
                <w:rFonts w:ascii="Arial" w:cs="Arial" w:eastAsia="Arial" w:hAnsi="Arial"/>
                <w:sz w:val="17"/>
                <w:szCs w:val="17"/>
                <w:color w:val="auto"/>
              </w:rPr>
            </w:pPr>
            <w:hyperlink w:anchor="page290">
              <w:r>
                <w:rPr>
                  <w:rFonts w:ascii="Arial" w:cs="Arial" w:eastAsia="Arial" w:hAnsi="Arial"/>
                  <w:sz w:val="17"/>
                  <w:szCs w:val="17"/>
                  <w:color w:val="auto"/>
                </w:rPr>
                <w:t>F-73</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91">
              <w:r>
                <w:rPr>
                  <w:rFonts w:ascii="Arial" w:cs="Arial" w:eastAsia="Arial" w:hAnsi="Arial"/>
                  <w:sz w:val="17"/>
                  <w:szCs w:val="17"/>
                  <w:u w:val="single" w:color="auto"/>
                  <w:color w:val="0000FF"/>
                </w:rPr>
                <w:t>Note 15</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1">
              <w:r>
                <w:rPr>
                  <w:rFonts w:ascii="Arial" w:cs="Arial" w:eastAsia="Arial" w:hAnsi="Arial"/>
                  <w:sz w:val="17"/>
                  <w:szCs w:val="17"/>
                  <w:u w:val="single" w:color="auto"/>
                  <w:color w:val="0000FF"/>
                </w:rPr>
                <w:t>Redeemable Series A Preferred Units</w:t>
              </w:r>
            </w:hyperlink>
          </w:p>
        </w:tc>
        <w:tc>
          <w:tcPr>
            <w:tcW w:w="2840" w:type="dxa"/>
            <w:vAlign w:val="bottom"/>
          </w:tcPr>
          <w:p>
            <w:pPr>
              <w:ind w:left="2320"/>
              <w:spacing w:after="0"/>
              <w:rPr>
                <w:rFonts w:ascii="Arial" w:cs="Arial" w:eastAsia="Arial" w:hAnsi="Arial"/>
                <w:sz w:val="17"/>
                <w:szCs w:val="17"/>
                <w:color w:val="auto"/>
              </w:rPr>
            </w:pPr>
            <w:hyperlink w:anchor="page291">
              <w:r>
                <w:rPr>
                  <w:rFonts w:ascii="Arial" w:cs="Arial" w:eastAsia="Arial" w:hAnsi="Arial"/>
                  <w:sz w:val="17"/>
                  <w:szCs w:val="17"/>
                  <w:color w:val="auto"/>
                </w:rPr>
                <w:t>F-75</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92">
              <w:r>
                <w:rPr>
                  <w:rFonts w:ascii="Arial" w:cs="Arial" w:eastAsia="Arial" w:hAnsi="Arial"/>
                  <w:sz w:val="17"/>
                  <w:szCs w:val="17"/>
                  <w:u w:val="single" w:color="auto"/>
                  <w:color w:val="0000FF"/>
                </w:rPr>
                <w:t>Note 16</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2">
              <w:r>
                <w:rPr>
                  <w:rFonts w:ascii="Arial" w:cs="Arial" w:eastAsia="Arial" w:hAnsi="Arial"/>
                  <w:sz w:val="17"/>
                  <w:szCs w:val="17"/>
                  <w:u w:val="single" w:color="auto"/>
                  <w:color w:val="0000FF"/>
                </w:rPr>
                <w:t>Equity-Based Compensation</w:t>
              </w:r>
            </w:hyperlink>
          </w:p>
        </w:tc>
        <w:tc>
          <w:tcPr>
            <w:tcW w:w="2840" w:type="dxa"/>
            <w:vAlign w:val="bottom"/>
          </w:tcPr>
          <w:p>
            <w:pPr>
              <w:ind w:left="2320"/>
              <w:spacing w:after="0"/>
              <w:rPr>
                <w:rFonts w:ascii="Arial" w:cs="Arial" w:eastAsia="Arial" w:hAnsi="Arial"/>
                <w:sz w:val="17"/>
                <w:szCs w:val="17"/>
                <w:color w:val="auto"/>
              </w:rPr>
            </w:pPr>
            <w:hyperlink w:anchor="page292">
              <w:r>
                <w:rPr>
                  <w:rFonts w:ascii="Arial" w:cs="Arial" w:eastAsia="Arial" w:hAnsi="Arial"/>
                  <w:sz w:val="17"/>
                  <w:szCs w:val="17"/>
                  <w:color w:val="auto"/>
                </w:rPr>
                <w:t>F-75</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97">
              <w:r>
                <w:rPr>
                  <w:rFonts w:ascii="Arial" w:cs="Arial" w:eastAsia="Arial" w:hAnsi="Arial"/>
                  <w:sz w:val="17"/>
                  <w:szCs w:val="17"/>
                  <w:u w:val="single" w:color="auto"/>
                  <w:color w:val="0000FF"/>
                </w:rPr>
                <w:t>Note 17</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7">
              <w:r>
                <w:rPr>
                  <w:rFonts w:ascii="Arial" w:cs="Arial" w:eastAsia="Arial" w:hAnsi="Arial"/>
                  <w:sz w:val="17"/>
                  <w:szCs w:val="17"/>
                  <w:u w:val="single" w:color="auto"/>
                  <w:color w:val="0000FF"/>
                </w:rPr>
                <w:t>Income Taxes</w:t>
              </w:r>
            </w:hyperlink>
          </w:p>
        </w:tc>
        <w:tc>
          <w:tcPr>
            <w:tcW w:w="2840" w:type="dxa"/>
            <w:vAlign w:val="bottom"/>
          </w:tcPr>
          <w:p>
            <w:pPr>
              <w:ind w:left="2320"/>
              <w:spacing w:after="0"/>
              <w:rPr>
                <w:rFonts w:ascii="Arial" w:cs="Arial" w:eastAsia="Arial" w:hAnsi="Arial"/>
                <w:sz w:val="17"/>
                <w:szCs w:val="17"/>
                <w:color w:val="auto"/>
              </w:rPr>
            </w:pPr>
            <w:hyperlink w:anchor="page297">
              <w:r>
                <w:rPr>
                  <w:rFonts w:ascii="Arial" w:cs="Arial" w:eastAsia="Arial" w:hAnsi="Arial"/>
                  <w:sz w:val="17"/>
                  <w:szCs w:val="17"/>
                  <w:color w:val="auto"/>
                </w:rPr>
                <w:t>F-80</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298">
              <w:r>
                <w:rPr>
                  <w:rFonts w:ascii="Arial" w:cs="Arial" w:eastAsia="Arial" w:hAnsi="Arial"/>
                  <w:sz w:val="17"/>
                  <w:szCs w:val="17"/>
                  <w:u w:val="single" w:color="auto"/>
                  <w:color w:val="0000FF"/>
                </w:rPr>
                <w:t>Note 18</w:t>
              </w:r>
            </w:hyperlink>
          </w:p>
        </w:tc>
        <w:tc>
          <w:tcPr>
            <w:tcW w:w="7500" w:type="dxa"/>
            <w:vAlign w:val="bottom"/>
          </w:tcPr>
          <w:p>
            <w:pPr>
              <w:ind w:left="340"/>
              <w:spacing w:after="0"/>
              <w:rPr>
                <w:rFonts w:ascii="Arial" w:cs="Arial" w:eastAsia="Arial" w:hAnsi="Arial"/>
                <w:sz w:val="17"/>
                <w:szCs w:val="17"/>
                <w:u w:val="single" w:color="auto"/>
                <w:color w:val="0000FF"/>
              </w:rPr>
            </w:pPr>
            <w:hyperlink w:anchor="page298">
              <w:r>
                <w:rPr>
                  <w:rFonts w:ascii="Arial" w:cs="Arial" w:eastAsia="Arial" w:hAnsi="Arial"/>
                  <w:sz w:val="17"/>
                  <w:szCs w:val="17"/>
                  <w:u w:val="single" w:color="auto"/>
                  <w:color w:val="0000FF"/>
                </w:rPr>
                <w:t>Subsequent Events</w:t>
              </w:r>
            </w:hyperlink>
          </w:p>
        </w:tc>
        <w:tc>
          <w:tcPr>
            <w:tcW w:w="2840" w:type="dxa"/>
            <w:vAlign w:val="bottom"/>
          </w:tcPr>
          <w:p>
            <w:pPr>
              <w:ind w:left="2320"/>
              <w:spacing w:after="0"/>
              <w:rPr>
                <w:rFonts w:ascii="Arial" w:cs="Arial" w:eastAsia="Arial" w:hAnsi="Arial"/>
                <w:sz w:val="17"/>
                <w:szCs w:val="17"/>
                <w:color w:val="auto"/>
              </w:rPr>
            </w:pPr>
            <w:r>
              <w:rPr>
                <w:rFonts w:ascii="Arial" w:cs="Arial" w:eastAsia="Arial" w:hAnsi="Arial"/>
                <w:sz w:val="17"/>
                <w:szCs w:val="17"/>
                <w:color w:val="auto"/>
              </w:rPr>
              <w:t>F-</w:t>
            </w:r>
            <w:hyperlink w:anchor="page298">
              <w:r>
                <w:rPr>
                  <w:rFonts w:ascii="Arial" w:cs="Arial" w:eastAsia="Arial" w:hAnsi="Arial"/>
                  <w:sz w:val="17"/>
                  <w:szCs w:val="17"/>
                  <w:color w:val="auto"/>
                </w:rPr>
                <w:t>81</w:t>
              </w:r>
            </w:hyperlink>
          </w:p>
        </w:tc>
      </w:tr>
      <w:tr>
        <w:trPr>
          <w:trHeight w:val="786"/>
        </w:trPr>
        <w:tc>
          <w:tcPr>
            <w:tcW w:w="900" w:type="dxa"/>
            <w:vAlign w:val="bottom"/>
          </w:tcPr>
          <w:p>
            <w:pPr>
              <w:spacing w:after="0"/>
              <w:rPr>
                <w:sz w:val="24"/>
                <w:szCs w:val="24"/>
                <w:color w:val="auto"/>
              </w:rPr>
            </w:pPr>
          </w:p>
        </w:tc>
        <w:tc>
          <w:tcPr>
            <w:tcW w:w="7500" w:type="dxa"/>
            <w:vAlign w:val="bottom"/>
          </w:tcPr>
          <w:p>
            <w:pPr>
              <w:ind w:left="4560"/>
              <w:spacing w:after="0"/>
              <w:rPr>
                <w:sz w:val="20"/>
                <w:szCs w:val="20"/>
                <w:color w:val="auto"/>
              </w:rPr>
            </w:pPr>
            <w:r>
              <w:rPr>
                <w:rFonts w:ascii="Arial" w:cs="Arial" w:eastAsia="Arial" w:hAnsi="Arial"/>
                <w:sz w:val="17"/>
                <w:szCs w:val="17"/>
                <w:color w:val="auto"/>
              </w:rPr>
              <w:t>F-49</w:t>
            </w:r>
          </w:p>
        </w:tc>
        <w:tc>
          <w:tcPr>
            <w:tcW w:w="2840" w:type="dxa"/>
            <w:vAlign w:val="bottom"/>
          </w:tcPr>
          <w:p>
            <w:pPr>
              <w:spacing w:after="0"/>
              <w:rPr>
                <w:sz w:val="24"/>
                <w:szCs w:val="24"/>
                <w:color w:val="auto"/>
              </w:rPr>
            </w:pPr>
          </w:p>
        </w:tc>
      </w:tr>
      <w:tr>
        <w:trPr>
          <w:trHeight w:val="651"/>
        </w:trPr>
        <w:tc>
          <w:tcPr>
            <w:tcW w:w="90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66" w:name="page267"/>
    <w:bookmarkEnd w:id="266"/>
    <w:p>
      <w:pPr>
        <w:spacing w:after="0"/>
        <w:rPr>
          <w:sz w:val="20"/>
          <w:szCs w:val="20"/>
          <w:color w:val="auto"/>
        </w:rPr>
      </w:pPr>
      <w:r>
        <w:rPr>
          <w:rFonts w:ascii="Arial" w:cs="Arial" w:eastAsia="Arial" w:hAnsi="Arial"/>
          <w:sz w:val="17"/>
          <w:szCs w:val="17"/>
          <w:b w:val="1"/>
          <w:bCs w:val="1"/>
          <w:color w:val="auto"/>
        </w:rPr>
        <w:t>Note 1 - Organization and Background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w:t>
      </w:r>
    </w:p>
    <w:p>
      <w:pPr>
        <w:spacing w:after="0" w:line="165"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ZoomInfo Technologies Inc. through its operating subsidiaries provides a go-to-market intelligence platform for sales and marketing teams. The Company’s cloud-based platform provides accurate and comprehensive information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130" w:lineRule="exact"/>
        <w:rPr>
          <w:sz w:val="20"/>
          <w:szCs w:val="20"/>
          <w:color w:val="auto"/>
        </w:rPr>
      </w:pPr>
    </w:p>
    <w:p>
      <w:pPr>
        <w:ind w:right="1820" w:firstLine="309"/>
        <w:spacing w:after="0" w:line="442" w:lineRule="auto"/>
        <w:rPr>
          <w:sz w:val="20"/>
          <w:szCs w:val="20"/>
          <w:color w:val="auto"/>
        </w:rPr>
      </w:pPr>
      <w:r>
        <w:rPr>
          <w:rFonts w:ascii="Arial" w:cs="Arial" w:eastAsia="Arial" w:hAnsi="Arial"/>
          <w:sz w:val="17"/>
          <w:szCs w:val="17"/>
          <w:color w:val="auto"/>
        </w:rPr>
        <w:t xml:space="preserve">The Company headquarters are located in Vancouver, WA, and we operate in six offices throughout the U.S. and one office in Israel. </w:t>
      </w:r>
      <w:r>
        <w:rPr>
          <w:rFonts w:ascii="Arial" w:cs="Arial" w:eastAsia="Arial" w:hAnsi="Arial"/>
          <w:sz w:val="17"/>
          <w:szCs w:val="17"/>
          <w:b w:val="1"/>
          <w:bCs w:val="1"/>
          <w:i w:val="1"/>
          <w:iCs w:val="1"/>
          <w:color w:val="auto"/>
        </w:rPr>
        <w:t>Initial Public Offering</w:t>
      </w:r>
    </w:p>
    <w:p>
      <w:pPr>
        <w:spacing w:after="0" w:line="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 Transactions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the IPO, the Company completed the following transactions (“Reorganization Transactions”):</w:t>
      </w:r>
    </w:p>
    <w:p>
      <w:pPr>
        <w:spacing w:after="0" w:line="165" w:lineRule="exact"/>
        <w:rPr>
          <w:sz w:val="20"/>
          <w:szCs w:val="20"/>
          <w:color w:val="auto"/>
        </w:rPr>
      </w:pPr>
    </w:p>
    <w:p>
      <w:pPr>
        <w:ind w:left="620" w:hanging="308"/>
        <w:spacing w:after="0"/>
        <w:tabs>
          <w:tab w:leader="none" w:pos="6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ZoomInfo OpCo effected a four—for—one reverse unit split;</w:t>
      </w:r>
    </w:p>
    <w:p>
      <w:pPr>
        <w:spacing w:after="0" w:line="165" w:lineRule="exact"/>
        <w:rPr>
          <w:rFonts w:ascii="Arial" w:cs="Arial" w:eastAsia="Arial" w:hAnsi="Arial"/>
          <w:sz w:val="17"/>
          <w:szCs w:val="17"/>
          <w:color w:val="auto"/>
        </w:rPr>
      </w:pPr>
    </w:p>
    <w:p>
      <w:pPr>
        <w:jc w:val="both"/>
        <w:ind w:left="620" w:hanging="308"/>
        <w:spacing w:after="0" w:line="258" w:lineRule="auto"/>
        <w:tabs>
          <w:tab w:leader="none" w:pos="61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129" w:lineRule="exact"/>
        <w:rPr>
          <w:rFonts w:ascii="Arial" w:cs="Arial" w:eastAsia="Arial" w:hAnsi="Arial"/>
          <w:sz w:val="17"/>
          <w:szCs w:val="17"/>
          <w:color w:val="auto"/>
        </w:rPr>
      </w:pPr>
    </w:p>
    <w:p>
      <w:pPr>
        <w:ind w:left="620" w:hanging="308"/>
        <w:spacing w:after="0" w:line="279" w:lineRule="auto"/>
        <w:tabs>
          <w:tab w:leader="none" w:pos="61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certain pre-IPO owners acquired interests in ZoomInfo HoldCo as a result of the merger of an entity that held OpCo Units on behalf of such pre-IPO owners into ZoomInfo HoldCo (the “ZoomInfo HoldCo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67" w:name="page268"/>
    <w:bookmarkEnd w:id="267"/>
    <w:p>
      <w:pPr>
        <w:spacing w:after="0"/>
        <w:rPr>
          <w:sz w:val="20"/>
          <w:szCs w:val="20"/>
          <w:color w:val="auto"/>
        </w:rPr>
      </w:pPr>
      <w:r>
        <w:rPr>
          <w:rFonts w:ascii="Arial" w:cs="Arial" w:eastAsia="Arial" w:hAnsi="Arial"/>
          <w:sz w:val="17"/>
          <w:szCs w:val="17"/>
          <w:b w:val="1"/>
          <w:bCs w:val="1"/>
          <w:color w:val="auto"/>
        </w:rPr>
        <w:t>Note 1 - Organization and Background (continued)</w:t>
      </w:r>
    </w:p>
    <w:p>
      <w:pPr>
        <w:spacing w:after="0" w:line="200" w:lineRule="exact"/>
        <w:rPr>
          <w:sz w:val="20"/>
          <w:szCs w:val="20"/>
          <w:color w:val="auto"/>
        </w:rPr>
      </w:pPr>
    </w:p>
    <w:p>
      <w:pPr>
        <w:spacing w:after="0" w:line="3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Contributions”) and the redemption of some OpCo Units pursuant to which the holders of such OpCo Units received HoldCo Units; and</w:t>
      </w:r>
    </w:p>
    <w:p>
      <w:pPr>
        <w:spacing w:after="0" w:line="165" w:lineRule="exact"/>
        <w:rPr>
          <w:sz w:val="20"/>
          <w:szCs w:val="20"/>
          <w:color w:val="auto"/>
        </w:rPr>
      </w:pPr>
    </w:p>
    <w:p>
      <w:pPr>
        <w:jc w:val="both"/>
        <w:ind w:left="620" w:hanging="308"/>
        <w:spacing w:after="0" w:line="261" w:lineRule="auto"/>
        <w:tabs>
          <w:tab w:leader="none" w:pos="61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8"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As of September 30, 2020, ZoomInfo Technologies Inc. owned 98% of the outstanding HoldCo Units, and ZoomInfo HoldCo owned 42% of the outstanding OpCo Units.</w:t>
      </w:r>
    </w:p>
    <w:p>
      <w:pPr>
        <w:spacing w:after="0" w:line="135" w:lineRule="exact"/>
        <w:rPr>
          <w:sz w:val="20"/>
          <w:szCs w:val="20"/>
          <w:color w:val="auto"/>
        </w:rPr>
      </w:pPr>
    </w:p>
    <w:p>
      <w:pPr>
        <w:ind w:right="540" w:firstLine="309"/>
        <w:spacing w:after="0" w:line="527" w:lineRule="auto"/>
        <w:rPr>
          <w:sz w:val="20"/>
          <w:szCs w:val="20"/>
          <w:color w:val="auto"/>
        </w:rPr>
      </w:pPr>
      <w:r>
        <w:rPr>
          <w:rFonts w:ascii="Arial" w:cs="Arial" w:eastAsia="Arial" w:hAnsi="Arial"/>
          <w:sz w:val="17"/>
          <w:szCs w:val="17"/>
          <w:color w:val="auto"/>
        </w:rPr>
        <w:t xml:space="preserve">In connection with the Reorganization Transactions and the IPO, ZoomInfo Technologies Inc. entered into two tax receivable agreements. See Note 17. </w:t>
      </w:r>
      <w:r>
        <w:rPr>
          <w:rFonts w:ascii="Arial" w:cs="Arial" w:eastAsia="Arial" w:hAnsi="Arial"/>
          <w:sz w:val="17"/>
          <w:szCs w:val="17"/>
          <w:b w:val="1"/>
          <w:bCs w:val="1"/>
          <w:color w:val="auto"/>
        </w:rPr>
        <w:t xml:space="preserve">Note 2 - Basis of Presentation and Summary of Significant Accounting Policies </w:t>
      </w:r>
      <w:r>
        <w:rPr>
          <w:rFonts w:ascii="Arial" w:cs="Arial" w:eastAsia="Arial" w:hAnsi="Arial"/>
          <w:sz w:val="17"/>
          <w:szCs w:val="17"/>
          <w:b w:val="1"/>
          <w:bCs w:val="1"/>
          <w:i w:val="1"/>
          <w:iCs w:val="1"/>
          <w:color w:val="auto"/>
        </w:rPr>
        <w:t>Basis of Presentation</w:t>
      </w:r>
    </w:p>
    <w:p>
      <w:pPr>
        <w:spacing w:after="0" w:line="2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2019.</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results of operations for the three and nine months ended September 30, 2020 are not necessarily indicative of the operating results that may be expected for the full fiscal year ending December 31, 2020 or any future period.</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accompanying unaudited consolidated financial statements contain all adjustments necessary for a fair statement of financial position as of September 30, 2020, and results of operations for the three and nine months ended September 30, 2020 and 2019, and cash flows for the nine months ended September 30, 2020 and 2019. The Condensed Consolidated Balance Sheet as of December 31, 2019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268" w:name="page269"/>
    <w:bookmarkEnd w:id="268"/>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ZoomInfo Technologies Inc., through our intermediate holding company ZoomInfo Holdco, owns a minority economic interest in, and operates and controls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Accordingly, ZoomInfo Technologies Inc. has prepared these consolidated financial statements in accordance with Accounting Standards Codification (“ASC”) Topic 810, Consolidation (“Topic 810”). Topic 810 requires that if an entity is the primary beneficiary of a VIE, the assets, liabilities, and results of operations of the variable interest entity should be included in the consolidated financial statements of such entity.</w:t>
      </w:r>
    </w:p>
    <w:p>
      <w:pPr>
        <w:spacing w:after="0" w:line="132"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 (i) 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non-cancellable. We typically bill for services annually, semi-annually, or quarterly in advance of delivery.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accounts for revenue contracts with customers through the following steps:</w:t>
      </w:r>
    </w:p>
    <w:p>
      <w:pPr>
        <w:spacing w:after="0" w:line="165" w:lineRule="exact"/>
        <w:rPr>
          <w:sz w:val="20"/>
          <w:szCs w:val="20"/>
          <w:color w:val="auto"/>
        </w:rPr>
      </w:pPr>
    </w:p>
    <w:p>
      <w:pPr>
        <w:ind w:left="620" w:hanging="308"/>
        <w:spacing w:after="0"/>
        <w:tabs>
          <w:tab w:leader="none" w:pos="6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identify the contract with a customer;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allocate the transaction price;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69" w:name="page270"/>
    <w:bookmarkEnd w:id="269"/>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 recognize revenue when or as the Company satisfies a performance obligation.</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Accounting Standard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Topic 606 (collectively with subsequent amendments, “Topic 606”). The Company estimates these amounts based on historical experience and reduces revenue recognized.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Cash equivalents consist of highly liquid marketable debt securities with remaining maturities of three months or less at the date of purchase. We classify our investments in marketable debt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in our Condensed Consolidated Balance Sheets. Gains and losses are determined using the specific identification method and recognized when realized in our Consolidated Statements of Operations. If we were to determine that an other-than-temporary decline in fair value has occurred, the amount of the decline related to a credit loss shall be recognized in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inputs or methodology used for valuing financial assets and liabilities are not necessarily an indication of the risk associated with investing in them.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Customers</w:t>
      </w:r>
    </w:p>
    <w:p>
      <w:pPr>
        <w:spacing w:after="0" w:line="165"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0" w:name="page271"/>
    <w:bookmarkEnd w:id="270"/>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expectations. No single customer accounted for 10% or more of our revenue for the three and nine months ended September 30, 2020 and 2019, or accounted for more than 10% of accounts receivable as of September 30, 2020 and December 31, 2019. Net assets located outside of the United States were immaterial as of September 30, 2020 and December 31, 2019.</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Contract Assets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Accounts receivable is comprised of invoices of revenue, net of allowance for doubtful accounts and does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September 30, 2020 and December 31, 2019.</w:t>
      </w:r>
    </w:p>
    <w:p>
      <w:pPr>
        <w:spacing w:after="0" w:line="11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Contract assets represent a contractual right to consideration in the future. Contract assets are generated when contractual billing schedules differ from revenue recognition timing.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Commissions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Arial" w:cs="Arial" w:eastAsia="Arial" w:hAnsi="Arial"/>
          <w:sz w:val="17"/>
          <w:szCs w:val="17"/>
          <w:i w:val="1"/>
          <w:iCs w:val="1"/>
          <w:color w:val="auto"/>
        </w:rPr>
        <w:t>Deferred costs</w:t>
      </w:r>
      <w:r>
        <w:rPr>
          <w:rFonts w:ascii="Arial" w:cs="Arial" w:eastAsia="Arial" w:hAnsi="Arial"/>
          <w:sz w:val="17"/>
          <w:szCs w:val="17"/>
          <w:color w:val="auto"/>
        </w:rPr>
        <w:t xml:space="preserve"> and noncurrent amounts are included in </w:t>
      </w:r>
      <w:r>
        <w:rPr>
          <w:rFonts w:ascii="Arial" w:cs="Arial" w:eastAsia="Arial" w:hAnsi="Arial"/>
          <w:sz w:val="17"/>
          <w:szCs w:val="17"/>
          <w:i w:val="1"/>
          <w:iCs w:val="1"/>
          <w:color w:val="auto"/>
        </w:rPr>
        <w:t>Deferred costs, net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current portion </w:t>
      </w:r>
      <w:r>
        <w:rPr>
          <w:rFonts w:ascii="Arial" w:cs="Arial" w:eastAsia="Arial" w:hAnsi="Arial"/>
          <w:sz w:val="17"/>
          <w:szCs w:val="17"/>
          <w:color w:val="auto"/>
        </w:rPr>
        <w:t>in our Condensed Consolidated Balance Sheets. Deferred sales commissions are amortized on a straight-line basis over the estimated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Sales and marketing expense on the Consolidated Statements of Operations.</w:t>
      </w:r>
    </w:p>
    <w:p>
      <w:pPr>
        <w:spacing w:after="0" w:line="130" w:lineRule="exact"/>
        <w:rPr>
          <w:sz w:val="20"/>
          <w:szCs w:val="20"/>
          <w:color w:val="auto"/>
        </w:rPr>
      </w:pPr>
    </w:p>
    <w:p>
      <w:pPr>
        <w:ind w:right="540" w:firstLine="309"/>
        <w:spacing w:after="0" w:line="442" w:lineRule="auto"/>
        <w:rPr>
          <w:sz w:val="20"/>
          <w:szCs w:val="20"/>
          <w:color w:val="auto"/>
        </w:rPr>
      </w:pPr>
      <w:r>
        <w:rPr>
          <w:rFonts w:ascii="Arial" w:cs="Arial" w:eastAsia="Arial" w:hAnsi="Arial"/>
          <w:sz w:val="17"/>
          <w:szCs w:val="17"/>
          <w:color w:val="auto"/>
        </w:rPr>
        <w:t xml:space="preserve">Certain commissions are not capitalized as they do not represent incremental costs of obtaining a contract. Such commissions are expensed as incurred. </w:t>
      </w:r>
      <w:r>
        <w:rPr>
          <w:rFonts w:ascii="Arial" w:cs="Arial" w:eastAsia="Arial" w:hAnsi="Arial"/>
          <w:sz w:val="17"/>
          <w:szCs w:val="17"/>
          <w:b w:val="1"/>
          <w:bCs w:val="1"/>
          <w:i w:val="1"/>
          <w:iCs w:val="1"/>
          <w:color w:val="auto"/>
        </w:rPr>
        <w:t>Advertising and Promotional Expenses</w:t>
      </w:r>
    </w:p>
    <w:p>
      <w:pPr>
        <w:spacing w:after="0" w:line="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expenses advertising costs as incurred in accordance with ASC 720-35, Other Expenses - Advertising Cost. Advertising expenses of $3.4 million and $8.9 million were recorded for the three and nine months ended September 30, 2020. Advertising expenses of $3.5 million and $6.9 million were recorded for the three and nine months ended September 30, 2019. Advertising expenses are included in Sales and marketing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1" w:name="page272"/>
    <w:bookmarkEnd w:id="271"/>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Transaction-Related Expenses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7"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2" w:name="page273"/>
    <w:bookmarkEnd w:id="272"/>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Acquired technology, customer lists, trade names or brand portfolios, and other intangible assets are related to previous acquisitions (see Note 7). Acquired intangible assets are amortized on a straight-line basis over the estimated period over which we expect to realize economic value related to the intangible asset. The amortization periods range from 2 years to 15 years.</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under ASC 350 is necessary. No impairment charges were recorded for the three and nine month periods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30"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We do not have any finance leases. Operating leases are recorded in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Unearned Revenue</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3" w:name="page274"/>
    <w:bookmarkEnd w:id="273"/>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is comprised of two limited liability companies that are treated as partnerships for tax purposes, ten limited liability companies that are single member entities and disregarded for tax purposes, four corporations, and one foreign entity.</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123"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23"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89"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 Expense</w:t>
      </w:r>
    </w:p>
    <w:p>
      <w:pPr>
        <w:spacing w:after="0" w:line="16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accounts for incentive units in accordance with ASC 718, Compensation-Stock Compensation (ASC 718). In accordance with ASC 718, compensation expense is measured at estimated fair value of the incentive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4" w:name="page275"/>
    <w:bookmarkEnd w:id="274"/>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units and is included as compensation expense over the vesting period during which an employee provides service in exchange for the award.</w:t>
      </w:r>
    </w:p>
    <w:p>
      <w:pPr>
        <w:spacing w:after="0" w:line="165"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96"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165"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3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5" w:name="page276"/>
    <w:bookmarkEnd w:id="275"/>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Detail</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comprised the following service offerings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0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millions)</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Subscription</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199.2</w:t>
            </w:r>
          </w:p>
        </w:tc>
      </w:tr>
      <w:tr>
        <w:trPr>
          <w:trHeight w:val="218"/>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Usage-based</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1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Usage-based revenue is comprised largely of email verification services, which is a service whereby customers can verify that emails are valid prior to sending and can be helpful to avoid wasting resources or being flagged as sending spam.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8"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Of the total revenue recognized in the three and nine months ended September 30, 2020, $26.0 million and $142.8 million were included in the unearned revenue balance as of December 31, 2019, respectively. Of the total revenue recognized in the three and nine months ended September 30, 2019, $7.2 million and $46.6 million were included in the unearned revenue balance as of December 31, 2018, respectively. Revenue recognized from performance obligations satisfied (or partially satisfied) in previous periods was not material for the three and nine months ended September 30, 2020 and 2019.</w:t>
      </w:r>
    </w:p>
    <w:p>
      <w:pPr>
        <w:spacing w:after="0" w:line="11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Revenues derived from customers and partners located outside the United States, as determined based on the address provided by our customers and partners, accounted for approximately 9% and 9% of our total revenues in the three months ended September 30, 2020 and 2019, respectively. Revenues derived from customers and partners located outside the United States accounted for approximately 9% and 8% of our total revenues in the nine months ended September 30, 2020 and 2019, respectively. We have no Company sales offices located in a foreign country as of September 30, 2020, and we contract exclusively with our customers in the United States Dollar.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Unearned Revenue</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28"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6" w:name="page277"/>
    <w:bookmarkEnd w:id="276"/>
    <w:p>
      <w:pPr>
        <w:spacing w:after="0"/>
        <w:rPr>
          <w:sz w:val="20"/>
          <w:szCs w:val="20"/>
          <w:color w:val="auto"/>
        </w:rPr>
      </w:pPr>
      <w:r>
        <w:rPr>
          <w:rFonts w:ascii="Arial" w:cs="Arial" w:eastAsia="Arial" w:hAnsi="Arial"/>
          <w:sz w:val="17"/>
          <w:szCs w:val="17"/>
          <w:b w:val="1"/>
          <w:bCs w:val="1"/>
          <w:color w:val="auto"/>
        </w:rPr>
        <w:t>Note 3 - Revenue from Contracts with Customers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new business timing within the quarter. The unearned revenue balance does not represent the total contract value of annual or multi-year, non-cancelable subscription agreements.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As of September 30, 2020 and December 31, 2019, the Company had contract assets of $2.1 million and $0.1 million, respectively, which are recorded as current assets within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in the Company’s Condensed Consolidated Balance Sheets. As of September 30, 2020 and December 31, 2019, the Company had unearned revenue of $176.0 million and $159.1 million, respectively.</w:t>
      </w:r>
    </w:p>
    <w:p>
      <w:pPr>
        <w:spacing w:after="0" w:line="123"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performance obligations consisted of the following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millions)</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Recognized within one</w:t>
            </w:r>
          </w:p>
        </w:tc>
        <w:tc>
          <w:tcPr>
            <w:tcW w:w="280" w:type="dxa"/>
            <w:vAlign w:val="bottom"/>
          </w:tcPr>
          <w:p>
            <w:pPr>
              <w:spacing w:after="0"/>
              <w:rPr>
                <w:sz w:val="14"/>
                <w:szCs w:val="1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4"/>
                <w:szCs w:val="14"/>
                <w:color w:val="auto"/>
              </w:rPr>
            </w:pPr>
          </w:p>
        </w:tc>
        <w:tc>
          <w:tcPr>
            <w:tcW w:w="1200" w:type="dxa"/>
            <w:vAlign w:val="bottom"/>
            <w:vMerge w:val="restart"/>
          </w:tcPr>
          <w:p>
            <w:pPr>
              <w:jc w:val="right"/>
              <w:ind w:right="5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year</w:t>
            </w:r>
          </w:p>
        </w:tc>
        <w:tc>
          <w:tcPr>
            <w:tcW w:w="2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September 30,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349.0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108.6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457.6</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Komiko</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On October 9, 2019, through a newly formed wholly-owned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earn-out payments</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three and nine months ended September 30, 2020, the Company adjusted the Komiko contingent payment liability by $(0.4) million and $1.3 million, respectively.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23"/>
        </w:trPr>
        <w:tc>
          <w:tcPr>
            <w:tcW w:w="9680" w:type="dxa"/>
            <w:vAlign w:val="bottom"/>
          </w:tcPr>
          <w:p>
            <w:pPr>
              <w:spacing w:after="0"/>
              <w:rPr>
                <w:sz w:val="20"/>
                <w:szCs w:val="20"/>
                <w:color w:val="auto"/>
              </w:rPr>
            </w:pPr>
            <w:r>
              <w:rPr>
                <w:rFonts w:ascii="Arial" w:cs="Arial" w:eastAsia="Arial" w:hAnsi="Arial"/>
                <w:sz w:val="17"/>
                <w:szCs w:val="17"/>
                <w:b w:val="1"/>
                <w:bCs w:val="1"/>
                <w:color w:val="auto"/>
              </w:rPr>
              <w:t>Note 4 - Business Combinations (continued)</w:t>
            </w: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541"/>
        </w:trPr>
        <w:tc>
          <w:tcPr>
            <w:tcW w:w="9680" w:type="dxa"/>
            <w:vAlign w:val="bottom"/>
          </w:tcPr>
          <w:p>
            <w:pPr>
              <w:ind w:left="320"/>
              <w:spacing w:after="0"/>
              <w:rPr>
                <w:sz w:val="20"/>
                <w:szCs w:val="20"/>
                <w:color w:val="auto"/>
              </w:rPr>
            </w:pPr>
            <w:r>
              <w:rPr>
                <w:rFonts w:ascii="Arial" w:cs="Arial" w:eastAsia="Arial" w:hAnsi="Arial"/>
                <w:sz w:val="17"/>
                <w:szCs w:val="17"/>
                <w:color w:val="auto"/>
                <w:w w:val="92"/>
              </w:rPr>
              <w:t>The following table summarizes the fair values of the assets acquired and liabilities assumed, as of the date of acquisition (in millions):</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2"/>
        </w:trPr>
        <w:tc>
          <w:tcPr>
            <w:tcW w:w="9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6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2.4</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color w:val="auto"/>
                <w:w w:val="91"/>
              </w:rPr>
              <w:t>(0.2)</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2.2</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74"/>
              <w:spacing w:after="0"/>
              <w:rPr>
                <w:sz w:val="20"/>
                <w:szCs w:val="20"/>
                <w:color w:val="auto"/>
              </w:rPr>
            </w:pPr>
            <w:r>
              <w:rPr>
                <w:rFonts w:ascii="Arial" w:cs="Arial" w:eastAsia="Arial" w:hAnsi="Arial"/>
                <w:sz w:val="17"/>
                <w:szCs w:val="17"/>
                <w:color w:val="auto"/>
                <w:w w:val="92"/>
              </w:rPr>
              <w:t>6.3</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consideration</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w w:val="92"/>
              </w:rPr>
              <w:t>8.5</w:t>
            </w:r>
          </w:p>
        </w:tc>
      </w:tr>
      <w:tr>
        <w:trPr>
          <w:trHeight w:val="218"/>
        </w:trPr>
        <w:tc>
          <w:tcPr>
            <w:tcW w:w="9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Contingent earn-out payments</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454"/>
              <w:spacing w:after="0"/>
              <w:rPr>
                <w:sz w:val="20"/>
                <w:szCs w:val="20"/>
                <w:color w:val="auto"/>
              </w:rPr>
            </w:pPr>
            <w:r>
              <w:rPr>
                <w:rFonts w:ascii="Arial" w:cs="Arial" w:eastAsia="Arial" w:hAnsi="Arial"/>
                <w:sz w:val="17"/>
                <w:szCs w:val="17"/>
                <w:color w:val="auto"/>
                <w:w w:val="91"/>
              </w:rPr>
              <w:t>(0.2)</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acquisitions, net of cash acquired</w:t>
            </w: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center"/>
              <w:ind w:left="474"/>
              <w:spacing w:after="0"/>
              <w:rPr>
                <w:sz w:val="20"/>
                <w:szCs w:val="20"/>
                <w:color w:val="auto"/>
              </w:rPr>
            </w:pPr>
            <w:r>
              <w:rPr>
                <w:rFonts w:ascii="Arial" w:cs="Arial" w:eastAsia="Arial" w:hAnsi="Arial"/>
                <w:sz w:val="17"/>
                <w:szCs w:val="17"/>
                <w:color w:val="auto"/>
                <w:w w:val="92"/>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Developed technology represents the fair value of the Komiko technology portfolio. The goodwill balance is primarily attributed to the expanded market opportunities when integrating Komiko’s technology with ZoomInfo’s technology and the assembled workforce. The goodwill balance is expected to be deductible for U.S. income tax purposes.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Pre-Acquisition ZI</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On February 1, 2019, the Company, through a newly formed wholly-owned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has included the financial results of Pre-Acquisition ZI in the consolidated financial statements from the date of acquisition. The Company incurred approximately $2.7 million of transactions costs related to this acquisition which are included in </w:t>
      </w:r>
      <w:r>
        <w:rPr>
          <w:rFonts w:ascii="Arial" w:cs="Arial" w:eastAsia="Arial" w:hAnsi="Arial"/>
          <w:sz w:val="17"/>
          <w:szCs w:val="17"/>
          <w:i w:val="1"/>
          <w:iCs w:val="1"/>
          <w:color w:val="auto"/>
        </w:rPr>
        <w:t>Restructuring and transaction related expenses</w:t>
      </w:r>
      <w:r>
        <w:rPr>
          <w:rFonts w:ascii="Arial" w:cs="Arial" w:eastAsia="Arial" w:hAnsi="Arial"/>
          <w:sz w:val="17"/>
          <w:szCs w:val="17"/>
          <w:color w:val="auto"/>
        </w:rPr>
        <w:t xml:space="preserve"> in the Consolidated Statements of Operations.</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acquisition date fair value of the consideration paid by the Company for Pre-Acquisition ZI was $760.1 million, including cash acquired of $12.1 million, and was comprised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518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667.3</w:t>
            </w: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Liability for equity award settlement</w:t>
            </w:r>
          </w:p>
        </w:tc>
        <w:tc>
          <w:tcPr>
            <w:tcW w:w="4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25.2</w:t>
            </w: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Portion of replacement awards attributable to pre-acquisition service</w:t>
            </w:r>
          </w:p>
        </w:tc>
        <w:tc>
          <w:tcPr>
            <w:tcW w:w="4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Other purchase consideration liabilities</w:t>
            </w:r>
          </w:p>
        </w:tc>
        <w:tc>
          <w:tcPr>
            <w:tcW w:w="4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consideration</w:t>
            </w:r>
          </w:p>
        </w:tc>
        <w:tc>
          <w:tcPr>
            <w:tcW w:w="45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13"/>
        </w:trPr>
        <w:tc>
          <w:tcPr>
            <w:tcW w:w="510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458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760.1</w:t>
            </w:r>
          </w:p>
        </w:tc>
      </w:tr>
      <w:tr>
        <w:trPr>
          <w:trHeight w:val="20"/>
        </w:trPr>
        <w:tc>
          <w:tcPr>
            <w:tcW w:w="5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40"/>
        </w:trPr>
        <w:tc>
          <w:tcPr>
            <w:tcW w:w="5100" w:type="dxa"/>
            <w:vAlign w:val="bottom"/>
          </w:tcPr>
          <w:p>
            <w:pPr>
              <w:spacing w:after="0"/>
              <w:rPr>
                <w:sz w:val="24"/>
                <w:szCs w:val="24"/>
                <w:color w:val="auto"/>
              </w:rPr>
            </w:pPr>
          </w:p>
        </w:tc>
        <w:tc>
          <w:tcPr>
            <w:tcW w:w="5180" w:type="dxa"/>
            <w:vAlign w:val="bottom"/>
            <w:gridSpan w:val="2"/>
          </w:tcPr>
          <w:p>
            <w:pPr>
              <w:jc w:val="right"/>
              <w:ind w:right="4414"/>
              <w:spacing w:after="0"/>
              <w:rPr>
                <w:sz w:val="20"/>
                <w:szCs w:val="20"/>
                <w:color w:val="auto"/>
              </w:rPr>
            </w:pPr>
            <w:r>
              <w:rPr>
                <w:rFonts w:ascii="Arial" w:cs="Arial" w:eastAsia="Arial" w:hAnsi="Arial"/>
                <w:sz w:val="17"/>
                <w:szCs w:val="17"/>
                <w:color w:val="auto"/>
              </w:rPr>
              <w:t>F-61</w:t>
            </w:r>
          </w:p>
        </w:tc>
        <w:tc>
          <w:tcPr>
            <w:tcW w:w="960" w:type="dxa"/>
            <w:vAlign w:val="bottom"/>
          </w:tcPr>
          <w:p>
            <w:pPr>
              <w:spacing w:after="0"/>
              <w:rPr>
                <w:sz w:val="24"/>
                <w:szCs w:val="24"/>
                <w:color w:val="auto"/>
              </w:rPr>
            </w:pPr>
          </w:p>
        </w:tc>
      </w:tr>
      <w:tr>
        <w:trPr>
          <w:trHeight w:val="651"/>
        </w:trPr>
        <w:tc>
          <w:tcPr>
            <w:tcW w:w="51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8" w:name="page279"/>
    <w:bookmarkEnd w:id="278"/>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35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 xml:space="preserve">In accordance with the purchase agreement, the Company agreed to pay deferred consideration of $25.0 million and $10.0 million on the first and second anniversary of the Pre-Acquisition ZI acquisition, respectively. As of September 30, 2020, $9.9 million was recorded in </w:t>
      </w:r>
      <w:r>
        <w:rPr>
          <w:rFonts w:ascii="Arial" w:cs="Arial" w:eastAsia="Arial" w:hAnsi="Arial"/>
          <w:sz w:val="17"/>
          <w:szCs w:val="17"/>
          <w:i w:val="1"/>
          <w:iCs w:val="1"/>
          <w:color w:val="auto"/>
        </w:rPr>
        <w:t>Accrued expenses and other current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on the Company’s Condensed Consolidated Balance Sheets representing the present value of the $10.0 million deferred consideration to be paid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deferred consideration payments was determined using a present value calculation. The following table summarizes the fair values of the assets acquired and liabilities assumed, as of the date of acquisition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w:t>
            </w:r>
          </w:p>
        </w:tc>
        <w:tc>
          <w:tcPr>
            <w:tcW w:w="6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Accounts receivable</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322.0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other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identifiable net assets acquired</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w:t>
            </w:r>
          </w:p>
        </w:tc>
      </w:tr>
      <w:tr>
        <w:trPr>
          <w:trHeight w:val="218"/>
        </w:trPr>
        <w:tc>
          <w:tcPr>
            <w:tcW w:w="96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Goodwill</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514.8</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consideration</w:t>
            </w: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760.1</w:t>
            </w:r>
          </w:p>
        </w:tc>
      </w:tr>
      <w:tr>
        <w:trPr>
          <w:trHeight w:val="211"/>
        </w:trPr>
        <w:tc>
          <w:tcPr>
            <w:tcW w:w="9680" w:type="dxa"/>
            <w:vAlign w:val="bottom"/>
          </w:tcPr>
          <w:p>
            <w:pPr>
              <w:ind w:left="440"/>
              <w:spacing w:after="0"/>
              <w:rPr>
                <w:sz w:val="20"/>
                <w:szCs w:val="20"/>
                <w:color w:val="auto"/>
              </w:rPr>
            </w:pPr>
            <w:r>
              <w:rPr>
                <w:rFonts w:ascii="Arial" w:cs="Arial" w:eastAsia="Arial" w:hAnsi="Arial"/>
                <w:sz w:val="17"/>
                <w:szCs w:val="17"/>
                <w:color w:val="auto"/>
              </w:rPr>
              <w:t>Deferred consideration</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(33.2)</w:t>
            </w:r>
          </w:p>
        </w:tc>
      </w:tr>
      <w:tr>
        <w:trPr>
          <w:trHeight w:val="219"/>
        </w:trPr>
        <w:tc>
          <w:tcPr>
            <w:tcW w:w="9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acquired</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3"/>
        </w:trPr>
        <w:tc>
          <w:tcPr>
            <w:tcW w:w="9680" w:type="dxa"/>
            <w:vAlign w:val="bottom"/>
          </w:tcPr>
          <w:p>
            <w:pPr>
              <w:ind w:left="20"/>
              <w:spacing w:after="0"/>
              <w:rPr>
                <w:sz w:val="20"/>
                <w:szCs w:val="20"/>
                <w:color w:val="auto"/>
              </w:rPr>
            </w:pPr>
            <w:r>
              <w:rPr>
                <w:rFonts w:ascii="Arial" w:cs="Arial" w:eastAsia="Arial" w:hAnsi="Arial"/>
                <w:sz w:val="17"/>
                <w:szCs w:val="17"/>
                <w:color w:val="auto"/>
              </w:rPr>
              <w:t>Cash paid for acquisitions, net of cash acquired</w:t>
            </w: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714.8</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23"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01"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As of September 30, 2020, the potential value of future payments under the Cash Vesting Payment Program was $5.9 million to be paid to employees through 2022, assuming continued employment for each employee. The Company recognized $1.3 million and $5.3 million of expense under the Cash Vesting Program for the three and nine months ended September 30, 2020, respectively. Based on the requirement for continued service, the cost related to payments under the Cash Vesting Payment Program is recognized as compensation and reflected on the Statement of Operations in the same category as salary expense of the recipient.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9" w:name="page280"/>
    <w:bookmarkEnd w:id="279"/>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3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components of identifiable intangible assets acquired and the estimated useful lives as of the date of acquisition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Weighted Average Useful</w:t>
            </w:r>
          </w:p>
        </w:tc>
        <w:tc>
          <w:tcPr>
            <w:tcW w:w="0" w:type="dxa"/>
            <w:vAlign w:val="bottom"/>
          </w:tcPr>
          <w:p>
            <w:pPr>
              <w:spacing w:after="0"/>
              <w:rPr>
                <w:sz w:val="1"/>
                <w:szCs w:val="1"/>
                <w:color w:val="auto"/>
              </w:rPr>
            </w:pPr>
          </w:p>
        </w:tc>
      </w:tr>
      <w:tr>
        <w:trPr>
          <w:trHeight w:val="179"/>
        </w:trPr>
        <w:tc>
          <w:tcPr>
            <w:tcW w:w="79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in Years</w:t>
            </w:r>
          </w:p>
        </w:tc>
        <w:tc>
          <w:tcPr>
            <w:tcW w:w="0" w:type="dxa"/>
            <w:vAlign w:val="bottom"/>
          </w:tcPr>
          <w:p>
            <w:pPr>
              <w:spacing w:after="0"/>
              <w:rPr>
                <w:sz w:val="1"/>
                <w:szCs w:val="1"/>
                <w:color w:val="auto"/>
              </w:rPr>
            </w:pP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Brand portfolio</w:t>
            </w:r>
          </w:p>
        </w:tc>
        <w:tc>
          <w:tcPr>
            <w:tcW w:w="112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8"/>
        </w:trPr>
        <w:tc>
          <w:tcPr>
            <w:tcW w:w="798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116.0</w:t>
            </w:r>
          </w:p>
        </w:tc>
        <w:tc>
          <w:tcPr>
            <w:tcW w:w="1680" w:type="dxa"/>
            <w:vAlign w:val="bottom"/>
            <w:gridSpan w:val="2"/>
          </w:tcPr>
          <w:p>
            <w:pPr>
              <w:jc w:val="right"/>
              <w:ind w:right="606"/>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173.0</w:t>
            </w:r>
          </w:p>
        </w:tc>
        <w:tc>
          <w:tcPr>
            <w:tcW w:w="1680" w:type="dxa"/>
            <w:vAlign w:val="bottom"/>
            <w:gridSpan w:val="2"/>
            <w:shd w:val="clear" w:color="auto" w:fill="CCEEFF"/>
          </w:tcPr>
          <w:p>
            <w:pPr>
              <w:jc w:val="right"/>
              <w:ind w:right="566"/>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7"/>
                <w:szCs w:val="17"/>
                <w:color w:val="auto"/>
              </w:rPr>
              <w:t>Total intangible assets</w:t>
            </w:r>
          </w:p>
        </w:tc>
        <w:tc>
          <w:tcPr>
            <w:tcW w:w="1120" w:type="dxa"/>
            <w:vAlign w:val="bottom"/>
            <w:tcBorders>
              <w:bottom w:val="single" w:sz="8" w:color="auto"/>
            </w:tcBorders>
          </w:tcPr>
          <w:p>
            <w:pPr>
              <w:jc w:val="right"/>
              <w:ind w:right="9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322.0</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Cash and Cash Equivalents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consisted of the following as of September 30, 2020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20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Losses</w:t>
            </w:r>
          </w:p>
        </w:tc>
        <w:tc>
          <w:tcPr>
            <w:tcW w:w="120" w:type="dxa"/>
            <w:vAlign w:val="bottom"/>
          </w:tcPr>
          <w:p>
            <w:pPr>
              <w:spacing w:after="0"/>
              <w:rPr>
                <w:sz w:val="18"/>
                <w:szCs w:val="18"/>
                <w:color w:val="auto"/>
              </w:rPr>
            </w:pPr>
          </w:p>
        </w:tc>
        <w:tc>
          <w:tcPr>
            <w:tcW w:w="144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Estimated Fair Value</w:t>
            </w:r>
          </w:p>
        </w:tc>
      </w:tr>
      <w:tr>
        <w:trPr>
          <w:trHeight w:val="200"/>
        </w:trPr>
        <w:tc>
          <w:tcPr>
            <w:tcW w:w="46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0"/>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w:t>
            </w:r>
          </w:p>
        </w:tc>
      </w:tr>
      <w:tr>
        <w:trPr>
          <w:trHeight w:val="198"/>
        </w:trPr>
        <w:tc>
          <w:tcPr>
            <w:tcW w:w="4640" w:type="dxa"/>
            <w:vAlign w:val="bottom"/>
          </w:tcPr>
          <w:p>
            <w:pPr>
              <w:ind w:left="320"/>
              <w:spacing w:after="0"/>
              <w:rPr>
                <w:sz w:val="20"/>
                <w:szCs w:val="20"/>
                <w:color w:val="auto"/>
              </w:rPr>
            </w:pPr>
            <w:r>
              <w:rPr>
                <w:rFonts w:ascii="Arial" w:cs="Arial" w:eastAsia="Arial" w:hAnsi="Arial"/>
                <w:sz w:val="17"/>
                <w:szCs w:val="17"/>
                <w:color w:val="auto"/>
              </w:rPr>
              <w:t>Cash equivalents:</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0"/>
        </w:trPr>
        <w:tc>
          <w:tcPr>
            <w:tcW w:w="4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18"/>
        </w:trPr>
        <w:tc>
          <w:tcPr>
            <w:tcW w:w="46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Money market mutual funds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82.4</w:t>
            </w:r>
          </w:p>
        </w:tc>
      </w:tr>
      <w:tr>
        <w:trPr>
          <w:trHeight w:val="212"/>
        </w:trPr>
        <w:tc>
          <w:tcPr>
            <w:tcW w:w="4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3"/>
        </w:trPr>
        <w:tc>
          <w:tcPr>
            <w:tcW w:w="4640" w:type="dxa"/>
            <w:vAlign w:val="bottom"/>
          </w:tcPr>
          <w:p>
            <w:pPr>
              <w:ind w:left="320"/>
              <w:spacing w:after="0"/>
              <w:rPr>
                <w:sz w:val="20"/>
                <w:szCs w:val="20"/>
                <w:color w:val="auto"/>
              </w:rPr>
            </w:pPr>
            <w:r>
              <w:rPr>
                <w:rFonts w:ascii="Arial" w:cs="Arial" w:eastAsia="Arial" w:hAnsi="Arial"/>
                <w:sz w:val="17"/>
                <w:szCs w:val="17"/>
                <w:color w:val="auto"/>
              </w:rPr>
              <w:t>Total cash and cash equivalents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304.9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304.9</w:t>
            </w: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consisted of $41.4 million of cash as of December 31, 2019.</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See Note 10 for further information regarding the fair value of our financial instruments.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had immaterial gross unrealized losses related to our available-for-sale securities as of September 30, 2020. The following table summarizes the fair value of our available-for-sale securities that have been in a continuous unrealized loss position as of September 30,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240" w:type="dxa"/>
            <w:vAlign w:val="bottom"/>
            <w:tcBorders>
              <w:bottom w:val="single" w:sz="8" w:color="auto"/>
            </w:tcBorders>
          </w:tcPr>
          <w:p>
            <w:pPr>
              <w:jc w:val="center"/>
              <w:ind w:left="988"/>
              <w:spacing w:after="0"/>
              <w:rPr>
                <w:sz w:val="20"/>
                <w:szCs w:val="20"/>
                <w:color w:val="auto"/>
              </w:rPr>
            </w:pPr>
            <w:r>
              <w:rPr>
                <w:rFonts w:ascii="Arial" w:cs="Arial" w:eastAsia="Arial" w:hAnsi="Arial"/>
                <w:sz w:val="14"/>
                <w:szCs w:val="14"/>
                <w:b w:val="1"/>
                <w:bCs w:val="1"/>
                <w:color w:val="auto"/>
                <w:w w:val="87"/>
              </w:rPr>
              <w:t>September 30, 2020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27"/>
        </w:trPr>
        <w:tc>
          <w:tcPr>
            <w:tcW w:w="458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millions)</w:t>
            </w:r>
          </w:p>
        </w:tc>
        <w:tc>
          <w:tcPr>
            <w:tcW w:w="3300" w:type="dxa"/>
            <w:vAlign w:val="bottom"/>
            <w:gridSpan w:val="2"/>
          </w:tcPr>
          <w:p>
            <w:pPr>
              <w:jc w:val="center"/>
              <w:ind w:left="1608"/>
              <w:spacing w:after="0" w:line="127" w:lineRule="exact"/>
              <w:rPr>
                <w:sz w:val="20"/>
                <w:szCs w:val="20"/>
                <w:color w:val="auto"/>
              </w:rPr>
            </w:pPr>
            <w:r>
              <w:rPr>
                <w:rFonts w:ascii="Arial" w:cs="Arial" w:eastAsia="Arial" w:hAnsi="Arial"/>
                <w:sz w:val="14"/>
                <w:szCs w:val="14"/>
                <w:b w:val="1"/>
                <w:bCs w:val="1"/>
                <w:color w:val="auto"/>
                <w:w w:val="90"/>
              </w:rPr>
              <w:t>More Than Twelve</w:t>
            </w:r>
          </w:p>
        </w:tc>
        <w:tc>
          <w:tcPr>
            <w:tcW w:w="80" w:type="dxa"/>
            <w:vAlign w:val="bottom"/>
          </w:tcPr>
          <w:p>
            <w:pPr>
              <w:spacing w:after="0"/>
              <w:rPr>
                <w:sz w:val="11"/>
                <w:szCs w:val="11"/>
                <w:color w:val="auto"/>
              </w:rPr>
            </w:pP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Less Than Twelve Months</w:t>
            </w:r>
          </w:p>
        </w:tc>
        <w:tc>
          <w:tcPr>
            <w:tcW w:w="160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90"/>
              </w:rPr>
              <w:t>More Than Twelve</w:t>
            </w:r>
          </w:p>
        </w:tc>
        <w:tc>
          <w:tcPr>
            <w:tcW w:w="0" w:type="dxa"/>
            <w:vAlign w:val="bottom"/>
          </w:tcPr>
          <w:p>
            <w:pPr>
              <w:spacing w:after="0"/>
              <w:rPr>
                <w:sz w:val="1"/>
                <w:szCs w:val="1"/>
                <w:color w:val="auto"/>
              </w:rPr>
            </w:pPr>
          </w:p>
        </w:tc>
      </w:tr>
      <w:tr>
        <w:trPr>
          <w:trHeight w:val="180"/>
        </w:trPr>
        <w:tc>
          <w:tcPr>
            <w:tcW w:w="4580" w:type="dxa"/>
            <w:vAlign w:val="bottom"/>
            <w:vMerge w:val="continue"/>
          </w:tcPr>
          <w:p>
            <w:pPr>
              <w:spacing w:after="0"/>
              <w:rPr>
                <w:sz w:val="15"/>
                <w:szCs w:val="15"/>
                <w:color w:val="auto"/>
              </w:rPr>
            </w:pPr>
          </w:p>
        </w:tc>
        <w:tc>
          <w:tcPr>
            <w:tcW w:w="2240" w:type="dxa"/>
            <w:vAlign w:val="bottom"/>
          </w:tcPr>
          <w:p>
            <w:pPr>
              <w:jc w:val="right"/>
              <w:ind w:right="588"/>
              <w:spacing w:after="0"/>
              <w:rPr>
                <w:sz w:val="20"/>
                <w:szCs w:val="20"/>
                <w:color w:val="auto"/>
              </w:rPr>
            </w:pPr>
            <w:r>
              <w:rPr>
                <w:rFonts w:ascii="Arial" w:cs="Arial" w:eastAsia="Arial" w:hAnsi="Arial"/>
                <w:sz w:val="14"/>
                <w:szCs w:val="14"/>
                <w:b w:val="1"/>
                <w:bCs w:val="1"/>
                <w:color w:val="auto"/>
                <w:w w:val="89"/>
              </w:rPr>
              <w:t>Less Than Twelve Months</w:t>
            </w: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Months</w:t>
            </w:r>
          </w:p>
        </w:tc>
        <w:tc>
          <w:tcPr>
            <w:tcW w:w="1680" w:type="dxa"/>
            <w:vAlign w:val="bottom"/>
            <w:gridSpan w:val="2"/>
            <w:vMerge w:val="continue"/>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2240" w:type="dxa"/>
            <w:vAlign w:val="bottom"/>
            <w:tcBorders>
              <w:top w:val="single" w:sz="8" w:color="auto"/>
            </w:tcBorders>
          </w:tcPr>
          <w:p>
            <w:pPr>
              <w:jc w:val="center"/>
              <w:ind w:left="988"/>
              <w:spacing w:after="0"/>
              <w:rPr>
                <w:sz w:val="20"/>
                <w:szCs w:val="20"/>
                <w:color w:val="auto"/>
              </w:rPr>
            </w:pPr>
            <w:r>
              <w:rPr>
                <w:rFonts w:ascii="Arial" w:cs="Arial" w:eastAsia="Arial" w:hAnsi="Arial"/>
                <w:sz w:val="14"/>
                <w:szCs w:val="14"/>
                <w:color w:val="auto"/>
                <w:w w:val="90"/>
              </w:rPr>
              <w:t>(Unaudited)</w:t>
            </w: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45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2240" w:type="dxa"/>
            <w:vAlign w:val="bottom"/>
            <w:shd w:val="clear" w:color="auto" w:fill="CCEEFF"/>
          </w:tcPr>
          <w:p>
            <w:pPr>
              <w:jc w:val="right"/>
              <w:ind w:right="588"/>
              <w:spacing w:after="0"/>
              <w:rPr>
                <w:sz w:val="20"/>
                <w:szCs w:val="20"/>
                <w:color w:val="auto"/>
              </w:rPr>
            </w:pPr>
            <w:r>
              <w:rPr>
                <w:rFonts w:ascii="Arial" w:cs="Arial" w:eastAsia="Arial" w:hAnsi="Arial"/>
                <w:sz w:val="17"/>
                <w:szCs w:val="17"/>
                <w:color w:val="auto"/>
              </w:rPr>
              <w:t>$17.6</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N/A</w:t>
            </w:r>
          </w:p>
        </w:tc>
        <w:tc>
          <w:tcPr>
            <w:tcW w:w="1600" w:type="dxa"/>
            <w:vAlign w:val="bottom"/>
            <w:shd w:val="clear" w:color="auto" w:fill="CCEEFF"/>
          </w:tcPr>
          <w:p>
            <w:pPr>
              <w:ind w:left="130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There were five securities in an unrealized loss position for less than twelve months at September 30, 2020. There were no securities in an unrealized loss position for more than twelve months at September 30, 2020.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80" w:name="page281"/>
    <w:bookmarkEnd w:id="280"/>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Property and Equipment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fixed assets consist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6"/>
                <w:szCs w:val="16"/>
                <w:color w:val="auto"/>
              </w:rPr>
            </w:pPr>
          </w:p>
        </w:tc>
        <w:tc>
          <w:tcPr>
            <w:tcW w:w="1220" w:type="dxa"/>
            <w:vAlign w:val="bottom"/>
          </w:tcPr>
          <w:p>
            <w:pPr>
              <w:jc w:val="right"/>
              <w:ind w:right="238"/>
              <w:spacing w:after="0"/>
              <w:rPr>
                <w:sz w:val="20"/>
                <w:szCs w:val="20"/>
                <w:color w:val="auto"/>
              </w:rPr>
            </w:pPr>
            <w:r>
              <w:rPr>
                <w:rFonts w:ascii="Arial" w:cs="Arial" w:eastAsia="Arial" w:hAnsi="Arial"/>
                <w:sz w:val="14"/>
                <w:szCs w:val="14"/>
                <w:b w:val="1"/>
                <w:bCs w:val="1"/>
                <w:color w:val="auto"/>
                <w:w w:val="96"/>
              </w:rPr>
              <w:t>December 31,</w:t>
            </w:r>
          </w:p>
        </w:tc>
      </w:tr>
      <w:tr>
        <w:trPr>
          <w:trHeight w:val="177"/>
        </w:trPr>
        <w:tc>
          <w:tcPr>
            <w:tcW w:w="82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r>
      <w:tr>
        <w:trPr>
          <w:trHeight w:val="200"/>
        </w:trPr>
        <w:tc>
          <w:tcPr>
            <w:tcW w:w="824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Internal use developed software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2"/>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3"/>
        </w:trPr>
        <w:tc>
          <w:tcPr>
            <w:tcW w:w="8240" w:type="dxa"/>
            <w:vAlign w:val="bottom"/>
          </w:tcPr>
          <w:p>
            <w:pPr>
              <w:ind w:left="220"/>
              <w:spacing w:after="0"/>
              <w:rPr>
                <w:sz w:val="20"/>
                <w:szCs w:val="20"/>
                <w:color w:val="auto"/>
              </w:rPr>
            </w:pPr>
            <w:r>
              <w:rPr>
                <w:rFonts w:ascii="Arial" w:cs="Arial" w:eastAsia="Arial" w:hAnsi="Arial"/>
                <w:sz w:val="17"/>
                <w:szCs w:val="17"/>
                <w:color w:val="auto"/>
              </w:rPr>
              <w:t>Property and equipment, net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Depreciation expense was $2.4 million and $1.8 million for the three months ended September 30, 2020 and 2019, respectively. Depreciation expense was $6.4 million and $4.2 million for the nine months ended September 30, 2020 and 2019,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Goodwill and Acquired Intangible Assets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September 30, 2020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29"/>
        </w:trPr>
        <w:tc>
          <w:tcPr>
            <w:tcW w:w="46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millions)</w:t>
            </w:r>
          </w:p>
        </w:tc>
        <w:tc>
          <w:tcPr>
            <w:tcW w:w="1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97"/>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Amortization Period in</w:t>
            </w:r>
          </w:p>
        </w:tc>
        <w:tc>
          <w:tcPr>
            <w:tcW w:w="0" w:type="dxa"/>
            <w:vAlign w:val="bottom"/>
          </w:tcPr>
          <w:p>
            <w:pPr>
              <w:spacing w:after="0"/>
              <w:rPr>
                <w:sz w:val="1"/>
                <w:szCs w:val="1"/>
                <w:color w:val="auto"/>
              </w:rPr>
            </w:pPr>
          </w:p>
        </w:tc>
      </w:tr>
      <w:tr>
        <w:trPr>
          <w:trHeight w:val="180"/>
        </w:trPr>
        <w:tc>
          <w:tcPr>
            <w:tcW w:w="4640" w:type="dxa"/>
            <w:vAlign w:val="bottom"/>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0"/>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2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268.6</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(48.0)</w:t>
            </w:r>
          </w:p>
        </w:tc>
        <w:tc>
          <w:tcPr>
            <w:tcW w:w="12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220.6</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technology</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8"/>
        </w:trPr>
        <w:tc>
          <w:tcPr>
            <w:tcW w:w="46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Brand portfolio</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20"/>
              <w:spacing w:after="0"/>
              <w:rPr>
                <w:sz w:val="20"/>
                <w:szCs w:val="20"/>
                <w:color w:val="auto"/>
              </w:rPr>
            </w:pPr>
            <w:r>
              <w:rPr>
                <w:rFonts w:ascii="Arial" w:cs="Arial" w:eastAsia="Arial" w:hAnsi="Arial"/>
                <w:sz w:val="17"/>
                <w:szCs w:val="17"/>
                <w:color w:val="auto"/>
              </w:rPr>
              <w:t>Pre-Acquisition ZI brand portfolio</w:t>
            </w:r>
          </w:p>
        </w:tc>
        <w:tc>
          <w:tcPr>
            <w:tcW w:w="600" w:type="dxa"/>
            <w:vAlign w:val="bottom"/>
          </w:tcPr>
          <w:p>
            <w:pPr>
              <w:jc w:val="right"/>
              <w:ind w:right="418"/>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Goodwill</w:t>
            </w:r>
          </w:p>
        </w:tc>
        <w:tc>
          <w:tcPr>
            <w:tcW w:w="60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Amortization expense was $10.1 million and $11.2 million for the three months ended September 30, 2020 and 2019, respectively. Amortization expense was $30.6 million and $32.5 million for the nine months ended September 30, 2020 and 2019, respectively.</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Goodwill, as of September 30, 2020, was $966.8 million, and there have been no changes since December 31, 2019.</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Based on the results of the Company’s impairment assessment, the Company did not recognize any impairment of goodwill during the nine months ended September 30, 2020 or September 30, 2019.</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Financing Arrangements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September 30, 2020 and December 31, 2019, the carrying values of the Company’s borrowings were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Carrying Value as of</w:t>
            </w:r>
          </w:p>
        </w:tc>
      </w:tr>
      <w:tr>
        <w:trPr>
          <w:trHeight w:val="179"/>
        </w:trPr>
        <w:tc>
          <w:tcPr>
            <w:tcW w:w="2200" w:type="dxa"/>
            <w:vAlign w:val="bottom"/>
            <w:gridSpan w:val="2"/>
          </w:tcPr>
          <w:p>
            <w:pPr>
              <w:ind w:left="700"/>
              <w:spacing w:after="0"/>
              <w:rPr>
                <w:sz w:val="20"/>
                <w:szCs w:val="20"/>
                <w:color w:val="auto"/>
              </w:rPr>
            </w:pPr>
            <w:r>
              <w:rPr>
                <w:rFonts w:ascii="Arial" w:cs="Arial" w:eastAsia="Arial" w:hAnsi="Arial"/>
                <w:sz w:val="14"/>
                <w:szCs w:val="14"/>
                <w:b w:val="1"/>
                <w:bCs w:val="1"/>
                <w:color w:val="auto"/>
              </w:rPr>
              <w:t>Instrument</w:t>
            </w:r>
          </w:p>
        </w:tc>
        <w:tc>
          <w:tcPr>
            <w:tcW w:w="2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Date of Issuance</w:t>
            </w:r>
          </w:p>
        </w:tc>
        <w:tc>
          <w:tcPr>
            <w:tcW w:w="2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Maturity Date</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Elected Interest Rate</w:t>
            </w:r>
          </w:p>
        </w:tc>
        <w:tc>
          <w:tcPr>
            <w:tcW w:w="1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5"/>
                <w:szCs w:val="15"/>
                <w:color w:val="auto"/>
              </w:rPr>
            </w:pPr>
          </w:p>
        </w:tc>
        <w:tc>
          <w:tcPr>
            <w:tcW w:w="130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December 31, 2019</w:t>
            </w:r>
          </w:p>
        </w:tc>
      </w:tr>
      <w:tr>
        <w:trPr>
          <w:trHeight w:val="173"/>
        </w:trPr>
        <w:tc>
          <w:tcPr>
            <w:tcW w:w="2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20"/>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First Lien Term Loan</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2019</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2026</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6"/>
              </w:rPr>
              <w:t>LIBOR + 3.75%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841.6</w:t>
            </w:r>
          </w:p>
        </w:tc>
      </w:tr>
      <w:tr>
        <w:trPr>
          <w:trHeight w:val="218"/>
        </w:trPr>
        <w:tc>
          <w:tcPr>
            <w:tcW w:w="2200" w:type="dxa"/>
            <w:vAlign w:val="bottom"/>
            <w:gridSpan w:val="2"/>
          </w:tcPr>
          <w:p>
            <w:pPr>
              <w:ind w:left="20"/>
              <w:spacing w:after="0"/>
              <w:rPr>
                <w:sz w:val="20"/>
                <w:szCs w:val="20"/>
                <w:color w:val="auto"/>
              </w:rPr>
            </w:pPr>
            <w:r>
              <w:rPr>
                <w:rFonts w:ascii="Arial" w:cs="Arial" w:eastAsia="Arial" w:hAnsi="Arial"/>
                <w:sz w:val="17"/>
                <w:szCs w:val="17"/>
                <w:color w:val="auto"/>
              </w:rPr>
              <w:t>First Lien Revolver</w:t>
            </w:r>
          </w:p>
        </w:tc>
        <w:tc>
          <w:tcPr>
            <w:tcW w:w="20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February 1, 2019</w:t>
            </w:r>
          </w:p>
        </w:tc>
        <w:tc>
          <w:tcPr>
            <w:tcW w:w="20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February 1, 2024</w:t>
            </w:r>
          </w:p>
        </w:tc>
        <w:tc>
          <w:tcPr>
            <w:tcW w:w="194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LIBOR + 3.50%</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Second Lien Term Loan</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2019</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2027</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6"/>
              </w:rPr>
              <w:t>LIBOR + 8.50%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r>
      <w:tr>
        <w:trPr>
          <w:trHeight w:val="211"/>
        </w:trPr>
        <w:tc>
          <w:tcPr>
            <w:tcW w:w="2200" w:type="dxa"/>
            <w:vAlign w:val="bottom"/>
            <w:gridSpan w:val="2"/>
          </w:tcPr>
          <w:p>
            <w:pPr>
              <w:ind w:left="20"/>
              <w:spacing w:after="0"/>
              <w:rPr>
                <w:sz w:val="20"/>
                <w:szCs w:val="20"/>
                <w:color w:val="auto"/>
              </w:rPr>
            </w:pPr>
            <w:r>
              <w:rPr>
                <w:rFonts w:ascii="Arial" w:cs="Arial" w:eastAsia="Arial" w:hAnsi="Arial"/>
                <w:sz w:val="17"/>
                <w:szCs w:val="17"/>
                <w:color w:val="auto"/>
              </w:rPr>
              <w:t>Total Carrying Value of Debt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744.3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1,203.3</w:t>
            </w:r>
          </w:p>
        </w:tc>
      </w:tr>
      <w:tr>
        <w:trPr>
          <w:trHeight w:val="219"/>
        </w:trPr>
        <w:tc>
          <w:tcPr>
            <w:tcW w:w="2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Less current portion</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3"/>
        </w:trPr>
        <w:tc>
          <w:tcPr>
            <w:tcW w:w="2200" w:type="dxa"/>
            <w:vAlign w:val="bottom"/>
            <w:gridSpan w:val="2"/>
          </w:tcPr>
          <w:p>
            <w:pPr>
              <w:ind w:left="20"/>
              <w:spacing w:after="0"/>
              <w:rPr>
                <w:sz w:val="20"/>
                <w:szCs w:val="20"/>
                <w:color w:val="auto"/>
              </w:rPr>
            </w:pPr>
            <w:r>
              <w:rPr>
                <w:rFonts w:ascii="Arial" w:cs="Arial" w:eastAsia="Arial" w:hAnsi="Arial"/>
                <w:sz w:val="17"/>
                <w:szCs w:val="17"/>
                <w:color w:val="auto"/>
              </w:rPr>
              <w:t>Total Long Term Debt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744.3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1,194.6</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First Lien Term Loan</w:t>
      </w:r>
    </w:p>
    <w:p>
      <w:pPr>
        <w:spacing w:after="0" w:line="165"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In conjunction with the acquisition of Pre-Acquisition ZI on February 1, 2019, ZoomInfo raised $965 million of first lien debt through the First Lien Credit Agreement. In addition to funding the purchase of Pre-Acquisition ZI, the proceeds were used to repay all previously outstanding indebtedness.</w:t>
      </w:r>
    </w:p>
    <w:p>
      <w:pPr>
        <w:spacing w:after="0" w:line="9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w:t>
      </w:r>
    </w:p>
    <w:p>
      <w:pPr>
        <w:spacing w:after="0" w:line="123"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 xml:space="preserve">The first lien debt has a variable interest rate whereby the Company can elect to use a Base Rate or the London Interbank Offer Rate (“LIBOR”) plus an applicable rate. The applicable margin is 2.75% to 3.00% for Base Rate loans or 3.75% or 4.00% for LIBOR Based Loans, depending on the Company’s leverage. 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September 30, 2020, $756.4 million aggregate principal amount of term loans were outstanding under the First Lien Credit Agreement. The interest related portion of the repayment was recorded within </w:t>
      </w:r>
      <w:r>
        <w:rPr>
          <w:rFonts w:ascii="Arial" w:cs="Arial" w:eastAsia="Arial" w:hAnsi="Arial"/>
          <w:sz w:val="16"/>
          <w:szCs w:val="16"/>
          <w:i w:val="1"/>
          <w:iCs w:val="1"/>
          <w:color w:val="auto"/>
        </w:rPr>
        <w:t>Interest expense, net</w:t>
      </w:r>
      <w:r>
        <w:rPr>
          <w:rFonts w:ascii="Arial" w:cs="Arial" w:eastAsia="Arial" w:hAnsi="Arial"/>
          <w:sz w:val="16"/>
          <w:szCs w:val="16"/>
          <w:color w:val="auto"/>
        </w:rPr>
        <w:t xml:space="preserve"> in its Consolidated Statements of Operations, and represented use of cash from operating activities in the Consolidated Statements of Cash Flows. The quarterly repayment requirement on first lien borrowings has been satisfied for the remainder of the term after the $100.0 million principal payment. The effective interest rate on the first lien debt was 4.3% and 7.5% as of September 30, 2020 and December 31, 2019, respectively.</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Second Lien Term Loan</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conjunction with the acquisition of Pre-Acquisition ZI on February 1, 2019, ZoomInfo raised $370 million of second lien debt.</w:t>
      </w:r>
    </w:p>
    <w:p>
      <w:pPr>
        <w:spacing w:after="0" w:line="16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On June 8, 2020, the Company used approximately $380.6 million of the proceeds of the IPO to repay the entire aggregate principal amount outstanding under the Second Lien Credit Agreement, including prepayment premiums of $3.7 million and accrued interest thereon of $6.9 million. The effective interest rate was 10.8% as of the repayment date. The Company recognized $7.3 million loss on the extinguishment of debt relating to the write-off of unamortized issuance costs. The company recognized $11.0 million within </w:t>
      </w:r>
      <w:r>
        <w:rPr>
          <w:rFonts w:ascii="Arial" w:cs="Arial" w:eastAsia="Arial" w:hAnsi="Arial"/>
          <w:sz w:val="17"/>
          <w:szCs w:val="17"/>
          <w:i w:val="1"/>
          <w:iCs w:val="1"/>
          <w:color w:val="auto"/>
        </w:rPr>
        <w:t>Loss on debt extinguishment</w:t>
      </w:r>
      <w:r>
        <w:rPr>
          <w:rFonts w:ascii="Arial" w:cs="Arial" w:eastAsia="Arial" w:hAnsi="Arial"/>
          <w:sz w:val="17"/>
          <w:szCs w:val="17"/>
          <w:color w:val="auto"/>
        </w:rPr>
        <w:t xml:space="preserve"> on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2" w:name="page283"/>
    <w:bookmarkEnd w:id="282"/>
    <w:p>
      <w:pPr>
        <w:spacing w:after="0"/>
        <w:rPr>
          <w:sz w:val="20"/>
          <w:szCs w:val="20"/>
          <w:color w:val="auto"/>
        </w:rPr>
      </w:pPr>
      <w:r>
        <w:rPr>
          <w:rFonts w:ascii="Arial" w:cs="Arial" w:eastAsia="Arial" w:hAnsi="Arial"/>
          <w:sz w:val="17"/>
          <w:szCs w:val="17"/>
          <w:b w:val="1"/>
          <w:bCs w:val="1"/>
          <w:color w:val="auto"/>
        </w:rPr>
        <w:t>Note 8 - Financing Arrangements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Statements of Operations comprised of the write-off of unamortized issuance costs and the prepayment penalty incurred on the payoff. The effective interest rate on the second lien debt was 11.9% as of December 31, 2019.</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First Lien Revolving Credit Facility</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conjunction with the acquisition of Pre-Acquisition ZI on February 1, 2019, ZoomInfo entered into the First Lien Credit Agreement providing a $100.0 million credit facility.</w:t>
      </w:r>
    </w:p>
    <w:p>
      <w:pPr>
        <w:spacing w:after="0" w:line="112"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 xml:space="preserve">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Arial" w:cs="Arial" w:eastAsia="Arial" w:hAnsi="Arial"/>
          <w:sz w:val="15"/>
          <w:szCs w:val="15"/>
          <w:i w:val="1"/>
          <w:iCs w:val="1"/>
          <w:color w:val="auto"/>
        </w:rPr>
        <w:t>Deferred costs, net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current portion </w:t>
      </w:r>
      <w:r>
        <w:rPr>
          <w:rFonts w:ascii="Arial" w:cs="Arial" w:eastAsia="Arial" w:hAnsi="Arial"/>
          <w:sz w:val="15"/>
          <w:szCs w:val="15"/>
          <w:color w:val="auto"/>
        </w:rPr>
        <w:t>on the accompanying Condensed Consolidated Balance Sheets were immaterial as of September 30, 2020 and December 31, 2019.</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First Lien Credit Agreement</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2" w:lineRule="exact"/>
        <w:rPr>
          <w:sz w:val="20"/>
          <w:szCs w:val="20"/>
          <w:color w:val="auto"/>
        </w:rPr>
      </w:pPr>
    </w:p>
    <w:p>
      <w:pPr>
        <w:ind w:left="1240" w:hanging="310"/>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65" w:lineRule="exact"/>
        <w:rPr>
          <w:rFonts w:ascii="Arial" w:cs="Arial" w:eastAsia="Arial" w:hAnsi="Arial"/>
          <w:sz w:val="17"/>
          <w:szCs w:val="17"/>
          <w:color w:val="auto"/>
        </w:rPr>
      </w:pPr>
    </w:p>
    <w:p>
      <w:pPr>
        <w:ind w:left="1240" w:hanging="310"/>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65"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If the Company draws more than $35.0 million of the revolving credit loan, the revolving credit loan is subject to a springing financial covenant pursuant to which the consolidated first lien net leverage ratio must not exceed 7.65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Redeemable Series A Preferred Units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conjunction with the acquisition of Pre-Acquisition ZI on February 1, 2019, ZoomInfo issued 51,750,000 of Series A Preferred Units in exchange for $200.2 million, net of issuance costs. On June 8, 2020,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83" w:name="page284"/>
    <w:bookmarkEnd w:id="283"/>
    <w:p>
      <w:pPr>
        <w:spacing w:after="0"/>
        <w:rPr>
          <w:sz w:val="20"/>
          <w:szCs w:val="20"/>
          <w:color w:val="auto"/>
        </w:rPr>
      </w:pPr>
      <w:r>
        <w:rPr>
          <w:rFonts w:ascii="Arial" w:cs="Arial" w:eastAsia="Arial" w:hAnsi="Arial"/>
          <w:sz w:val="17"/>
          <w:szCs w:val="17"/>
          <w:b w:val="1"/>
          <w:bCs w:val="1"/>
          <w:color w:val="auto"/>
        </w:rPr>
        <w:t>Note 8 - Financing Arrangements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redeemed and cancelled all outstanding Series A Preferred Units of ZoomInfo OpCo. Refer to Note 15 for additional discussion regarding Series A Preferred Units and related redemption.</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expected future principal payments for all borrowings as of September 30, 2020 is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Contractual Maturity</w:t>
            </w:r>
          </w:p>
        </w:tc>
        <w:tc>
          <w:tcPr>
            <w:tcW w:w="120" w:type="dxa"/>
            <w:vAlign w:val="bottom"/>
            <w:vMerge w:val="restart"/>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Discounts and Issuance</w:t>
            </w:r>
          </w:p>
        </w:tc>
        <w:tc>
          <w:tcPr>
            <w:tcW w:w="260" w:type="dxa"/>
            <w:vAlign w:val="bottom"/>
          </w:tcPr>
          <w:p>
            <w:pPr>
              <w:spacing w:after="0"/>
              <w:rPr>
                <w:sz w:val="14"/>
                <w:szCs w:val="14"/>
                <w:color w:val="auto"/>
              </w:rPr>
            </w:pPr>
          </w:p>
        </w:tc>
        <w:tc>
          <w:tcPr>
            <w:tcW w:w="13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w w:val="98"/>
              </w:rPr>
              <w:t>As Presented</w:t>
            </w:r>
          </w:p>
        </w:tc>
        <w:tc>
          <w:tcPr>
            <w:tcW w:w="0" w:type="dxa"/>
            <w:vAlign w:val="bottom"/>
          </w:tcPr>
          <w:p>
            <w:pPr>
              <w:spacing w:after="0"/>
              <w:rPr>
                <w:sz w:val="1"/>
                <w:szCs w:val="1"/>
                <w:color w:val="auto"/>
              </w:rPr>
            </w:pPr>
          </w:p>
        </w:tc>
      </w:tr>
      <w:tr>
        <w:trPr>
          <w:trHeight w:val="179"/>
        </w:trPr>
        <w:tc>
          <w:tcPr>
            <w:tcW w:w="2840" w:type="dxa"/>
            <w:vAlign w:val="bottom"/>
            <w:tcBorders>
              <w:bottom w:val="single" w:sz="8" w:color="CCEEFF"/>
            </w:tcBorders>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the year ended December 31,</w:t>
            </w:r>
          </w:p>
        </w:tc>
        <w:tc>
          <w:tcPr>
            <w:tcW w:w="35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3500" w:type="dxa"/>
            <w:vAlign w:val="bottom"/>
          </w:tcPr>
          <w:p>
            <w:pPr>
              <w:ind w:left="52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spacing w:after="0"/>
              <w:rPr>
                <w:sz w:val="19"/>
                <w:szCs w:val="19"/>
                <w:color w:val="auto"/>
              </w:rPr>
            </w:pPr>
          </w:p>
        </w:tc>
        <w:tc>
          <w:tcPr>
            <w:tcW w:w="35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3500" w:type="dxa"/>
            <w:vAlign w:val="bottom"/>
          </w:tcPr>
          <w:p>
            <w:pPr>
              <w:ind w:left="5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spacing w:after="0"/>
              <w:rPr>
                <w:sz w:val="19"/>
                <w:szCs w:val="19"/>
                <w:color w:val="auto"/>
              </w:rPr>
            </w:pPr>
          </w:p>
        </w:tc>
        <w:tc>
          <w:tcPr>
            <w:tcW w:w="35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8"/>
        </w:trPr>
        <w:tc>
          <w:tcPr>
            <w:tcW w:w="284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Thereafter</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756.1</w:t>
            </w: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744.3</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Derivatives and Hedging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Programs</w:t>
      </w:r>
    </w:p>
    <w:p>
      <w:pPr>
        <w:spacing w:after="0" w:line="165"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106" w:lineRule="exact"/>
        <w:rPr>
          <w:sz w:val="20"/>
          <w:szCs w:val="20"/>
          <w:color w:val="auto"/>
        </w:rPr>
      </w:pPr>
    </w:p>
    <w:p>
      <w:pPr>
        <w:jc w:val="both"/>
        <w:ind w:firstLine="309"/>
        <w:spacing w:after="0" w:line="307" w:lineRule="auto"/>
        <w:rPr>
          <w:sz w:val="20"/>
          <w:szCs w:val="20"/>
          <w:color w:val="auto"/>
        </w:rPr>
      </w:pPr>
      <w:r>
        <w:rPr>
          <w:rFonts w:ascii="Arial" w:cs="Arial" w:eastAsia="Arial" w:hAnsi="Arial"/>
          <w:sz w:val="15"/>
          <w:szCs w:val="15"/>
          <w:color w:val="auto"/>
        </w:rPr>
        <w:t>We recognize derivative instruments and hedging activities on a gross basis as either assets or liabilities on the Company’s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9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April 2019, the Company entered into two separate interest rate swap agreements to convert a portion of the Company’s floating-rate debt that is based on LIBOR to a fixed-rate, reducing the impact of interest rate changes on future interest expense. The first agreement converts $350.0 million of floating rate debt under our first lien credit facility to fixed rate obligations. The second agreement caps the interest rate applied to $500.0 million of the Company’s floating-rate debt in the event the interest rate should rise above the cap strike rate. Our interest rate swap contracts mature in April 2022, and our interest rate cap contract matures in April of 2024.</w:t>
      </w:r>
    </w:p>
    <w:p>
      <w:pPr>
        <w:spacing w:after="0" w:line="130"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During the three months ended September 30, 2020, we began to hedge the variability of forecasted interest payments on our first lien debt using forward-starting swaps. The total notional amount of these forward-starting interest rate swaps is $500.0 million as of September 30, 2020. These forward-starting interest rate swaps will fix the benchmark interest rate and hedge the variability of forecasted interest payments from April 2022 through January 2026.</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84" w:name="page285"/>
    <w:bookmarkEnd w:id="284"/>
    <w:p>
      <w:pPr>
        <w:spacing w:after="0"/>
        <w:rPr>
          <w:sz w:val="20"/>
          <w:szCs w:val="20"/>
          <w:color w:val="auto"/>
        </w:rPr>
      </w:pPr>
      <w:r>
        <w:rPr>
          <w:rFonts w:ascii="Arial" w:cs="Arial" w:eastAsia="Arial" w:hAnsi="Arial"/>
          <w:sz w:val="17"/>
          <w:szCs w:val="17"/>
          <w:b w:val="1"/>
          <w:bCs w:val="1"/>
          <w:color w:val="auto"/>
        </w:rPr>
        <w:t>Note 9 - Derivatives and Hedging Activities (continued)</w:t>
      </w:r>
    </w:p>
    <w:p>
      <w:pPr>
        <w:spacing w:after="0" w:line="351"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 xml:space="preserve">During the second quarter of 2020, the Company reduced its LIBOR based debt to $756.4 million (refer to Note 8), which is below the total notional amounts of our Derivative Instruments of $850.0 million as of the date of the debt repayment. Consequently, concurrent with the repayment of the entire aggregate principal amount outstanding under the Second Lien Credit Agreement and prepayment of $100.0 million aggregate principal amount of the first lien term loans outstanding under the First Lien Credit Agreement, we dedesignated the Derivative Instruments. As the forecasted interest payments on $93.7 million not redesignated was probable to not occur, the Company reclassified the existing deferred loss on that portion of the derivative of $3.3 million from AOCI into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in the Consolidated Statements of Operations.</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During the three months ended September 30, 2020 the Company dedesignated and redesignated certain hedges contemporaneously with the inception of our forward-starting interest rate swaps to achieve optimal interest rate protections. As of September 30, 2020, $243.6 million of the notional amount of the interest rate cap contract is not designated as an accounting hedge.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of September 30, 2020, the Company had the following outstanding interest rate derivatives that were designated as cash flow hedges of interest rate risk ($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Number of Instruments</w:t>
            </w:r>
          </w:p>
        </w:tc>
        <w:tc>
          <w:tcPr>
            <w:tcW w:w="120" w:type="dxa"/>
            <w:vAlign w:val="bottom"/>
            <w:vMerge w:val="restart"/>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Notional Aggregate Principal</w:t>
            </w:r>
          </w:p>
        </w:tc>
        <w:tc>
          <w:tcPr>
            <w:tcW w:w="1900" w:type="dxa"/>
            <w:vAlign w:val="bottom"/>
            <w:vMerge w:val="restart"/>
          </w:tcPr>
          <w:p>
            <w:pPr>
              <w:jc w:val="right"/>
              <w:ind w:right="138"/>
              <w:spacing w:after="0"/>
              <w:rPr>
                <w:sz w:val="20"/>
                <w:szCs w:val="20"/>
                <w:color w:val="auto"/>
              </w:rPr>
            </w:pPr>
            <w:r>
              <w:rPr>
                <w:rFonts w:ascii="Arial" w:cs="Arial" w:eastAsia="Arial" w:hAnsi="Arial"/>
                <w:sz w:val="14"/>
                <w:szCs w:val="14"/>
                <w:b w:val="1"/>
                <w:bCs w:val="1"/>
                <w:color w:val="auto"/>
              </w:rPr>
              <w:t>Interest Cap / Swap Rate</w:t>
            </w:r>
          </w:p>
        </w:tc>
        <w:tc>
          <w:tcPr>
            <w:tcW w:w="120" w:type="dxa"/>
            <w:vAlign w:val="bottom"/>
            <w:vMerge w:val="restart"/>
          </w:tcPr>
          <w:p>
            <w:pPr>
              <w:spacing w:after="0"/>
              <w:rPr>
                <w:sz w:val="14"/>
                <w:szCs w:val="14"/>
                <w:color w:val="auto"/>
              </w:rPr>
            </w:pPr>
          </w:p>
        </w:tc>
        <w:tc>
          <w:tcPr>
            <w:tcW w:w="178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rate cap contract</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6"/>
              </w:rPr>
              <w:t>One</w:t>
            </w: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3.500 %</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30, 2024</w:t>
            </w:r>
          </w:p>
        </w:tc>
        <w:tc>
          <w:tcPr>
            <w:tcW w:w="0" w:type="dxa"/>
            <w:vAlign w:val="bottom"/>
          </w:tcPr>
          <w:p>
            <w:pPr>
              <w:spacing w:after="0"/>
              <w:rPr>
                <w:sz w:val="1"/>
                <w:szCs w:val="1"/>
                <w:color w:val="auto"/>
              </w:rPr>
            </w:pPr>
          </w:p>
        </w:tc>
      </w:tr>
      <w:tr>
        <w:trPr>
          <w:trHeight w:val="218"/>
        </w:trPr>
        <w:tc>
          <w:tcPr>
            <w:tcW w:w="3640" w:type="dxa"/>
            <w:vAlign w:val="bottom"/>
            <w:gridSpan w:val="2"/>
          </w:tcPr>
          <w:p>
            <w:pPr>
              <w:ind w:left="20"/>
              <w:spacing w:after="0"/>
              <w:rPr>
                <w:sz w:val="20"/>
                <w:szCs w:val="20"/>
                <w:color w:val="auto"/>
              </w:rPr>
            </w:pPr>
            <w:r>
              <w:rPr>
                <w:rFonts w:ascii="Arial" w:cs="Arial" w:eastAsia="Arial" w:hAnsi="Arial"/>
                <w:sz w:val="17"/>
                <w:szCs w:val="17"/>
                <w:color w:val="auto"/>
              </w:rPr>
              <w:t>Interest rate swap contracts</w:t>
            </w:r>
          </w:p>
        </w:tc>
        <w:tc>
          <w:tcPr>
            <w:tcW w:w="190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Two</w:t>
            </w: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350.0</w:t>
            </w: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2.301 %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April 29, 2022</w:t>
            </w:r>
          </w:p>
        </w:tc>
        <w:tc>
          <w:tcPr>
            <w:tcW w:w="0" w:type="dxa"/>
            <w:vAlign w:val="bottom"/>
          </w:tcPr>
          <w:p>
            <w:pPr>
              <w:spacing w:after="0"/>
              <w:rPr>
                <w:sz w:val="1"/>
                <w:szCs w:val="1"/>
                <w:color w:val="auto"/>
              </w:rPr>
            </w:pPr>
          </w:p>
        </w:tc>
      </w:tr>
      <w:tr>
        <w:trPr>
          <w:trHeight w:val="22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Forward-starting interest rate swap contracts</w:t>
            </w: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Two</w:t>
            </w:r>
          </w:p>
        </w:tc>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0.370 %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30, 2026</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following table summarizes the fair value and presentation in the Company’s Condensed Consolidated Balance Sheets for derivatives as of September 30, 2020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Fair Value of Derivative Liabilities</w:t>
            </w:r>
          </w:p>
        </w:tc>
        <w:tc>
          <w:tcPr>
            <w:tcW w:w="0" w:type="dxa"/>
            <w:vAlign w:val="bottom"/>
          </w:tcPr>
          <w:p>
            <w:pPr>
              <w:spacing w:after="0"/>
              <w:rPr>
                <w:sz w:val="1"/>
                <w:szCs w:val="1"/>
                <w:color w:val="auto"/>
              </w:rPr>
            </w:pPr>
          </w:p>
        </w:tc>
      </w:tr>
      <w:tr>
        <w:trPr>
          <w:trHeight w:val="179"/>
        </w:trPr>
        <w:tc>
          <w:tcPr>
            <w:tcW w:w="418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Instrument</w:t>
            </w:r>
          </w:p>
        </w:tc>
        <w:tc>
          <w:tcPr>
            <w:tcW w:w="2940" w:type="dxa"/>
            <w:vAlign w:val="bottom"/>
            <w:gridSpan w:val="2"/>
          </w:tcPr>
          <w:p>
            <w:pPr>
              <w:ind w:left="72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5"/>
                <w:szCs w:val="15"/>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5"/>
                <w:szCs w:val="15"/>
                <w:color w:val="auto"/>
              </w:rPr>
            </w:pPr>
          </w:p>
        </w:tc>
        <w:tc>
          <w:tcPr>
            <w:tcW w:w="1720" w:type="dxa"/>
            <w:vAlign w:val="bottom"/>
          </w:tcPr>
          <w:p>
            <w:pPr>
              <w:jc w:val="right"/>
              <w:ind w:right="356"/>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173"/>
        </w:trPr>
        <w:tc>
          <w:tcPr>
            <w:tcW w:w="4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Derivatives designated as hedging instruments</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80" w:type="dxa"/>
            <w:vAlign w:val="bottom"/>
            <w:gridSpan w:val="2"/>
          </w:tcPr>
          <w:p>
            <w:pPr>
              <w:ind w:left="220"/>
              <w:spacing w:after="0" w:line="168" w:lineRule="exact"/>
              <w:rPr>
                <w:sz w:val="20"/>
                <w:szCs w:val="20"/>
                <w:color w:val="auto"/>
              </w:rPr>
            </w:pPr>
            <w:r>
              <w:rPr>
                <w:rFonts w:ascii="Arial" w:cs="Arial" w:eastAsia="Arial" w:hAnsi="Arial"/>
                <w:sz w:val="17"/>
                <w:szCs w:val="17"/>
                <w:color w:val="auto"/>
              </w:rPr>
              <w:t>Interest rate cap contract</w:t>
            </w:r>
          </w:p>
        </w:tc>
        <w:tc>
          <w:tcPr>
            <w:tcW w:w="294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Accrued expenses and other current</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4"/>
                <w:szCs w:val="14"/>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rate cap contract</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168"/>
        </w:trPr>
        <w:tc>
          <w:tcPr>
            <w:tcW w:w="4180" w:type="dxa"/>
            <w:vAlign w:val="bottom"/>
            <w:gridSpan w:val="2"/>
          </w:tcPr>
          <w:p>
            <w:pPr>
              <w:ind w:left="220"/>
              <w:spacing w:after="0" w:line="168" w:lineRule="exact"/>
              <w:rPr>
                <w:sz w:val="20"/>
                <w:szCs w:val="20"/>
                <w:color w:val="auto"/>
              </w:rPr>
            </w:pPr>
            <w:r>
              <w:rPr>
                <w:rFonts w:ascii="Arial" w:cs="Arial" w:eastAsia="Arial" w:hAnsi="Arial"/>
                <w:sz w:val="17"/>
                <w:szCs w:val="17"/>
                <w:color w:val="auto"/>
              </w:rPr>
              <w:t>Interest rate swap contracts</w:t>
            </w:r>
          </w:p>
        </w:tc>
        <w:tc>
          <w:tcPr>
            <w:tcW w:w="294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Accrued expenses and other current</w:t>
            </w:r>
          </w:p>
        </w:tc>
        <w:tc>
          <w:tcPr>
            <w:tcW w:w="26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rate swap contracts</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8"/>
        </w:trPr>
        <w:tc>
          <w:tcPr>
            <w:tcW w:w="4180" w:type="dxa"/>
            <w:vAlign w:val="bottom"/>
            <w:gridSpan w:val="2"/>
          </w:tcPr>
          <w:p>
            <w:pPr>
              <w:ind w:left="220"/>
              <w:spacing w:after="0"/>
              <w:rPr>
                <w:sz w:val="20"/>
                <w:szCs w:val="20"/>
                <w:color w:val="auto"/>
              </w:rPr>
            </w:pPr>
            <w:r>
              <w:rPr>
                <w:rFonts w:ascii="Arial" w:cs="Arial" w:eastAsia="Arial" w:hAnsi="Arial"/>
                <w:sz w:val="17"/>
                <w:szCs w:val="17"/>
                <w:color w:val="auto"/>
              </w:rPr>
              <w:t>Forward-starting interest rate swap contracts</w:t>
            </w: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designated derivative liabilities</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Derivatives not designated as hedging instruments</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80" w:type="dxa"/>
            <w:vAlign w:val="bottom"/>
            <w:gridSpan w:val="2"/>
          </w:tcPr>
          <w:p>
            <w:pPr>
              <w:ind w:left="220"/>
              <w:spacing w:after="0" w:line="168" w:lineRule="exact"/>
              <w:rPr>
                <w:sz w:val="20"/>
                <w:szCs w:val="20"/>
                <w:color w:val="auto"/>
              </w:rPr>
            </w:pPr>
            <w:r>
              <w:rPr>
                <w:rFonts w:ascii="Arial" w:cs="Arial" w:eastAsia="Arial" w:hAnsi="Arial"/>
                <w:sz w:val="17"/>
                <w:szCs w:val="17"/>
                <w:color w:val="auto"/>
              </w:rPr>
              <w:t>Interest rate cap contract</w:t>
            </w:r>
          </w:p>
        </w:tc>
        <w:tc>
          <w:tcPr>
            <w:tcW w:w="294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Accrued expenses and other current</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vMerge w:val="restart"/>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4"/>
                <w:szCs w:val="14"/>
                <w:color w:val="auto"/>
              </w:rPr>
            </w:pPr>
          </w:p>
        </w:tc>
        <w:tc>
          <w:tcPr>
            <w:tcW w:w="280" w:type="dxa"/>
            <w:vAlign w:val="bottom"/>
            <w:vMerge w:val="restart"/>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Interest rate cap contract</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undesignated derivative liabilities</w:t>
            </w:r>
          </w:p>
        </w:tc>
        <w:tc>
          <w:tcPr>
            <w:tcW w:w="2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derivative liabilities</w:t>
            </w:r>
          </w:p>
        </w:tc>
        <w:tc>
          <w:tcPr>
            <w:tcW w:w="2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change in fair value of any derivative instruments was recorded, net of income tax, in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xml:space="preserve"> (“AOCI”) on the Company’s Condensed Consolidated Balance Sheets to the extent the agreements were designated as effective hedges. In the period that the hedged item affects earnings, such as when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85" w:name="page286"/>
    <w:bookmarkEnd w:id="285"/>
    <w:p>
      <w:pPr>
        <w:spacing w:after="0"/>
        <w:rPr>
          <w:sz w:val="20"/>
          <w:szCs w:val="20"/>
          <w:color w:val="auto"/>
        </w:rPr>
      </w:pPr>
      <w:r>
        <w:rPr>
          <w:rFonts w:ascii="Arial" w:cs="Arial" w:eastAsia="Arial" w:hAnsi="Arial"/>
          <w:sz w:val="17"/>
          <w:szCs w:val="17"/>
          <w:b w:val="1"/>
          <w:bCs w:val="1"/>
          <w:color w:val="auto"/>
        </w:rPr>
        <w:t>Note 9 - Derivatives and Hedging Activities (continued)</w:t>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interest payments are made on the Company’s variable-rate debt, we reclassify the related gain or loss on the interest rate swap cash flow hedges and any receipts on the cap to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and as operating cash flows in our Consolidated Statements of Cash Flows. Over the next 12 months, we expect to reclassify approximately $5.6 million into interest expense from AOCI.</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Fair Value</w:t>
      </w:r>
    </w:p>
    <w:p>
      <w:pPr>
        <w:spacing w:after="0" w:line="171" w:lineRule="exact"/>
        <w:rPr>
          <w:sz w:val="20"/>
          <w:szCs w:val="20"/>
          <w:color w:val="auto"/>
        </w:rPr>
      </w:pPr>
    </w:p>
    <w:p>
      <w:pPr>
        <w:jc w:val="both"/>
        <w:ind w:firstLine="309"/>
        <w:spacing w:after="0" w:line="299" w:lineRule="auto"/>
        <w:rPr>
          <w:sz w:val="20"/>
          <w:szCs w:val="20"/>
          <w:color w:val="auto"/>
        </w:rPr>
      </w:pPr>
      <w:r>
        <w:rPr>
          <w:rFonts w:ascii="Arial" w:cs="Arial" w:eastAsia="Arial" w:hAnsi="Arial"/>
          <w:sz w:val="15"/>
          <w:szCs w:val="15"/>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 of the Company’s cash equivalents, which consist of corporate debt securities and money market mutual funds, approximate fair value and are based on the closing price of these assets as of the reporting date. We classify our corporate debt securities and money market mutual funds as Level 1. The carrying values of the Company's debt instruments approximate their fair value based on Level 2 inputs since the instruments carry variable interest rates based on LIBOR or other applicable reference rates.</w:t>
      </w:r>
    </w:p>
    <w:p>
      <w:pPr>
        <w:spacing w:after="0" w:line="101"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5"/>
          <w:szCs w:val="15"/>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07"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90"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23"/>
        </w:trPr>
        <w:tc>
          <w:tcPr>
            <w:tcW w:w="6320" w:type="dxa"/>
            <w:vAlign w:val="bottom"/>
            <w:gridSpan w:val="2"/>
          </w:tcPr>
          <w:p>
            <w:pPr>
              <w:spacing w:after="0"/>
              <w:rPr>
                <w:sz w:val="20"/>
                <w:szCs w:val="20"/>
                <w:color w:val="auto"/>
              </w:rPr>
            </w:pPr>
            <w:r>
              <w:rPr>
                <w:rFonts w:ascii="Arial" w:cs="Arial" w:eastAsia="Arial" w:hAnsi="Arial"/>
                <w:sz w:val="17"/>
                <w:szCs w:val="17"/>
                <w:b w:val="1"/>
                <w:bCs w:val="1"/>
                <w:color w:val="auto"/>
              </w:rPr>
              <w:t>Note 10 - Fair Value (continued)</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541"/>
        </w:trPr>
        <w:tc>
          <w:tcPr>
            <w:tcW w:w="7980" w:type="dxa"/>
            <w:vAlign w:val="bottom"/>
            <w:gridSpan w:val="5"/>
          </w:tcPr>
          <w:p>
            <w:pPr>
              <w:ind w:left="320"/>
              <w:spacing w:after="0"/>
              <w:rPr>
                <w:sz w:val="20"/>
                <w:szCs w:val="20"/>
                <w:color w:val="auto"/>
              </w:rPr>
            </w:pPr>
            <w:r>
              <w:rPr>
                <w:rFonts w:ascii="Arial" w:cs="Arial" w:eastAsia="Arial" w:hAnsi="Arial"/>
                <w:sz w:val="17"/>
                <w:szCs w:val="17"/>
                <w:color w:val="auto"/>
                <w:w w:val="95"/>
              </w:rPr>
              <w:t>The fair value (in millions) of our financial assets and (liabilities) was determined using the following inputs: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0"/>
        </w:trPr>
        <w:tc>
          <w:tcPr>
            <w:tcW w:w="6320" w:type="dxa"/>
            <w:vAlign w:val="bottom"/>
            <w:gridSpan w:val="2"/>
          </w:tcPr>
          <w:p>
            <w:pPr>
              <w:ind w:left="20"/>
              <w:spacing w:after="0"/>
              <w:rPr>
                <w:sz w:val="20"/>
                <w:szCs w:val="20"/>
                <w:color w:val="auto"/>
              </w:rPr>
            </w:pPr>
            <w:r>
              <w:rPr>
                <w:rFonts w:ascii="Arial" w:cs="Arial" w:eastAsia="Arial" w:hAnsi="Arial"/>
                <w:sz w:val="17"/>
                <w:szCs w:val="17"/>
                <w:b w:val="1"/>
                <w:bCs w:val="1"/>
                <w:color w:val="auto"/>
              </w:rPr>
              <w:t>Fair Value at September 30, 2020</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220" w:type="dxa"/>
            <w:vAlign w:val="bottom"/>
          </w:tcPr>
          <w:p>
            <w:pPr>
              <w:jc w:val="right"/>
              <w:ind w:right="478"/>
              <w:spacing w:after="0"/>
              <w:rPr>
                <w:sz w:val="20"/>
                <w:szCs w:val="20"/>
                <w:color w:val="auto"/>
              </w:rPr>
            </w:pPr>
            <w:r>
              <w:rPr>
                <w:rFonts w:ascii="Arial" w:cs="Arial" w:eastAsia="Arial" w:hAnsi="Arial"/>
                <w:sz w:val="14"/>
                <w:szCs w:val="14"/>
                <w:b w:val="1"/>
                <w:bCs w:val="1"/>
                <w:color w:val="auto"/>
              </w:rPr>
              <w:t>Level 3</w:t>
            </w:r>
          </w:p>
        </w:tc>
      </w:tr>
      <w:tr>
        <w:trPr>
          <w:trHeight w:val="21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Measured on a recurring basis: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mutual 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Derivative contract, net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42"/>
        </w:trPr>
        <w:tc>
          <w:tcPr>
            <w:tcW w:w="6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19"/>
        </w:trPr>
        <w:tc>
          <w:tcPr>
            <w:tcW w:w="6320" w:type="dxa"/>
            <w:vAlign w:val="bottom"/>
            <w:gridSpan w:val="2"/>
          </w:tcPr>
          <w:p>
            <w:pPr>
              <w:ind w:left="20"/>
              <w:spacing w:after="0"/>
              <w:rPr>
                <w:sz w:val="20"/>
                <w:szCs w:val="20"/>
                <w:color w:val="auto"/>
              </w:rPr>
            </w:pPr>
            <w:r>
              <w:rPr>
                <w:rFonts w:ascii="Arial" w:cs="Arial" w:eastAsia="Arial" w:hAnsi="Arial"/>
                <w:sz w:val="17"/>
                <w:szCs w:val="17"/>
                <w:b w:val="1"/>
                <w:bCs w:val="1"/>
                <w:color w:val="auto"/>
              </w:rPr>
              <w:t>Measured on a non-recurring basis: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N/A</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398"/>
        </w:trPr>
        <w:tc>
          <w:tcPr>
            <w:tcW w:w="6320" w:type="dxa"/>
            <w:vAlign w:val="bottom"/>
            <w:gridSpan w:val="2"/>
          </w:tcPr>
          <w:p>
            <w:pPr>
              <w:ind w:left="20"/>
              <w:spacing w:after="0"/>
              <w:rPr>
                <w:sz w:val="20"/>
                <w:szCs w:val="20"/>
                <w:color w:val="auto"/>
              </w:rPr>
            </w:pPr>
            <w:r>
              <w:rPr>
                <w:rFonts w:ascii="Arial" w:cs="Arial" w:eastAsia="Arial" w:hAnsi="Arial"/>
                <w:sz w:val="17"/>
                <w:szCs w:val="17"/>
                <w:b w:val="1"/>
                <w:bCs w:val="1"/>
                <w:color w:val="auto"/>
              </w:rPr>
              <w:t>Fair Value at December 31, 2019</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220" w:type="dxa"/>
            <w:vAlign w:val="bottom"/>
          </w:tcPr>
          <w:p>
            <w:pPr>
              <w:jc w:val="right"/>
              <w:ind w:right="478"/>
              <w:spacing w:after="0"/>
              <w:rPr>
                <w:sz w:val="20"/>
                <w:szCs w:val="20"/>
                <w:color w:val="auto"/>
              </w:rPr>
            </w:pPr>
            <w:r>
              <w:rPr>
                <w:rFonts w:ascii="Arial" w:cs="Arial" w:eastAsia="Arial" w:hAnsi="Arial"/>
                <w:sz w:val="14"/>
                <w:szCs w:val="14"/>
                <w:b w:val="1"/>
                <w:bCs w:val="1"/>
                <w:color w:val="auto"/>
              </w:rPr>
              <w:t>Level 3</w:t>
            </w:r>
          </w:p>
        </w:tc>
      </w:tr>
      <w:tr>
        <w:trPr>
          <w:trHeight w:val="21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Measured on a recurring basis: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Money market mutual funds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Derivative contract, net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320" w:type="dxa"/>
            <w:vAlign w:val="bottom"/>
            <w:gridSpan w:val="2"/>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19"/>
        </w:trPr>
        <w:tc>
          <w:tcPr>
            <w:tcW w:w="6320" w:type="dxa"/>
            <w:vAlign w:val="bottom"/>
            <w:gridSpan w:val="2"/>
          </w:tcPr>
          <w:p>
            <w:pPr>
              <w:ind w:left="20"/>
              <w:spacing w:after="0"/>
              <w:rPr>
                <w:sz w:val="20"/>
                <w:szCs w:val="20"/>
                <w:color w:val="auto"/>
              </w:rPr>
            </w:pPr>
            <w:r>
              <w:rPr>
                <w:rFonts w:ascii="Arial" w:cs="Arial" w:eastAsia="Arial" w:hAnsi="Arial"/>
                <w:sz w:val="17"/>
                <w:szCs w:val="17"/>
                <w:b w:val="1"/>
                <w:bCs w:val="1"/>
                <w:color w:val="auto"/>
              </w:rPr>
              <w:t>Measured on a non-recurring basis: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Impaired right-of-use assets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bl>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have been no transfers between fair value measurements levels during the nine months ended September 30, 2020.</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See Note 5 for further information regarding the fair value of our financial instruments.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Commitments and Contingencies</w:t>
      </w:r>
    </w:p>
    <w:p>
      <w:pPr>
        <w:spacing w:after="0" w:line="165"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Non-cancelable purchase obligations </w:t>
      </w:r>
      <w:r>
        <w:rPr>
          <w:rFonts w:ascii="Arial" w:cs="Arial" w:eastAsia="Arial" w:hAnsi="Arial"/>
          <w:sz w:val="17"/>
          <w:szCs w:val="17"/>
          <w:color w:val="auto"/>
        </w:rPr>
        <w:t>- As of September 30, 2020, we had additional outstanding non-cancelable purchase obligations with a term of 12</w:t>
      </w:r>
      <w:r>
        <w:rPr>
          <w:rFonts w:ascii="Arial" w:cs="Arial" w:eastAsia="Arial" w:hAnsi="Arial"/>
          <w:sz w:val="17"/>
          <w:szCs w:val="17"/>
          <w:b w:val="1"/>
          <w:bCs w:val="1"/>
          <w:color w:val="auto"/>
        </w:rPr>
        <w:t xml:space="preserve"> </w:t>
      </w:r>
      <w:r>
        <w:rPr>
          <w:rFonts w:ascii="Arial" w:cs="Arial" w:eastAsia="Arial" w:hAnsi="Arial"/>
          <w:sz w:val="17"/>
          <w:szCs w:val="17"/>
          <w:color w:val="auto"/>
        </w:rPr>
        <w:t>months or longer of $10.4 million over the corresponding amount disclosed in our audited financial statements for the year ended December 31, 2019, mainly related to third-party cloud hosting and sales and marketing activities.</w:t>
      </w:r>
    </w:p>
    <w:p>
      <w:pPr>
        <w:spacing w:after="0" w:line="115"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Sales and use tax </w:t>
      </w:r>
      <w:r>
        <w:rPr>
          <w:rFonts w:ascii="Arial" w:cs="Arial" w:eastAsia="Arial" w:hAnsi="Arial"/>
          <w:sz w:val="17"/>
          <w:szCs w:val="17"/>
          <w:color w:val="auto"/>
        </w:rPr>
        <w:t>- The Company has conducted an assessment of sales and use tax exposure in states where the Company has established nexus.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assessment, the Company has recorded a liability for taxes owed and related penalties and interest in the amount of $2.1 million and $2.1 million at September 30, 2020 and December 31, 2019, respectively. This liability is included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in the Company’s Condensed Consolidated Balance Sheets.</w:t>
      </w:r>
    </w:p>
    <w:p>
      <w:pPr>
        <w:spacing w:after="0" w:line="119"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Contingent earn-out payments </w:t>
      </w:r>
      <w:r>
        <w:rPr>
          <w:rFonts w:ascii="Arial" w:cs="Arial" w:eastAsia="Arial" w:hAnsi="Arial"/>
          <w:sz w:val="17"/>
          <w:szCs w:val="17"/>
          <w:color w:val="auto"/>
        </w:rPr>
        <w:t>- As of September 30, 2020, the Company is contingently committed to making an earn-out payment of up to $4.0 million as</w:t>
      </w:r>
      <w:r>
        <w:rPr>
          <w:rFonts w:ascii="Arial" w:cs="Arial" w:eastAsia="Arial" w:hAnsi="Arial"/>
          <w:sz w:val="17"/>
          <w:szCs w:val="17"/>
          <w:b w:val="1"/>
          <w:bCs w:val="1"/>
          <w:color w:val="auto"/>
        </w:rPr>
        <w:t xml:space="preserve"> </w:t>
      </w:r>
      <w:r>
        <w:rPr>
          <w:rFonts w:ascii="Arial" w:cs="Arial" w:eastAsia="Arial" w:hAnsi="Arial"/>
          <w:sz w:val="17"/>
          <w:szCs w:val="17"/>
          <w:color w:val="auto"/>
        </w:rPr>
        <w:t>part of our acquisition of Komiko (refer to Note 4 for additional information).</w:t>
      </w:r>
    </w:p>
    <w:p>
      <w:pPr>
        <w:spacing w:after="0" w:line="101"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Deferred acquisition related payments - </w:t>
      </w:r>
      <w:r>
        <w:rPr>
          <w:rFonts w:ascii="Arial" w:cs="Arial" w:eastAsia="Arial" w:hAnsi="Arial"/>
          <w:sz w:val="17"/>
          <w:szCs w:val="17"/>
          <w:color w:val="auto"/>
        </w:rPr>
        <w:t>In accordance with the purchase agreement, the Company will pay deferred consideration of $10.0 million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2nd anniversary of the </w:t>
      </w:r>
      <w:r>
        <w:rPr>
          <w:rFonts w:ascii="Arial" w:cs="Arial" w:eastAsia="Arial" w:hAnsi="Arial"/>
          <w:sz w:val="17"/>
          <w:szCs w:val="17"/>
          <w:i w:val="1"/>
          <w:iCs w:val="1"/>
          <w:color w:val="auto"/>
        </w:rPr>
        <w:t>Pre-acquisition ZI</w:t>
      </w:r>
      <w:r>
        <w:rPr>
          <w:rFonts w:ascii="Arial" w:cs="Arial" w:eastAsia="Arial" w:hAnsi="Arial"/>
          <w:sz w:val="17"/>
          <w:szCs w:val="17"/>
          <w:color w:val="auto"/>
        </w:rPr>
        <w:t xml:space="preserve"> acquisition. Refer to Note 4.</w:t>
      </w:r>
    </w:p>
    <w:p>
      <w:pPr>
        <w:spacing w:after="0" w:line="101" w:lineRule="exact"/>
        <w:rPr>
          <w:sz w:val="20"/>
          <w:szCs w:val="20"/>
          <w:color w:val="auto"/>
        </w:rPr>
      </w:pPr>
    </w:p>
    <w:p>
      <w:pPr>
        <w:jc w:val="both"/>
        <w:ind w:firstLine="309"/>
        <w:spacing w:after="0" w:line="281" w:lineRule="auto"/>
        <w:rPr>
          <w:sz w:val="20"/>
          <w:szCs w:val="20"/>
          <w:color w:val="auto"/>
        </w:rPr>
      </w:pPr>
      <w:r>
        <w:rPr>
          <w:rFonts w:ascii="Arial" w:cs="Arial" w:eastAsia="Arial" w:hAnsi="Arial"/>
          <w:sz w:val="16"/>
          <w:szCs w:val="16"/>
          <w:b w:val="1"/>
          <w:bCs w:val="1"/>
          <w:color w:val="auto"/>
        </w:rPr>
        <w:t xml:space="preserve">Legal Matters - </w:t>
      </w:r>
      <w:r>
        <w:rPr>
          <w:rFonts w:ascii="Arial" w:cs="Arial" w:eastAsia="Arial" w:hAnsi="Arial"/>
          <w:sz w:val="16"/>
          <w:szCs w:val="16"/>
          <w:color w:val="auto"/>
        </w:rPr>
        <w:t>We are subject to various legal proceedings, claims, and governmental inspections, audits, or investigations that arise in the ordinary course</w:t>
      </w:r>
      <w:r>
        <w:rPr>
          <w:rFonts w:ascii="Arial" w:cs="Arial" w:eastAsia="Arial" w:hAnsi="Arial"/>
          <w:sz w:val="16"/>
          <w:szCs w:val="16"/>
          <w:b w:val="1"/>
          <w:bCs w:val="1"/>
          <w:color w:val="auto"/>
        </w:rPr>
        <w:t xml:space="preserve"> </w:t>
      </w:r>
      <w:r>
        <w:rPr>
          <w:rFonts w:ascii="Arial" w:cs="Arial" w:eastAsia="Arial" w:hAnsi="Arial"/>
          <w:sz w:val="16"/>
          <w:szCs w:val="16"/>
          <w:color w:val="auto"/>
        </w:rPr>
        <w:t>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87" w:name="page288"/>
    <w:bookmarkEnd w:id="287"/>
    <w:p>
      <w:pPr>
        <w:spacing w:after="0"/>
        <w:rPr>
          <w:sz w:val="20"/>
          <w:szCs w:val="20"/>
          <w:color w:val="auto"/>
        </w:rPr>
      </w:pPr>
      <w:r>
        <w:rPr>
          <w:rFonts w:ascii="Arial" w:cs="Arial" w:eastAsia="Arial" w:hAnsi="Arial"/>
          <w:sz w:val="17"/>
          <w:szCs w:val="17"/>
          <w:b w:val="1"/>
          <w:bCs w:val="1"/>
          <w:color w:val="auto"/>
        </w:rPr>
        <w:t>Note 12 - Noncontrolling Interest</w:t>
      </w:r>
    </w:p>
    <w:p>
      <w:pPr>
        <w:spacing w:after="0" w:line="171"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Arial" w:cs="Arial" w:eastAsia="Arial" w:hAnsi="Arial"/>
          <w:sz w:val="17"/>
          <w:szCs w:val="17"/>
          <w:i w:val="1"/>
          <w:iCs w:val="1"/>
          <w:color w:val="auto"/>
        </w:rPr>
        <w:t>Noncontrolling interests</w:t>
      </w:r>
      <w:r>
        <w:rPr>
          <w:rFonts w:ascii="Arial" w:cs="Arial" w:eastAsia="Arial" w:hAnsi="Arial"/>
          <w:sz w:val="17"/>
          <w:szCs w:val="17"/>
          <w:color w:val="auto"/>
        </w:rPr>
        <w:t xml:space="preserve"> and increase or decrease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in the Company’s Condensed Consolidated Balance Sheets.</w:t>
      </w:r>
    </w:p>
    <w:p>
      <w:pPr>
        <w:spacing w:after="0" w:line="13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of September 30, 2020, ZoomInfo Technologies Inc. held 160,755,779 HoldCo Units, and ZoomInfo HoldCo held 164,963,877 OpCo Units resulting in an ownership interest of 41% in the consolidated subsidiaries.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Earnings Per Share</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and nine months ended September 30, 2019.</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following table sets forth reconciliations of the numerators and denominators used to compute basic and diluted earnings (loss) per share of Class A and Class C common stock for the three and nine months ended September 30, 2020. The basic and diluted earnings per share period for the three and nine months ended September 30, 2020, represents only the period from June 4, 2020 to September 30, 2020, which represents the period wherein we had outstanding Class A and Class C common stock.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color w:val="auto"/>
                <w:w w:val="98"/>
              </w:rPr>
              <w:t>Three Months Ended September</w:t>
            </w: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79"/>
        </w:trPr>
        <w:tc>
          <w:tcPr>
            <w:tcW w:w="6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30, 2020</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(Unaudited)</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40" w:type="dxa"/>
            <w:vAlign w:val="bottom"/>
          </w:tcPr>
          <w:p>
            <w:pPr>
              <w:jc w:val="right"/>
              <w:ind w:right="1"/>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620" w:type="dxa"/>
            <w:vAlign w:val="bottom"/>
          </w:tcPr>
          <w:p>
            <w:pPr>
              <w:jc w:val="right"/>
              <w:ind w:right="42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20"/>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Less: Net income (loss) attributable to ZoomInfo OpCo before Reorganization Transactions</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68"/>
        </w:trPr>
        <w:tc>
          <w:tcPr>
            <w:tcW w:w="6860" w:type="dxa"/>
            <w:vAlign w:val="bottom"/>
          </w:tcPr>
          <w:p>
            <w:pPr>
              <w:ind w:left="20"/>
              <w:spacing w:after="0" w:line="168" w:lineRule="exact"/>
              <w:rPr>
                <w:sz w:val="20"/>
                <w:szCs w:val="20"/>
                <w:color w:val="auto"/>
              </w:rPr>
            </w:pPr>
            <w:r>
              <w:rPr>
                <w:rFonts w:ascii="Arial" w:cs="Arial" w:eastAsia="Arial" w:hAnsi="Arial"/>
                <w:sz w:val="17"/>
                <w:szCs w:val="17"/>
                <w:color w:val="auto"/>
                <w:w w:val="95"/>
              </w:rPr>
              <w:t>Less: Excess of consideration paid over carrying amount to holders of Series A Preferred Units</w:t>
            </w:r>
          </w:p>
        </w:tc>
        <w:tc>
          <w:tcPr>
            <w:tcW w:w="100" w:type="dxa"/>
            <w:vAlign w:val="bottom"/>
          </w:tcPr>
          <w:p>
            <w:pPr>
              <w:spacing w:after="0"/>
              <w:rPr>
                <w:sz w:val="14"/>
                <w:szCs w:val="14"/>
                <w:color w:val="auto"/>
              </w:rPr>
            </w:pPr>
          </w:p>
        </w:tc>
        <w:tc>
          <w:tcPr>
            <w:tcW w:w="21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Arial" w:cs="Arial" w:eastAsia="Arial" w:hAnsi="Arial"/>
                <w:sz w:val="17"/>
                <w:szCs w:val="17"/>
                <w:color w:val="auto"/>
              </w:rPr>
              <w:t>attributable to common shares</w:t>
            </w:r>
          </w:p>
        </w:tc>
        <w:tc>
          <w:tcPr>
            <w:tcW w:w="100" w:type="dxa"/>
            <w:vAlign w:val="bottom"/>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(loss)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7"/>
                <w:szCs w:val="17"/>
                <w:color w:val="auto"/>
              </w:rPr>
              <w:t>Net income (loss) attributable to ZoomInfo Technologies Inc.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2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843"/>
        </w:trPr>
        <w:tc>
          <w:tcPr>
            <w:tcW w:w="6860" w:type="dxa"/>
            <w:vAlign w:val="bottom"/>
          </w:tcPr>
          <w:p>
            <w:pPr>
              <w:ind w:left="5460"/>
              <w:spacing w:after="0"/>
              <w:rPr>
                <w:sz w:val="20"/>
                <w:szCs w:val="20"/>
                <w:color w:val="auto"/>
              </w:rPr>
            </w:pPr>
            <w:r>
              <w:rPr>
                <w:rFonts w:ascii="Arial" w:cs="Arial" w:eastAsia="Arial" w:hAnsi="Arial"/>
                <w:sz w:val="17"/>
                <w:szCs w:val="17"/>
                <w:color w:val="auto"/>
              </w:rPr>
              <w:t>F-71</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6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288" w:name="page289"/>
    <w:bookmarkEnd w:id="288"/>
    <w:p>
      <w:pPr>
        <w:spacing w:after="0"/>
        <w:rPr>
          <w:sz w:val="20"/>
          <w:szCs w:val="20"/>
          <w:color w:val="auto"/>
        </w:rPr>
      </w:pPr>
      <w:r>
        <w:rPr>
          <w:rFonts w:ascii="Arial" w:cs="Arial" w:eastAsia="Arial" w:hAnsi="Arial"/>
          <w:sz w:val="17"/>
          <w:szCs w:val="17"/>
          <w:b w:val="1"/>
          <w:bCs w:val="1"/>
          <w:color w:val="auto"/>
        </w:rPr>
        <w:t>Note 13 - Earnings Per Share (continued)</w:t>
      </w:r>
    </w:p>
    <w:p>
      <w:pPr>
        <w:spacing w:after="0" w:line="351"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following table sets forth the computation of basic and diluted net income per share of Class A and Class C common stock (in millions, except share amounts, and per share amounts,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 2020</w:t>
            </w:r>
          </w:p>
        </w:tc>
        <w:tc>
          <w:tcPr>
            <w:tcW w:w="240" w:type="dxa"/>
            <w:vAlign w:val="bottom"/>
          </w:tcPr>
          <w:p>
            <w:pPr>
              <w:spacing w:after="0"/>
              <w:rPr>
                <w:sz w:val="16"/>
                <w:szCs w:val="16"/>
                <w:color w:val="auto"/>
              </w:rPr>
            </w:pPr>
          </w:p>
        </w:tc>
        <w:tc>
          <w:tcPr>
            <w:tcW w:w="276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1"/>
              </w:rPr>
              <w:t>Nine Months Ended September 30, 2020</w:t>
            </w:r>
          </w:p>
        </w:tc>
        <w:tc>
          <w:tcPr>
            <w:tcW w:w="0" w:type="dxa"/>
            <w:vAlign w:val="bottom"/>
          </w:tcPr>
          <w:p>
            <w:pPr>
              <w:spacing w:after="0"/>
              <w:rPr>
                <w:sz w:val="1"/>
                <w:szCs w:val="1"/>
                <w:color w:val="auto"/>
              </w:rPr>
            </w:pPr>
          </w:p>
        </w:tc>
      </w:tr>
      <w:tr>
        <w:trPr>
          <w:trHeight w:val="178"/>
        </w:trPr>
        <w:tc>
          <w:tcPr>
            <w:tcW w:w="48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5"/>
              </w:rPr>
              <w:t>Class A</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Class C</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Class A</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Class C</w:t>
            </w:r>
          </w:p>
        </w:tc>
        <w:tc>
          <w:tcPr>
            <w:tcW w:w="0" w:type="dxa"/>
            <w:vAlign w:val="bottom"/>
          </w:tcPr>
          <w:p>
            <w:pPr>
              <w:spacing w:after="0"/>
              <w:rPr>
                <w:sz w:val="1"/>
                <w:szCs w:val="1"/>
                <w:color w:val="auto"/>
              </w:rPr>
            </w:pPr>
          </w:p>
        </w:tc>
      </w:tr>
      <w:tr>
        <w:trPr>
          <w:trHeight w:val="207"/>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84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b w:val="1"/>
                <w:bCs w:val="1"/>
                <w:color w:val="auto"/>
              </w:rPr>
              <w:t>Basic net income (loss) per share attributable to common</w:t>
            </w: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120"/>
              <w:spacing w:after="0"/>
              <w:rPr>
                <w:sz w:val="20"/>
                <w:szCs w:val="20"/>
                <w:color w:val="auto"/>
              </w:rPr>
            </w:pPr>
            <w:r>
              <w:rPr>
                <w:rFonts w:ascii="Arial" w:cs="Arial" w:eastAsia="Arial" w:hAnsi="Arial"/>
                <w:sz w:val="17"/>
                <w:szCs w:val="17"/>
                <w:b w:val="1"/>
                <w:bCs w:val="1"/>
                <w:color w:val="auto"/>
              </w:rPr>
              <w:t>Numerator:</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rPr>
              <w:t>Allocation of net income (loss) attributable to ZoomInfo</w:t>
            </w: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Technologies Inc.</w:t>
            </w:r>
          </w:p>
        </w:tc>
        <w:tc>
          <w:tcPr>
            <w:tcW w:w="2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120"/>
              <w:spacing w:after="0"/>
              <w:rPr>
                <w:sz w:val="20"/>
                <w:szCs w:val="20"/>
                <w:color w:val="auto"/>
              </w:rPr>
            </w:pPr>
            <w:r>
              <w:rPr>
                <w:rFonts w:ascii="Arial" w:cs="Arial" w:eastAsia="Arial" w:hAnsi="Arial"/>
                <w:sz w:val="17"/>
                <w:szCs w:val="17"/>
                <w:b w:val="1"/>
                <w:bCs w:val="1"/>
                <w:color w:val="auto"/>
              </w:rPr>
              <w:t>Denominator:</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rPr>
              <w:t>Weighted average number of shares of Class A and Class C</w:t>
            </w: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61,153,504</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94,631,630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59,075,363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95,420,020</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outstanding</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840" w:type="dxa"/>
            <w:vAlign w:val="bottom"/>
          </w:tcPr>
          <w:p>
            <w:pPr>
              <w:ind w:left="20"/>
              <w:spacing w:after="0" w:line="148" w:lineRule="exact"/>
              <w:rPr>
                <w:sz w:val="20"/>
                <w:szCs w:val="20"/>
                <w:color w:val="auto"/>
              </w:rPr>
            </w:pPr>
            <w:r>
              <w:rPr>
                <w:rFonts w:ascii="Arial" w:cs="Arial" w:eastAsia="Arial" w:hAnsi="Arial"/>
                <w:sz w:val="17"/>
                <w:szCs w:val="17"/>
                <w:color w:val="auto"/>
              </w:rPr>
              <w:t>Basic net income (loss) per share attributable to common</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12"/>
                <w:szCs w:val="12"/>
                <w:color w:val="auto"/>
              </w:rPr>
            </w:pPr>
          </w:p>
        </w:tc>
        <w:tc>
          <w:tcPr>
            <w:tcW w:w="340" w:type="dxa"/>
            <w:vAlign w:val="bottom"/>
            <w:vMerge w:val="restart"/>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(0.26)</w:t>
            </w:r>
          </w:p>
        </w:tc>
        <w:tc>
          <w:tcPr>
            <w:tcW w:w="120" w:type="dxa"/>
            <w:vAlign w:val="bottom"/>
          </w:tcPr>
          <w:p>
            <w:pPr>
              <w:spacing w:after="0"/>
              <w:rPr>
                <w:sz w:val="12"/>
                <w:szCs w:val="12"/>
                <w:color w:val="auto"/>
              </w:rPr>
            </w:pPr>
          </w:p>
        </w:tc>
        <w:tc>
          <w:tcPr>
            <w:tcW w:w="300" w:type="dxa"/>
            <w:vAlign w:val="bottom"/>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1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Diluted net income (loss) per share attributable to common</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Numerator:</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Undistributed earnings for basic computation</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68"/>
        </w:trPr>
        <w:tc>
          <w:tcPr>
            <w:tcW w:w="4840" w:type="dxa"/>
            <w:vAlign w:val="bottom"/>
          </w:tcPr>
          <w:p>
            <w:pPr>
              <w:ind w:left="220"/>
              <w:spacing w:after="0" w:line="168" w:lineRule="exact"/>
              <w:rPr>
                <w:sz w:val="20"/>
                <w:szCs w:val="20"/>
                <w:color w:val="auto"/>
              </w:rPr>
            </w:pPr>
            <w:r>
              <w:rPr>
                <w:rFonts w:ascii="Arial" w:cs="Arial" w:eastAsia="Arial" w:hAnsi="Arial"/>
                <w:sz w:val="17"/>
                <w:szCs w:val="17"/>
                <w:color w:val="auto"/>
                <w:w w:val="96"/>
              </w:rPr>
              <w:t>Increase in earnings attributable to common shareholders upon</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conversion of potentially dilutive instruments</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4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7"/>
              </w:rPr>
              <w:t>Reallocation of earnings as a result of conversion of potentially</w:t>
            </w:r>
          </w:p>
        </w:tc>
        <w:tc>
          <w:tcPr>
            <w:tcW w:w="2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dilutive instruments</w:t>
            </w:r>
          </w:p>
        </w:tc>
        <w:tc>
          <w:tcPr>
            <w:tcW w:w="2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840" w:type="dxa"/>
            <w:vAlign w:val="bottom"/>
          </w:tcPr>
          <w:p>
            <w:pPr>
              <w:ind w:left="220"/>
              <w:spacing w:after="0" w:line="168" w:lineRule="exact"/>
              <w:rPr>
                <w:sz w:val="20"/>
                <w:szCs w:val="20"/>
                <w:color w:val="auto"/>
              </w:rPr>
            </w:pPr>
            <w:r>
              <w:rPr>
                <w:rFonts w:ascii="Arial" w:cs="Arial" w:eastAsia="Arial" w:hAnsi="Arial"/>
                <w:sz w:val="17"/>
                <w:szCs w:val="17"/>
                <w:color w:val="auto"/>
                <w:w w:val="93"/>
              </w:rPr>
              <w:t>Reallocation of undistributed earnings as a result of conversion of</w:t>
            </w: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Class C to Class A shares</w:t>
            </w: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Allocation of undistributed earnings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20"/>
              <w:spacing w:after="0"/>
              <w:rPr>
                <w:sz w:val="20"/>
                <w:szCs w:val="20"/>
                <w:color w:val="auto"/>
              </w:rPr>
            </w:pPr>
            <w:r>
              <w:rPr>
                <w:rFonts w:ascii="Arial" w:cs="Arial" w:eastAsia="Arial" w:hAnsi="Arial"/>
                <w:sz w:val="17"/>
                <w:szCs w:val="17"/>
                <w:color w:val="auto"/>
              </w:rPr>
              <w:t>Number of shares used in basic computation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61,153,504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94,631,630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59,075,363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95,420,020</w:t>
            </w:r>
          </w:p>
        </w:tc>
        <w:tc>
          <w:tcPr>
            <w:tcW w:w="0" w:type="dxa"/>
            <w:vAlign w:val="bottom"/>
          </w:tcPr>
          <w:p>
            <w:pPr>
              <w:spacing w:after="0"/>
              <w:rPr>
                <w:sz w:val="1"/>
                <w:szCs w:val="1"/>
                <w:color w:val="auto"/>
              </w:rPr>
            </w:pPr>
          </w:p>
        </w:tc>
      </w:tr>
      <w:tr>
        <w:trPr>
          <w:trHeight w:val="169"/>
        </w:trPr>
        <w:tc>
          <w:tcPr>
            <w:tcW w:w="4840" w:type="dxa"/>
            <w:vAlign w:val="bottom"/>
            <w:shd w:val="clear" w:color="auto" w:fill="CCEEFF"/>
          </w:tcPr>
          <w:p>
            <w:pPr>
              <w:ind w:left="120"/>
              <w:spacing w:after="0" w:line="169" w:lineRule="exact"/>
              <w:rPr>
                <w:sz w:val="20"/>
                <w:szCs w:val="20"/>
                <w:color w:val="auto"/>
              </w:rPr>
            </w:pPr>
            <w:r>
              <w:rPr>
                <w:rFonts w:ascii="Arial" w:cs="Arial" w:eastAsia="Arial" w:hAnsi="Arial"/>
                <w:sz w:val="17"/>
                <w:szCs w:val="17"/>
                <w:color w:val="auto"/>
                <w:w w:val="92"/>
              </w:rPr>
              <w:t>Add: weighted-average effect of dilutive securities exchangeable for</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Class A common stock:</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OpCo Units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213,965,530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Class P Units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12,334,249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HSKB I Class 1 Units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13,572,783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HSKB II Class 1 Units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HSKB II Phantom Units</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HoldCo Units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i w:val="1"/>
                <w:iCs w:val="1"/>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rPr>
              <w:t>Restricted Stock Units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202,703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LTIP Units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 of Class A Common Stock Options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8"/>
        </w:trPr>
        <w:tc>
          <w:tcPr>
            <w:tcW w:w="4840" w:type="dxa"/>
            <w:vAlign w:val="bottom"/>
          </w:tcPr>
          <w:p>
            <w:pPr>
              <w:ind w:left="220"/>
              <w:spacing w:after="0"/>
              <w:rPr>
                <w:sz w:val="20"/>
                <w:szCs w:val="20"/>
                <w:color w:val="auto"/>
              </w:rPr>
            </w:pPr>
            <w:r>
              <w:rPr>
                <w:rFonts w:ascii="Arial" w:cs="Arial" w:eastAsia="Arial" w:hAnsi="Arial"/>
                <w:sz w:val="17"/>
                <w:szCs w:val="17"/>
                <w:color w:val="auto"/>
                <w:w w:val="97"/>
              </w:rPr>
              <w:t>Conversion of Class C to Class A common shares outstanding</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94,631,630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95,420,020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9"/>
        </w:trPr>
        <w:tc>
          <w:tcPr>
            <w:tcW w:w="4840" w:type="dxa"/>
            <w:vAlign w:val="bottom"/>
            <w:tcBorders>
              <w:top w:val="single" w:sz="8" w:color="CCEEFF"/>
            </w:tcBorders>
            <w:shd w:val="clear" w:color="auto" w:fill="CCEEFF"/>
          </w:tcPr>
          <w:p>
            <w:pPr>
              <w:ind w:left="220"/>
              <w:spacing w:after="0" w:line="149" w:lineRule="exact"/>
              <w:rPr>
                <w:sz w:val="20"/>
                <w:szCs w:val="20"/>
                <w:color w:val="auto"/>
              </w:rPr>
            </w:pPr>
            <w:r>
              <w:rPr>
                <w:rFonts w:ascii="Arial" w:cs="Arial" w:eastAsia="Arial" w:hAnsi="Arial"/>
                <w:sz w:val="17"/>
                <w:szCs w:val="17"/>
                <w:color w:val="auto"/>
                <w:w w:val="94"/>
              </w:rPr>
              <w:t>Weighted average shares of Class A and Class C common stock</w:t>
            </w:r>
          </w:p>
        </w:tc>
        <w:tc>
          <w:tcPr>
            <w:tcW w:w="2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397,320,656</w:t>
            </w: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94,631,630</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154,495,383</w:t>
            </w: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95,420,020</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outstanding used to calculate diluted net income (loss) per share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840" w:type="dxa"/>
            <w:vAlign w:val="bottom"/>
          </w:tcPr>
          <w:p>
            <w:pPr>
              <w:ind w:left="20"/>
              <w:spacing w:after="0" w:line="148" w:lineRule="exact"/>
              <w:rPr>
                <w:sz w:val="20"/>
                <w:szCs w:val="20"/>
                <w:color w:val="auto"/>
              </w:rPr>
            </w:pPr>
            <w:r>
              <w:rPr>
                <w:rFonts w:ascii="Arial" w:cs="Arial" w:eastAsia="Arial" w:hAnsi="Arial"/>
                <w:sz w:val="17"/>
                <w:szCs w:val="17"/>
                <w:color w:val="auto"/>
              </w:rPr>
              <w:t>Diluted net income (loss) per share attributable to common</w:t>
            </w: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2"/>
                <w:szCs w:val="12"/>
                <w:color w:val="auto"/>
              </w:rPr>
            </w:pPr>
          </w:p>
        </w:tc>
        <w:tc>
          <w:tcPr>
            <w:tcW w:w="340" w:type="dxa"/>
            <w:vAlign w:val="bottom"/>
            <w:vMerge w:val="restart"/>
          </w:tcPr>
          <w:p>
            <w:pPr>
              <w:jc w:val="right"/>
              <w:ind w:right="154"/>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(0.26)</w:t>
            </w:r>
          </w:p>
        </w:tc>
        <w:tc>
          <w:tcPr>
            <w:tcW w:w="120" w:type="dxa"/>
            <w:vAlign w:val="bottom"/>
          </w:tcPr>
          <w:p>
            <w:pPr>
              <w:spacing w:after="0"/>
              <w:rPr>
                <w:sz w:val="12"/>
                <w:szCs w:val="12"/>
                <w:color w:val="auto"/>
              </w:rPr>
            </w:pPr>
          </w:p>
        </w:tc>
        <w:tc>
          <w:tcPr>
            <w:tcW w:w="300" w:type="dxa"/>
            <w:vAlign w:val="bottom"/>
            <w:vMerge w:val="restart"/>
          </w:tcPr>
          <w:p>
            <w:pPr>
              <w:jc w:val="right"/>
              <w:ind w:right="114"/>
              <w:spacing w:after="0"/>
              <w:rPr>
                <w:sz w:val="20"/>
                <w:szCs w:val="20"/>
                <w:color w:val="auto"/>
              </w:rPr>
            </w:pPr>
            <w:r>
              <w:rPr>
                <w:rFonts w:ascii="Arial" w:cs="Arial" w:eastAsia="Arial" w:hAnsi="Arial"/>
                <w:sz w:val="17"/>
                <w:szCs w:val="17"/>
                <w:color w:val="auto"/>
                <w:w w:val="84"/>
              </w:rPr>
              <w:t>$</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198"/>
        </w:trPr>
        <w:tc>
          <w:tcPr>
            <w:tcW w:w="4840" w:type="dxa"/>
            <w:vAlign w:val="bottom"/>
          </w:tcPr>
          <w:p>
            <w:pPr>
              <w:ind w:left="20"/>
              <w:spacing w:after="0" w:line="193" w:lineRule="exact"/>
              <w:rPr>
                <w:sz w:val="20"/>
                <w:szCs w:val="20"/>
                <w:color w:val="auto"/>
              </w:rPr>
            </w:pPr>
            <w:r>
              <w:rPr>
                <w:rFonts w:ascii="Arial" w:cs="Arial" w:eastAsia="Arial" w:hAnsi="Arial"/>
                <w:sz w:val="17"/>
                <w:szCs w:val="17"/>
                <w:color w:val="auto"/>
              </w:rPr>
              <w:t>stockholders</w:t>
            </w:r>
          </w:p>
        </w:tc>
        <w:tc>
          <w:tcPr>
            <w:tcW w:w="2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7"/>
                <w:szCs w:val="17"/>
                <w:color w:val="auto"/>
                <w:w w:val="91"/>
              </w:rPr>
              <w:t>F-72</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4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89" w:name="page290"/>
    <w:bookmarkEnd w:id="289"/>
    <w:p>
      <w:pPr>
        <w:spacing w:after="0"/>
        <w:rPr>
          <w:sz w:val="20"/>
          <w:szCs w:val="20"/>
          <w:color w:val="auto"/>
        </w:rPr>
      </w:pPr>
      <w:r>
        <w:rPr>
          <w:rFonts w:ascii="Arial" w:cs="Arial" w:eastAsia="Arial" w:hAnsi="Arial"/>
          <w:sz w:val="17"/>
          <w:szCs w:val="17"/>
          <w:b w:val="1"/>
          <w:bCs w:val="1"/>
          <w:color w:val="auto"/>
        </w:rPr>
        <w:t>Note 13 - Earnings Per Share (continued)</w:t>
      </w:r>
    </w:p>
    <w:p>
      <w:pPr>
        <w:spacing w:after="0" w:line="351" w:lineRule="exact"/>
        <w:rPr>
          <w:sz w:val="20"/>
          <w:szCs w:val="20"/>
          <w:color w:val="auto"/>
        </w:rPr>
      </w:pPr>
    </w:p>
    <w:p>
      <w:pPr>
        <w:jc w:val="both"/>
        <w:ind w:firstLine="309"/>
        <w:spacing w:after="0" w:line="348" w:lineRule="auto"/>
        <w:rPr>
          <w:sz w:val="20"/>
          <w:szCs w:val="20"/>
          <w:color w:val="auto"/>
        </w:rPr>
      </w:pPr>
      <w:r>
        <w:rPr>
          <w:rFonts w:ascii="Arial" w:cs="Arial" w:eastAsia="Arial" w:hAnsi="Arial"/>
          <w:sz w:val="15"/>
          <w:szCs w:val="15"/>
          <w:color w:val="auto"/>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6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06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w w:val="89"/>
              </w:rPr>
              <w:t>Nine Months Ended September</w:t>
            </w:r>
          </w:p>
        </w:tc>
      </w:tr>
      <w:tr>
        <w:trPr>
          <w:trHeight w:val="179"/>
        </w:trPr>
        <w:tc>
          <w:tcPr>
            <w:tcW w:w="726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30, 2020</w:t>
            </w: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OpCo Units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216,801,480</w:t>
            </w: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Class P Units</w:t>
            </w:r>
          </w:p>
        </w:tc>
        <w:tc>
          <w:tcPr>
            <w:tcW w:w="2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12,441,594</w:t>
            </w: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HSKB I Class 1 Units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13,371,074</w:t>
            </w: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HSKB II Class 1 Units</w:t>
            </w:r>
          </w:p>
        </w:tc>
        <w:tc>
          <w:tcPr>
            <w:tcW w:w="1940" w:type="dxa"/>
            <w:vAlign w:val="bottom"/>
          </w:tcPr>
          <w:p>
            <w:pPr>
              <w:jc w:val="right"/>
              <w:spacing w:after="0"/>
              <w:rPr>
                <w:sz w:val="20"/>
                <w:szCs w:val="20"/>
                <w:color w:val="auto"/>
              </w:rPr>
            </w:pPr>
            <w:r>
              <w:rPr>
                <w:rFonts w:ascii="Arial" w:cs="Arial" w:eastAsia="Arial" w:hAnsi="Arial"/>
                <w:sz w:val="17"/>
                <w:szCs w:val="17"/>
                <w:color w:val="auto"/>
              </w:rPr>
              <w:t>1,957,685</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1,891,249</w:t>
            </w: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HSKB II Phantom Units</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364,281</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369,741</w:t>
            </w: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HoldCo Units</w:t>
            </w:r>
          </w:p>
        </w:tc>
        <w:tc>
          <w:tcPr>
            <w:tcW w:w="2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1,231,368</w:t>
            </w: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246,749</w:t>
            </w:r>
          </w:p>
        </w:tc>
      </w:tr>
      <w:tr>
        <w:trPr>
          <w:trHeight w:val="218"/>
        </w:trPr>
        <w:tc>
          <w:tcPr>
            <w:tcW w:w="7260" w:type="dxa"/>
            <w:vAlign w:val="bottom"/>
          </w:tcPr>
          <w:p>
            <w:pPr>
              <w:ind w:left="20"/>
              <w:spacing w:after="0"/>
              <w:rPr>
                <w:sz w:val="20"/>
                <w:szCs w:val="20"/>
                <w:color w:val="auto"/>
              </w:rPr>
            </w:pPr>
            <w:r>
              <w:rPr>
                <w:rFonts w:ascii="Arial" w:cs="Arial" w:eastAsia="Arial" w:hAnsi="Arial"/>
                <w:sz w:val="17"/>
                <w:szCs w:val="17"/>
                <w:color w:val="auto"/>
              </w:rPr>
              <w:t>LTIP Units</w:t>
            </w:r>
          </w:p>
        </w:tc>
        <w:tc>
          <w:tcPr>
            <w:tcW w:w="2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24,706</w:t>
            </w:r>
          </w:p>
        </w:tc>
      </w:tr>
      <w:tr>
        <w:trPr>
          <w:trHeight w:val="219"/>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 of Class A Common Stock Options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256,256</w:t>
            </w:r>
          </w:p>
        </w:tc>
      </w:tr>
      <w:tr>
        <w:trPr>
          <w:trHeight w:val="213"/>
        </w:trPr>
        <w:tc>
          <w:tcPr>
            <w:tcW w:w="7260" w:type="dxa"/>
            <w:vAlign w:val="bottom"/>
          </w:tcPr>
          <w:p>
            <w:pPr>
              <w:ind w:left="20"/>
              <w:spacing w:after="0"/>
              <w:rPr>
                <w:sz w:val="20"/>
                <w:szCs w:val="20"/>
                <w:color w:val="auto"/>
              </w:rPr>
            </w:pPr>
            <w:r>
              <w:rPr>
                <w:rFonts w:ascii="Arial" w:cs="Arial" w:eastAsia="Arial" w:hAnsi="Arial"/>
                <w:sz w:val="17"/>
                <w:szCs w:val="17"/>
                <w:color w:val="auto"/>
              </w:rPr>
              <w:t>Total anti-dilutive securities</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2,321,966</w:t>
            </w:r>
          </w:p>
        </w:tc>
        <w:tc>
          <w:tcPr>
            <w:tcW w:w="12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246,634,217</w:t>
            </w:r>
          </w:p>
        </w:tc>
      </w:tr>
      <w:tr>
        <w:trPr>
          <w:trHeight w:val="20"/>
        </w:trPr>
        <w:tc>
          <w:tcPr>
            <w:tcW w:w="72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Leases</w:t>
      </w:r>
    </w:p>
    <w:p>
      <w:pPr>
        <w:spacing w:after="0" w:line="171"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0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The Company also has a sublease of a former corporate office. The sublease has a remaining lease term of less than one year. Sublease income, which is recorded as a reduction of rent expense and allocated to the appropriate financial statement line item to arrive at </w:t>
      </w:r>
      <w:r>
        <w:rPr>
          <w:rFonts w:ascii="Arial" w:cs="Arial" w:eastAsia="Arial" w:hAnsi="Arial"/>
          <w:sz w:val="17"/>
          <w:szCs w:val="17"/>
          <w:i w:val="1"/>
          <w:iCs w:val="1"/>
          <w:color w:val="auto"/>
        </w:rPr>
        <w:t>Income from operations</w:t>
      </w:r>
      <w:r>
        <w:rPr>
          <w:rFonts w:ascii="Arial" w:cs="Arial" w:eastAsia="Arial" w:hAnsi="Arial"/>
          <w:sz w:val="17"/>
          <w:szCs w:val="17"/>
          <w:color w:val="auto"/>
        </w:rPr>
        <w:t xml:space="preserve"> in the Consolidated Statements of Operations was immaterial for the three and nine months ended September 30, 2020 and 2019.</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are additional details related to leases recorded on our balance sheet as of September 30, 2020 and December 31,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September 30,</w:t>
            </w:r>
          </w:p>
        </w:tc>
        <w:tc>
          <w:tcPr>
            <w:tcW w:w="320" w:type="dxa"/>
            <w:vAlign w:val="bottom"/>
          </w:tcPr>
          <w:p>
            <w:pPr>
              <w:spacing w:after="0"/>
              <w:rPr>
                <w:sz w:val="16"/>
                <w:szCs w:val="16"/>
                <w:color w:val="auto"/>
              </w:rPr>
            </w:pPr>
          </w:p>
        </w:tc>
        <w:tc>
          <w:tcPr>
            <w:tcW w:w="1500" w:type="dxa"/>
            <w:vAlign w:val="bottom"/>
          </w:tcPr>
          <w:p>
            <w:pPr>
              <w:jc w:val="right"/>
              <w:ind w:right="421"/>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45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2019</w:t>
            </w:r>
          </w:p>
        </w:tc>
      </w:tr>
      <w:tr>
        <w:trPr>
          <w:trHeight w:val="200"/>
        </w:trPr>
        <w:tc>
          <w:tcPr>
            <w:tcW w:w="450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3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8"/>
        </w:trPr>
        <w:tc>
          <w:tcPr>
            <w:tcW w:w="4500" w:type="dxa"/>
            <w:vAlign w:val="bottom"/>
          </w:tcPr>
          <w:p>
            <w:pPr>
              <w:ind w:left="20"/>
              <w:spacing w:after="0"/>
              <w:rPr>
                <w:sz w:val="20"/>
                <w:szCs w:val="20"/>
                <w:color w:val="auto"/>
              </w:rPr>
            </w:pPr>
            <w:r>
              <w:rPr>
                <w:rFonts w:ascii="Arial" w:cs="Arial" w:eastAsia="Arial" w:hAnsi="Arial"/>
                <w:sz w:val="17"/>
                <w:szCs w:val="17"/>
                <w:color w:val="auto"/>
              </w:rPr>
              <w:t>Operating lease right-of-use assets, net</w:t>
            </w:r>
          </w:p>
        </w:tc>
        <w:tc>
          <w:tcPr>
            <w:tcW w:w="3020" w:type="dxa"/>
            <w:vAlign w:val="bottom"/>
          </w:tcPr>
          <w:p>
            <w:pPr>
              <w:ind w:left="1180"/>
              <w:spacing w:after="0"/>
              <w:rPr>
                <w:sz w:val="20"/>
                <w:szCs w:val="20"/>
                <w:color w:val="auto"/>
              </w:rPr>
            </w:pPr>
            <w:r>
              <w:rPr>
                <w:rFonts w:ascii="Arial" w:cs="Arial" w:eastAsia="Arial" w:hAnsi="Arial"/>
                <w:sz w:val="17"/>
                <w:szCs w:val="17"/>
                <w:color w:val="auto"/>
              </w:rPr>
              <w:t>Operating leases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34.0</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36.8</w:t>
            </w:r>
          </w:p>
        </w:tc>
      </w:tr>
      <w:tr>
        <w:trPr>
          <w:trHeight w:val="258"/>
        </w:trPr>
        <w:tc>
          <w:tcPr>
            <w:tcW w:w="450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19"/>
        </w:trPr>
        <w:tc>
          <w:tcPr>
            <w:tcW w:w="45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portion of operating lease liabilities</w:t>
            </w:r>
          </w:p>
        </w:tc>
        <w:tc>
          <w:tcPr>
            <w:tcW w:w="302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Operating leases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7"/>
        </w:trPr>
        <w:tc>
          <w:tcPr>
            <w:tcW w:w="4500" w:type="dxa"/>
            <w:vAlign w:val="bottom"/>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3020" w:type="dxa"/>
            <w:vAlign w:val="bottom"/>
          </w:tcPr>
          <w:p>
            <w:pPr>
              <w:ind w:left="1180"/>
              <w:spacing w:after="0"/>
              <w:rPr>
                <w:sz w:val="20"/>
                <w:szCs w:val="20"/>
                <w:color w:val="auto"/>
              </w:rPr>
            </w:pPr>
            <w:r>
              <w:rPr>
                <w:rFonts w:ascii="Arial" w:cs="Arial" w:eastAsia="Arial" w:hAnsi="Arial"/>
                <w:sz w:val="17"/>
                <w:szCs w:val="17"/>
                <w:color w:val="auto"/>
              </w:rPr>
              <w:t>Operating leases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37.0</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40.7</w:t>
            </w:r>
          </w:p>
        </w:tc>
      </w:tr>
    </w:tbl>
    <w:p>
      <w:pPr>
        <w:spacing w:after="0" w:line="144"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Rent expense was $1.8 million and $1.8 million for the three months ended September 30, 2020 and 2019, respectively. Rent expense was $5.5 million and $4.3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90" w:name="page291"/>
    <w:bookmarkEnd w:id="290"/>
    <w:p>
      <w:pPr>
        <w:spacing w:after="0"/>
        <w:rPr>
          <w:sz w:val="20"/>
          <w:szCs w:val="20"/>
          <w:color w:val="auto"/>
        </w:rPr>
      </w:pPr>
      <w:r>
        <w:rPr>
          <w:rFonts w:ascii="Arial" w:cs="Arial" w:eastAsia="Arial" w:hAnsi="Arial"/>
          <w:sz w:val="17"/>
          <w:szCs w:val="17"/>
          <w:b w:val="1"/>
          <w:bCs w:val="1"/>
          <w:color w:val="auto"/>
        </w:rPr>
        <w:t>Note 14 - Leases (continued)</w:t>
      </w:r>
    </w:p>
    <w:p>
      <w:pPr>
        <w:spacing w:after="0" w:line="3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information related to leases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Pr>
          <w:p>
            <w:pPr>
              <w:ind w:left="20"/>
              <w:spacing w:after="0"/>
              <w:rPr>
                <w:sz w:val="20"/>
                <w:szCs w:val="20"/>
                <w:color w:val="auto"/>
              </w:rPr>
            </w:pPr>
            <w:r>
              <w:rPr>
                <w:rFonts w:ascii="Arial" w:cs="Arial" w:eastAsia="Arial" w:hAnsi="Arial"/>
                <w:sz w:val="17"/>
                <w:szCs w:val="17"/>
                <w:i w:val="1"/>
                <w:iCs w:val="1"/>
                <w:color w:val="auto"/>
              </w:rPr>
              <w:t>(unaudited, in millions)</w:t>
            </w:r>
          </w:p>
        </w:tc>
        <w:tc>
          <w:tcPr>
            <w:tcW w:w="274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459"/>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0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Supplemental Cash Flow Information</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48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w w:val="98"/>
              </w:rPr>
              <w:t>Cash paid for amounts included in the measurement of operating</w:t>
            </w:r>
          </w:p>
        </w:tc>
        <w:tc>
          <w:tcPr>
            <w:tcW w:w="1080" w:type="dxa"/>
            <w:vAlign w:val="bottom"/>
            <w:vMerge w:val="restart"/>
            <w:shd w:val="clear" w:color="auto" w:fill="CCEEFF"/>
          </w:tcPr>
          <w:p>
            <w:pPr>
              <w:jc w:val="right"/>
              <w:ind w:right="901"/>
              <w:spacing w:after="0"/>
              <w:rPr>
                <w:sz w:val="20"/>
                <w:szCs w:val="20"/>
                <w:color w:val="auto"/>
              </w:rPr>
            </w:pPr>
            <w:r>
              <w:rPr>
                <w:rFonts w:ascii="Arial" w:cs="Arial" w:eastAsia="Arial" w:hAnsi="Arial"/>
                <w:sz w:val="17"/>
                <w:szCs w:val="17"/>
                <w:color w:val="auto"/>
                <w:w w:val="84"/>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0.9</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5.3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108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Lease liabilities arising from obtaining right-of-use assets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7"/>
                <w:szCs w:val="17"/>
                <w:color w:val="auto"/>
              </w:rPr>
              <w:t>From Zoom Information, Inc. acquisition</w:t>
            </w:r>
          </w:p>
        </w:tc>
        <w:tc>
          <w:tcPr>
            <w:tcW w:w="1080" w:type="dxa"/>
            <w:vAlign w:val="bottom"/>
          </w:tcPr>
          <w:p>
            <w:pPr>
              <w:jc w:val="right"/>
              <w:ind w:right="901"/>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938"/>
              <w:spacing w:after="0"/>
              <w:rPr>
                <w:sz w:val="20"/>
                <w:szCs w:val="20"/>
                <w:color w:val="auto"/>
              </w:rPr>
            </w:pPr>
            <w:r>
              <w:rPr>
                <w:rFonts w:ascii="Arial" w:cs="Arial" w:eastAsia="Arial" w:hAnsi="Arial"/>
                <w:sz w:val="17"/>
                <w:szCs w:val="17"/>
                <w:color w:val="auto"/>
                <w:w w:val="84"/>
              </w:rPr>
              <w:t>$</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gridSpan w:val="4"/>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355"/>
        </w:trPr>
        <w:tc>
          <w:tcPr>
            <w:tcW w:w="4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w w:val="97"/>
              </w:rPr>
              <w:t>As of</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6"/>
          </w:tcPr>
          <w:p>
            <w:pPr>
              <w:ind w:left="8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Pr>
          <w:p>
            <w:pPr>
              <w:spacing w:after="0"/>
              <w:rPr>
                <w:sz w:val="15"/>
                <w:szCs w:val="15"/>
                <w:color w:val="auto"/>
              </w:rPr>
            </w:pPr>
          </w:p>
        </w:tc>
        <w:tc>
          <w:tcPr>
            <w:tcW w:w="1400" w:type="dxa"/>
            <w:vAlign w:val="bottom"/>
          </w:tcPr>
          <w:p>
            <w:pPr>
              <w:jc w:val="right"/>
              <w:ind w:right="199"/>
              <w:spacing w:after="0"/>
              <w:rPr>
                <w:sz w:val="20"/>
                <w:szCs w:val="20"/>
                <w:color w:val="auto"/>
              </w:rPr>
            </w:pPr>
            <w:r>
              <w:rPr>
                <w:rFonts w:ascii="Arial" w:cs="Arial" w:eastAsia="Arial" w:hAnsi="Arial"/>
                <w:sz w:val="14"/>
                <w:szCs w:val="14"/>
                <w:b w:val="1"/>
                <w:bCs w:val="1"/>
                <w:color w:val="auto"/>
                <w:w w:val="87"/>
              </w:rPr>
              <w:t>December 31, 2019</w:t>
            </w:r>
          </w:p>
        </w:tc>
        <w:tc>
          <w:tcPr>
            <w:tcW w:w="0" w:type="dxa"/>
            <w:vAlign w:val="bottom"/>
          </w:tcPr>
          <w:p>
            <w:pPr>
              <w:spacing w:after="0"/>
              <w:rPr>
                <w:sz w:val="1"/>
                <w:szCs w:val="1"/>
                <w:color w:val="auto"/>
              </w:rPr>
            </w:pPr>
          </w:p>
        </w:tc>
      </w:tr>
      <w:tr>
        <w:trPr>
          <w:trHeight w:val="213"/>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10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table below reconciles the undiscounted future minimum lease payments under non-cancelable leases to the total lease liabilities recognized on the condensed consolidated balance sheets as of September 30, 2020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3"/>
              </w:rPr>
              <w:t>Operating Leases</w:t>
            </w:r>
          </w:p>
        </w:tc>
      </w:tr>
      <w:tr>
        <w:trPr>
          <w:trHeight w:val="21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 (excluding nine months ended September 30, 2020)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2021</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r>
      <w:tr>
        <w:trPr>
          <w:trHeight w:val="21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effects of discounting</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r>
      <w:tr>
        <w:trPr>
          <w:trHeight w:val="23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71"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Reported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390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lease liabilities, net of current portion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lease liabilities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above does not include any legally binding minimum lease payments for leases signed but not yet commenced.</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1269" w:hanging="1269"/>
        <w:spacing w:after="0"/>
        <w:tabs>
          <w:tab w:leader="none" w:pos="1269" w:val="left"/>
        </w:tabs>
        <w:numPr>
          <w:ilvl w:val="0"/>
          <w:numId w:val="152"/>
        </w:numPr>
        <w:rPr>
          <w:rFonts w:ascii="Arial" w:cs="Arial" w:eastAsia="Arial" w:hAnsi="Arial"/>
          <w:sz w:val="15"/>
          <w:szCs w:val="15"/>
          <w:color w:val="auto"/>
        </w:rPr>
      </w:pPr>
      <w:r>
        <w:rPr>
          <w:rFonts w:ascii="Arial" w:cs="Arial" w:eastAsia="Arial" w:hAnsi="Arial"/>
          <w:sz w:val="15"/>
          <w:szCs w:val="15"/>
          <w:color w:val="auto"/>
        </w:rPr>
        <w:t>4.9</w:t>
      </w:r>
    </w:p>
    <w:p>
      <w:pPr>
        <w:spacing w:after="0" w:line="46" w:lineRule="exact"/>
        <w:rPr>
          <w:rFonts w:ascii="Arial" w:cs="Arial" w:eastAsia="Arial" w:hAnsi="Arial"/>
          <w:sz w:val="15"/>
          <w:szCs w:val="15"/>
          <w:color w:val="auto"/>
        </w:rPr>
      </w:pPr>
    </w:p>
    <w:p>
      <w:pPr>
        <w:ind w:left="1189"/>
        <w:spacing w:after="0"/>
        <w:rPr>
          <w:rFonts w:ascii="Arial" w:cs="Arial" w:eastAsia="Arial" w:hAnsi="Arial"/>
          <w:sz w:val="15"/>
          <w:szCs w:val="15"/>
          <w:color w:val="auto"/>
        </w:rPr>
      </w:pPr>
      <w:r>
        <w:rPr>
          <w:rFonts w:ascii="Arial" w:cs="Arial" w:eastAsia="Arial" w:hAnsi="Arial"/>
          <w:sz w:val="15"/>
          <w:szCs w:val="15"/>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99758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39" w:lineRule="exact"/>
        <w:rPr>
          <w:sz w:val="20"/>
          <w:szCs w:val="20"/>
          <w:color w:val="auto"/>
        </w:rPr>
      </w:pPr>
    </w:p>
    <w:p>
      <w:pPr>
        <w:ind w:left="1189" w:hanging="1189"/>
        <w:spacing w:after="0"/>
        <w:tabs>
          <w:tab w:leader="none" w:pos="1189" w:val="left"/>
        </w:tabs>
        <w:numPr>
          <w:ilvl w:val="0"/>
          <w:numId w:val="153"/>
        </w:numPr>
        <w:rPr>
          <w:rFonts w:ascii="Arial" w:cs="Arial" w:eastAsia="Arial" w:hAnsi="Arial"/>
          <w:sz w:val="15"/>
          <w:szCs w:val="15"/>
          <w:color w:val="auto"/>
        </w:rPr>
      </w:pPr>
      <w:r>
        <w:rPr>
          <w:rFonts w:ascii="Arial" w:cs="Arial" w:eastAsia="Arial" w:hAnsi="Arial"/>
          <w:sz w:val="15"/>
          <w:szCs w:val="15"/>
          <w:color w:val="auto"/>
        </w:rPr>
        <w:t>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99758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9758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53975</wp:posOffset>
            </wp:positionV>
            <wp:extent cx="99758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8971" w:space="720"/>
            <w:col w:w="1549"/>
          </w:cols>
          <w:pgMar w:left="320" w:top="971" w:right="339" w:bottom="1440" w:gutter="0" w:footer="0" w:header="0"/>
          <w:type w:val="continuous"/>
        </w:sectPr>
      </w:pPr>
    </w:p>
    <w:p>
      <w:pPr>
        <w:jc w:val="both"/>
        <w:ind w:firstLine="309"/>
        <w:spacing w:after="0" w:line="261" w:lineRule="auto"/>
        <w:rPr>
          <w:sz w:val="20"/>
          <w:szCs w:val="20"/>
          <w:color w:val="auto"/>
        </w:rPr>
      </w:pPr>
      <w:r>
        <w:rPr>
          <w:rFonts w:ascii="Arial" w:cs="Arial" w:eastAsia="Arial" w:hAnsi="Arial"/>
          <w:sz w:val="17"/>
          <w:szCs w:val="17"/>
          <w:color w:val="auto"/>
        </w:rPr>
        <w:t>As of September 30, 2020, we had additional operating leases for office space that have not yet commenced with undiscounted future lease payments of $2.7 million. These operating leases will commence in the fourth quarter of fiscal year 2020. Expense associated with short term leases and variable lease costs were immaterial for the three and nine months ended September 30, 2020. The expense related to short-term leases reasonably reflects our short-term lease commitments.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type w:val="continuous"/>
        </w:sectPr>
      </w:pPr>
    </w:p>
    <w:bookmarkStart w:id="291" w:name="page292"/>
    <w:bookmarkEnd w:id="291"/>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Redeemable Series A Preferred Units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On June 8, 2020, the Company redeemed and cancelled all outstanding Series A Preferred Units of ZoomInfo OpCo for $274.2 million, the total redemption price, resulting in a $74.0 million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The total redemption price paid included the carrying amount of $200.2 million, accreted but unpaid dividends of $45.4 million, and an excess amount due upon early redemption of $28.6 million. Of the $28.6 million excess amount paid, $17.6 million was attributed to noncontrolling interests and $11.0 million to common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Equity-based Compensation</w:t>
      </w:r>
    </w:p>
    <w:p>
      <w:pPr>
        <w:spacing w:after="0" w:line="165" w:lineRule="exact"/>
        <w:rPr>
          <w:sz w:val="20"/>
          <w:szCs w:val="20"/>
          <w:color w:val="auto"/>
        </w:rPr>
      </w:pPr>
    </w:p>
    <w:p>
      <w:pPr>
        <w:jc w:val="both"/>
        <w:ind w:firstLine="309"/>
        <w:spacing w:after="0" w:line="281" w:lineRule="auto"/>
        <w:rPr>
          <w:sz w:val="20"/>
          <w:szCs w:val="20"/>
          <w:color w:val="auto"/>
        </w:rPr>
      </w:pPr>
      <w:r>
        <w:rPr>
          <w:rFonts w:ascii="Arial" w:cs="Arial" w:eastAsia="Arial" w:hAnsi="Arial"/>
          <w:sz w:val="16"/>
          <w:szCs w:val="16"/>
          <w:b w:val="1"/>
          <w:bCs w:val="1"/>
          <w:color w:val="auto"/>
        </w:rPr>
        <w:t xml:space="preserve">2020 Omnibus Incentive Plan </w:t>
      </w:r>
      <w:r>
        <w:rPr>
          <w:rFonts w:ascii="Arial" w:cs="Arial" w:eastAsia="Arial" w:hAnsi="Arial"/>
          <w:sz w:val="16"/>
          <w:szCs w:val="16"/>
          <w:color w:val="auto"/>
        </w:rPr>
        <w:t>- On May 27, 2020, the Board of Directors of the Company (the “Board”) adopted the ZoomInfo Technologies Inc. 2020</w:t>
      </w:r>
      <w:r>
        <w:rPr>
          <w:rFonts w:ascii="Arial" w:cs="Arial" w:eastAsia="Arial" w:hAnsi="Arial"/>
          <w:sz w:val="16"/>
          <w:szCs w:val="16"/>
          <w:b w:val="1"/>
          <w:bCs w:val="1"/>
          <w:color w:val="auto"/>
        </w:rPr>
        <w:t xml:space="preserve"> </w:t>
      </w:r>
      <w:r>
        <w:rPr>
          <w:rFonts w:ascii="Arial" w:cs="Arial" w:eastAsia="Arial" w:hAnsi="Arial"/>
          <w:sz w:val="16"/>
          <w:szCs w:val="16"/>
          <w:color w:val="auto"/>
        </w:rPr>
        <w:t>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14"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11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123"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130"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2" w:name="page293"/>
    <w:bookmarkEnd w:id="292"/>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Restricted Stock Unit (“RSU”) activity was as follows during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35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27"/>
        </w:trPr>
        <w:tc>
          <w:tcPr>
            <w:tcW w:w="7680" w:type="dxa"/>
            <w:vAlign w:val="bottom"/>
          </w:tcPr>
          <w:p>
            <w:pPr>
              <w:spacing w:after="0"/>
              <w:rPr>
                <w:sz w:val="11"/>
                <w:szCs w:val="11"/>
                <w:color w:val="auto"/>
              </w:rPr>
            </w:pPr>
          </w:p>
        </w:tc>
        <w:tc>
          <w:tcPr>
            <w:tcW w:w="17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jc w:val="right"/>
              <w:ind w:right="59"/>
              <w:spacing w:after="0" w:line="127" w:lineRule="exact"/>
              <w:rPr>
                <w:sz w:val="20"/>
                <w:szCs w:val="20"/>
                <w:color w:val="auto"/>
              </w:rPr>
            </w:pPr>
            <w:r>
              <w:rPr>
                <w:rFonts w:ascii="Arial" w:cs="Arial" w:eastAsia="Arial" w:hAnsi="Arial"/>
                <w:sz w:val="14"/>
                <w:szCs w:val="14"/>
                <w:b w:val="1"/>
                <w:bCs w:val="1"/>
                <w:color w:val="auto"/>
                <w:w w:val="88"/>
              </w:rPr>
              <w:t>Weighted Average Grant</w:t>
            </w:r>
          </w:p>
        </w:tc>
        <w:tc>
          <w:tcPr>
            <w:tcW w:w="0" w:type="dxa"/>
            <w:vAlign w:val="bottom"/>
          </w:tcPr>
          <w:p>
            <w:pPr>
              <w:spacing w:after="0"/>
              <w:rPr>
                <w:sz w:val="1"/>
                <w:szCs w:val="1"/>
                <w:color w:val="auto"/>
              </w:rPr>
            </w:pPr>
          </w:p>
        </w:tc>
      </w:tr>
      <w:tr>
        <w:trPr>
          <w:trHeight w:val="179"/>
        </w:trPr>
        <w:tc>
          <w:tcPr>
            <w:tcW w:w="76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680" w:type="dxa"/>
            <w:vAlign w:val="bottom"/>
          </w:tcPr>
          <w:p>
            <w:pPr>
              <w:ind w:left="120"/>
              <w:spacing w:after="0"/>
              <w:rPr>
                <w:sz w:val="20"/>
                <w:szCs w:val="20"/>
                <w:color w:val="auto"/>
              </w:rPr>
            </w:pPr>
            <w:r>
              <w:rPr>
                <w:rFonts w:ascii="Arial" w:cs="Arial" w:eastAsia="Arial" w:hAnsi="Arial"/>
                <w:sz w:val="17"/>
                <w:szCs w:val="17"/>
                <w:color w:val="auto"/>
              </w:rPr>
              <w:t>Granted</w:t>
            </w:r>
          </w:p>
        </w:tc>
        <w:tc>
          <w:tcPr>
            <w:tcW w:w="1720" w:type="dxa"/>
            <w:vAlign w:val="bottom"/>
          </w:tcPr>
          <w:p>
            <w:pPr>
              <w:jc w:val="right"/>
              <w:spacing w:after="0"/>
              <w:rPr>
                <w:sz w:val="20"/>
                <w:szCs w:val="20"/>
                <w:color w:val="auto"/>
              </w:rPr>
            </w:pPr>
            <w:r>
              <w:rPr>
                <w:rFonts w:ascii="Arial" w:cs="Arial" w:eastAsia="Arial" w:hAnsi="Arial"/>
                <w:sz w:val="17"/>
                <w:szCs w:val="17"/>
                <w:color w:val="auto"/>
              </w:rPr>
              <w:t>829,348</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18"/>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(9,116)</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23.67</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799,607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Options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Unvested Options activity was as follows during the periods indicated:</w:t>
      </w:r>
    </w:p>
    <w:p>
      <w:pPr>
        <w:spacing w:after="0" w:line="194"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Nine Months Ended September 30, 2020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680" w:type="dxa"/>
            <w:vAlign w:val="bottom"/>
          </w:tcPr>
          <w:p>
            <w:pPr>
              <w:spacing w:after="0"/>
              <w:rPr>
                <w:sz w:val="11"/>
                <w:szCs w:val="11"/>
                <w:color w:val="auto"/>
              </w:rPr>
            </w:pPr>
          </w:p>
        </w:tc>
        <w:tc>
          <w:tcPr>
            <w:tcW w:w="1100" w:type="dxa"/>
            <w:vAlign w:val="bottom"/>
            <w:tcBorders>
              <w:top w:val="single" w:sz="8" w:color="auto"/>
            </w:tcBorders>
            <w:vMerge w:val="restart"/>
          </w:tcPr>
          <w:p>
            <w:pPr>
              <w:ind w:left="620"/>
              <w:spacing w:after="0"/>
              <w:rPr>
                <w:sz w:val="20"/>
                <w:szCs w:val="20"/>
                <w:color w:val="auto"/>
              </w:rPr>
            </w:pPr>
            <w:r>
              <w:rPr>
                <w:rFonts w:ascii="Arial" w:cs="Arial" w:eastAsia="Arial" w:hAnsi="Arial"/>
                <w:sz w:val="14"/>
                <w:szCs w:val="14"/>
                <w:b w:val="1"/>
                <w:bCs w:val="1"/>
                <w:color w:val="auto"/>
                <w:w w:val="86"/>
              </w:rPr>
              <w:t>Options</w:t>
            </w: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89"/>
              </w:rPr>
              <w:t>Weighted Average Exercise</w:t>
            </w:r>
          </w:p>
        </w:tc>
        <w:tc>
          <w:tcPr>
            <w:tcW w:w="0" w:type="dxa"/>
            <w:vAlign w:val="bottom"/>
          </w:tcPr>
          <w:p>
            <w:pPr>
              <w:spacing w:after="0"/>
              <w:rPr>
                <w:sz w:val="1"/>
                <w:szCs w:val="1"/>
                <w:color w:val="auto"/>
              </w:rPr>
            </w:pPr>
          </w:p>
        </w:tc>
      </w:tr>
      <w:tr>
        <w:trPr>
          <w:trHeight w:val="179"/>
        </w:trPr>
        <w:tc>
          <w:tcPr>
            <w:tcW w:w="76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780" w:type="dxa"/>
            <w:vAlign w:val="bottom"/>
            <w:gridSpan w:val="2"/>
          </w:tcPr>
          <w:p>
            <w:pPr>
              <w:ind w:left="120"/>
              <w:spacing w:after="0"/>
              <w:rPr>
                <w:sz w:val="20"/>
                <w:szCs w:val="20"/>
                <w:color w:val="auto"/>
              </w:rPr>
            </w:pPr>
            <w:r>
              <w:rPr>
                <w:rFonts w:ascii="Arial" w:cs="Arial" w:eastAsia="Arial" w:hAnsi="Arial"/>
                <w:sz w:val="17"/>
                <w:szCs w:val="17"/>
                <w:color w:val="auto"/>
              </w:rPr>
              <w:t>Effect of Reorganization Transactions and IPO</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576,708</w:t>
            </w:r>
          </w:p>
        </w:tc>
        <w:tc>
          <w:tcPr>
            <w:tcW w:w="500" w:type="dxa"/>
            <w:vAlign w:val="bottom"/>
            <w:gridSpan w:val="2"/>
          </w:tcPr>
          <w:p>
            <w:pPr>
              <w:jc w:val="right"/>
              <w:ind w:right="231"/>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Forfeited</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(10,120)</w:t>
            </w:r>
          </w:p>
        </w:tc>
        <w:tc>
          <w:tcPr>
            <w:tcW w:w="50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13"/>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Unvested at end of period</w:t>
            </w:r>
          </w:p>
        </w:tc>
        <w:tc>
          <w:tcPr>
            <w:tcW w:w="620" w:type="dxa"/>
            <w:vAlign w:val="bottom"/>
          </w:tcPr>
          <w:p>
            <w:pPr>
              <w:jc w:val="right"/>
              <w:spacing w:after="0"/>
              <w:rPr>
                <w:sz w:val="20"/>
                <w:szCs w:val="20"/>
                <w:color w:val="auto"/>
              </w:rPr>
            </w:pPr>
            <w:r>
              <w:rPr>
                <w:rFonts w:ascii="Arial" w:cs="Arial" w:eastAsia="Arial" w:hAnsi="Arial"/>
                <w:sz w:val="17"/>
                <w:szCs w:val="17"/>
                <w:color w:val="auto"/>
                <w:w w:val="87"/>
              </w:rPr>
              <w:t>566,588</w:t>
            </w:r>
          </w:p>
        </w:tc>
        <w:tc>
          <w:tcPr>
            <w:tcW w:w="500" w:type="dxa"/>
            <w:vAlign w:val="bottom"/>
            <w:gridSpan w:val="2"/>
          </w:tcPr>
          <w:p>
            <w:pPr>
              <w:jc w:val="right"/>
              <w:ind w:right="231"/>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aggregate intrinsic value and weighted average remaining contractual terms of Options outstanding and Options exercisable were as follows as of September 30,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3"/>
              </w:rPr>
              <w:t>September 30, 2020</w:t>
            </w:r>
          </w:p>
        </w:tc>
      </w:tr>
      <w:tr>
        <w:trPr>
          <w:trHeight w:val="205"/>
        </w:trPr>
        <w:tc>
          <w:tcPr>
            <w:tcW w:w="9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intrinsic value (in millions)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8"/>
        </w:trPr>
        <w:tc>
          <w:tcPr>
            <w:tcW w:w="9520" w:type="dxa"/>
            <w:vAlign w:val="bottom"/>
          </w:tcPr>
          <w:p>
            <w:pPr>
              <w:ind w:left="120"/>
              <w:spacing w:after="0"/>
              <w:rPr>
                <w:sz w:val="20"/>
                <w:szCs w:val="20"/>
                <w:color w:val="auto"/>
              </w:rPr>
            </w:pPr>
            <w:r>
              <w:rPr>
                <w:rFonts w:ascii="Arial" w:cs="Arial" w:eastAsia="Arial" w:hAnsi="Arial"/>
                <w:sz w:val="17"/>
                <w:szCs w:val="17"/>
                <w:color w:val="auto"/>
              </w:rPr>
              <w:t>Unit Options outstanding</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20"/>
        </w:trPr>
        <w:tc>
          <w:tcPr>
            <w:tcW w:w="9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 Options exercisable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9520" w:type="dxa"/>
            <w:vAlign w:val="bottom"/>
          </w:tcPr>
          <w:p>
            <w:pPr>
              <w:ind w:left="20"/>
              <w:spacing w:after="0"/>
              <w:rPr>
                <w:sz w:val="20"/>
                <w:szCs w:val="20"/>
                <w:color w:val="auto"/>
              </w:rPr>
            </w:pPr>
            <w:r>
              <w:rPr>
                <w:rFonts w:ascii="Arial" w:cs="Arial" w:eastAsia="Arial" w:hAnsi="Arial"/>
                <w:sz w:val="17"/>
                <w:szCs w:val="17"/>
                <w:color w:val="auto"/>
              </w:rPr>
              <w:t>Weighted average remaining contractual life (in years)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0"/>
        </w:trPr>
        <w:tc>
          <w:tcPr>
            <w:tcW w:w="9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Unit Options outstanding</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 years</w:t>
            </w:r>
          </w:p>
        </w:tc>
      </w:tr>
      <w:tr>
        <w:trPr>
          <w:trHeight w:val="217"/>
        </w:trPr>
        <w:tc>
          <w:tcPr>
            <w:tcW w:w="9520" w:type="dxa"/>
            <w:vAlign w:val="bottom"/>
          </w:tcPr>
          <w:p>
            <w:pPr>
              <w:ind w:left="120"/>
              <w:spacing w:after="0"/>
              <w:rPr>
                <w:sz w:val="20"/>
                <w:szCs w:val="20"/>
                <w:color w:val="auto"/>
              </w:rPr>
            </w:pPr>
            <w:r>
              <w:rPr>
                <w:rFonts w:ascii="Arial" w:cs="Arial" w:eastAsia="Arial" w:hAnsi="Arial"/>
                <w:sz w:val="17"/>
                <w:szCs w:val="17"/>
                <w:color w:val="auto"/>
              </w:rPr>
              <w:t>Unit Options exercisable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144"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All Options outstanding were issued at the time of the IPO. No additional options have been issued to date. The fair value of Class A stock options granted at the time of the IPO was determined using the Black-Scholes option pricing model with the following assumption ranges and fair value per unit: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Nine Months Ended</w:t>
            </w:r>
          </w:p>
        </w:tc>
      </w:tr>
      <w:tr>
        <w:trPr>
          <w:trHeight w:val="179"/>
        </w:trPr>
        <w:tc>
          <w:tcPr>
            <w:tcW w:w="94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September 30, 2020</w:t>
            </w:r>
          </w:p>
        </w:tc>
      </w:tr>
      <w:tr>
        <w:trPr>
          <w:trHeight w:val="213"/>
        </w:trPr>
        <w:tc>
          <w:tcPr>
            <w:tcW w:w="9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39.0% to 39.3%</w:t>
            </w:r>
          </w:p>
        </w:tc>
      </w:tr>
      <w:tr>
        <w:trPr>
          <w:trHeight w:val="218"/>
        </w:trPr>
        <w:tc>
          <w:tcPr>
            <w:tcW w:w="9420" w:type="dxa"/>
            <w:vAlign w:val="bottom"/>
          </w:tcPr>
          <w:p>
            <w:pPr>
              <w:ind w:left="20"/>
              <w:spacing w:after="0"/>
              <w:rPr>
                <w:sz w:val="20"/>
                <w:szCs w:val="20"/>
                <w:color w:val="auto"/>
              </w:rPr>
            </w:pPr>
            <w:r>
              <w:rPr>
                <w:rFonts w:ascii="Arial" w:cs="Arial" w:eastAsia="Arial" w:hAnsi="Arial"/>
                <w:sz w:val="17"/>
                <w:szCs w:val="17"/>
                <w:color w:val="auto"/>
              </w:rPr>
              <w:t>Expected life</w:t>
            </w:r>
          </w:p>
        </w:tc>
        <w:tc>
          <w:tcPr>
            <w:tcW w:w="1820" w:type="dxa"/>
            <w:vAlign w:val="bottom"/>
          </w:tcPr>
          <w:p>
            <w:pPr>
              <w:jc w:val="center"/>
              <w:spacing w:after="0"/>
              <w:rPr>
                <w:sz w:val="20"/>
                <w:szCs w:val="20"/>
                <w:color w:val="auto"/>
              </w:rPr>
            </w:pPr>
            <w:r>
              <w:rPr>
                <w:rFonts w:ascii="Arial" w:cs="Arial" w:eastAsia="Arial" w:hAnsi="Arial"/>
                <w:sz w:val="17"/>
                <w:szCs w:val="17"/>
                <w:color w:val="auto"/>
                <w:w w:val="88"/>
              </w:rPr>
              <w:t>5.6 to 5.9 years</w:t>
            </w:r>
          </w:p>
        </w:tc>
      </w:tr>
      <w:tr>
        <w:trPr>
          <w:trHeight w:val="220"/>
        </w:trPr>
        <w:tc>
          <w:tcPr>
            <w:tcW w:w="9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1820" w:type="dxa"/>
            <w:vAlign w:val="bottom"/>
            <w:shd w:val="clear" w:color="auto" w:fill="CCEEFF"/>
          </w:tcPr>
          <w:p>
            <w:pPr>
              <w:jc w:val="right"/>
              <w:ind w:right="640"/>
              <w:spacing w:after="0"/>
              <w:rPr>
                <w:sz w:val="20"/>
                <w:szCs w:val="20"/>
                <w:color w:val="auto"/>
              </w:rPr>
            </w:pPr>
            <w:r>
              <w:rPr>
                <w:rFonts w:ascii="Arial" w:cs="Arial" w:eastAsia="Arial" w:hAnsi="Arial"/>
                <w:sz w:val="17"/>
                <w:szCs w:val="17"/>
                <w:color w:val="auto"/>
              </w:rPr>
              <w:t>0.5%</w:t>
            </w:r>
          </w:p>
        </w:tc>
      </w:tr>
      <w:tr>
        <w:trPr>
          <w:trHeight w:val="217"/>
        </w:trPr>
        <w:tc>
          <w:tcPr>
            <w:tcW w:w="9420" w:type="dxa"/>
            <w:vAlign w:val="bottom"/>
          </w:tcPr>
          <w:p>
            <w:pPr>
              <w:ind w:left="20"/>
              <w:spacing w:after="0"/>
              <w:rPr>
                <w:sz w:val="20"/>
                <w:szCs w:val="20"/>
                <w:color w:val="auto"/>
              </w:rPr>
            </w:pPr>
            <w:r>
              <w:rPr>
                <w:rFonts w:ascii="Arial" w:cs="Arial" w:eastAsia="Arial" w:hAnsi="Arial"/>
                <w:sz w:val="17"/>
                <w:szCs w:val="17"/>
                <w:color w:val="auto"/>
              </w:rPr>
              <w:t>Fair value per unit</w:t>
            </w:r>
          </w:p>
        </w:tc>
        <w:tc>
          <w:tcPr>
            <w:tcW w:w="1820" w:type="dxa"/>
            <w:vAlign w:val="bottom"/>
          </w:tcPr>
          <w:p>
            <w:pPr>
              <w:jc w:val="right"/>
              <w:ind w:right="580"/>
              <w:spacing w:after="0"/>
              <w:rPr>
                <w:sz w:val="20"/>
                <w:szCs w:val="20"/>
                <w:color w:val="auto"/>
              </w:rPr>
            </w:pPr>
            <w:r>
              <w:rPr>
                <w:rFonts w:ascii="Arial" w:cs="Arial" w:eastAsia="Arial" w:hAnsi="Arial"/>
                <w:sz w:val="17"/>
                <w:szCs w:val="17"/>
                <w:color w:val="auto"/>
              </w:rPr>
              <w:t>$21.00</w:t>
            </w:r>
          </w:p>
        </w:tc>
      </w:tr>
    </w:tbl>
    <w:p>
      <w:pPr>
        <w:spacing w:after="0" w:line="14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HoldCo Units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Unvested HoldCo Unit activity was as follows during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27"/>
        </w:trPr>
        <w:tc>
          <w:tcPr>
            <w:tcW w:w="58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0"/>
              </w:rPr>
              <w:t>HoldCo Units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jc w:val="center"/>
              <w:ind w:right="20"/>
              <w:spacing w:after="0" w:line="127" w:lineRule="exact"/>
              <w:rPr>
                <w:sz w:val="20"/>
                <w:szCs w:val="20"/>
                <w:color w:val="auto"/>
              </w:rPr>
            </w:pPr>
            <w:r>
              <w:rPr>
                <w:rFonts w:ascii="Arial" w:cs="Arial" w:eastAsia="Arial" w:hAnsi="Arial"/>
                <w:sz w:val="14"/>
                <w:szCs w:val="14"/>
                <w:b w:val="1"/>
                <w:bCs w:val="1"/>
                <w:color w:val="auto"/>
                <w:w w:val="89"/>
              </w:rPr>
              <w:t>Weighted Average Grant</w:t>
            </w:r>
          </w:p>
        </w:tc>
        <w:tc>
          <w:tcPr>
            <w:tcW w:w="0" w:type="dxa"/>
            <w:vAlign w:val="bottom"/>
          </w:tcPr>
          <w:p>
            <w:pPr>
              <w:spacing w:after="0"/>
              <w:rPr>
                <w:sz w:val="1"/>
                <w:szCs w:val="1"/>
                <w:color w:val="auto"/>
              </w:rPr>
            </w:pPr>
          </w:p>
        </w:tc>
      </w:tr>
      <w:tr>
        <w:trPr>
          <w:trHeight w:val="179"/>
        </w:trPr>
        <w:tc>
          <w:tcPr>
            <w:tcW w:w="584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0"/>
              </w:rPr>
              <w:t>Date Fair Value</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7"/>
                <w:szCs w:val="17"/>
                <w:color w:val="auto"/>
              </w:rPr>
              <w:t>Effect of Reorganization Transactions and IPO</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1,332,239</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18"/>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(12,773)</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end of period</w:t>
            </w: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1,250,879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OpCo Units</w:t>
            </w: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840" w:type="dxa"/>
            <w:vAlign w:val="bottom"/>
          </w:tcPr>
          <w:p>
            <w:pPr>
              <w:ind w:left="320"/>
              <w:spacing w:after="0"/>
              <w:rPr>
                <w:sz w:val="20"/>
                <w:szCs w:val="20"/>
                <w:color w:val="auto"/>
              </w:rPr>
            </w:pPr>
            <w:r>
              <w:rPr>
                <w:rFonts w:ascii="Arial" w:cs="Arial" w:eastAsia="Arial" w:hAnsi="Arial"/>
                <w:sz w:val="17"/>
                <w:szCs w:val="17"/>
                <w:color w:val="auto"/>
              </w:rPr>
              <w:t>OpCo Unit activity was as follows during the periods indicated:</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840" w:type="dxa"/>
            <w:vAlign w:val="bottom"/>
          </w:tcPr>
          <w:p>
            <w:pPr>
              <w:spacing w:after="0"/>
              <w:rPr>
                <w:sz w:val="24"/>
                <w:szCs w:val="24"/>
                <w:color w:val="auto"/>
              </w:rPr>
            </w:pPr>
          </w:p>
        </w:tc>
        <w:tc>
          <w:tcPr>
            <w:tcW w:w="3560" w:type="dxa"/>
            <w:vAlign w:val="bottom"/>
            <w:gridSpan w:val="4"/>
            <w:vMerge w:val="restart"/>
          </w:tcPr>
          <w:p>
            <w:pPr>
              <w:jc w:val="right"/>
              <w:ind w:right="519"/>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9"/>
        </w:trPr>
        <w:tc>
          <w:tcPr>
            <w:tcW w:w="5840" w:type="dxa"/>
            <w:vAlign w:val="bottom"/>
          </w:tcPr>
          <w:p>
            <w:pPr>
              <w:spacing w:after="0"/>
              <w:rPr>
                <w:sz w:val="15"/>
                <w:szCs w:val="15"/>
                <w:color w:val="auto"/>
              </w:rPr>
            </w:pPr>
          </w:p>
        </w:tc>
        <w:tc>
          <w:tcPr>
            <w:tcW w:w="35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8"/>
              </w:rPr>
              <w:t>September 30, 2019</w:t>
            </w:r>
          </w:p>
        </w:tc>
        <w:tc>
          <w:tcPr>
            <w:tcW w:w="0" w:type="dxa"/>
            <w:vAlign w:val="bottom"/>
          </w:tcPr>
          <w:p>
            <w:pPr>
              <w:spacing w:after="0"/>
              <w:rPr>
                <w:sz w:val="1"/>
                <w:szCs w:val="1"/>
                <w:color w:val="auto"/>
              </w:rPr>
            </w:pPr>
          </w:p>
        </w:tc>
      </w:tr>
      <w:tr>
        <w:trPr>
          <w:trHeight w:val="123"/>
        </w:trPr>
        <w:tc>
          <w:tcPr>
            <w:tcW w:w="5840" w:type="dxa"/>
            <w:vAlign w:val="bottom"/>
          </w:tcPr>
          <w:p>
            <w:pPr>
              <w:spacing w:after="0"/>
              <w:rPr>
                <w:sz w:val="10"/>
                <w:szCs w:val="10"/>
                <w:color w:val="auto"/>
              </w:rPr>
            </w:pPr>
          </w:p>
        </w:tc>
        <w:tc>
          <w:tcPr>
            <w:tcW w:w="18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OpCo Units</w:t>
            </w:r>
          </w:p>
        </w:tc>
        <w:tc>
          <w:tcPr>
            <w:tcW w:w="120" w:type="dxa"/>
            <w:vAlign w:val="bottom"/>
          </w:tcPr>
          <w:p>
            <w:pPr>
              <w:spacing w:after="0"/>
              <w:rPr>
                <w:sz w:val="10"/>
                <w:szCs w:val="10"/>
                <w:color w:val="auto"/>
              </w:rPr>
            </w:pPr>
          </w:p>
        </w:tc>
        <w:tc>
          <w:tcPr>
            <w:tcW w:w="1600" w:type="dxa"/>
            <w:vAlign w:val="bottom"/>
          </w:tcPr>
          <w:p>
            <w:pPr>
              <w:jc w:val="center"/>
              <w:ind w:right="19"/>
              <w:spacing w:after="0" w:line="123" w:lineRule="exact"/>
              <w:rPr>
                <w:sz w:val="20"/>
                <w:szCs w:val="20"/>
                <w:color w:val="auto"/>
              </w:rPr>
            </w:pPr>
            <w:r>
              <w:rPr>
                <w:rFonts w:ascii="Arial" w:cs="Arial" w:eastAsia="Arial" w:hAnsi="Arial"/>
                <w:sz w:val="14"/>
                <w:szCs w:val="14"/>
                <w:b w:val="1"/>
                <w:bCs w:val="1"/>
                <w:color w:val="auto"/>
                <w:w w:val="89"/>
              </w:rPr>
              <w:t>Weighted Average Grant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0"/>
              </w:rPr>
              <w:t>OpCo Units</w:t>
            </w:r>
          </w:p>
        </w:tc>
        <w:tc>
          <w:tcPr>
            <w:tcW w:w="0" w:type="dxa"/>
            <w:vAlign w:val="bottom"/>
          </w:tcPr>
          <w:p>
            <w:pPr>
              <w:spacing w:after="0"/>
              <w:rPr>
                <w:sz w:val="1"/>
                <w:szCs w:val="1"/>
                <w:color w:val="auto"/>
              </w:rPr>
            </w:pPr>
          </w:p>
        </w:tc>
      </w:tr>
      <w:tr>
        <w:trPr>
          <w:trHeight w:val="179"/>
        </w:trPr>
        <w:tc>
          <w:tcPr>
            <w:tcW w:w="58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Date Fair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228,819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441,681</w:t>
            </w: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7"/>
                <w:szCs w:val="17"/>
                <w:color w:val="auto"/>
              </w:rPr>
              <w:t>Effect of Reorganization Transactions and IPO</w:t>
            </w:r>
          </w:p>
        </w:tc>
        <w:tc>
          <w:tcPr>
            <w:tcW w:w="1720" w:type="dxa"/>
            <w:vAlign w:val="bottom"/>
          </w:tcPr>
          <w:p>
            <w:pPr>
              <w:jc w:val="right"/>
              <w:spacing w:after="0"/>
              <w:rPr>
                <w:sz w:val="20"/>
                <w:szCs w:val="20"/>
                <w:color w:val="auto"/>
              </w:rPr>
            </w:pPr>
            <w:r>
              <w:rPr>
                <w:rFonts w:ascii="Arial" w:cs="Arial" w:eastAsia="Arial" w:hAnsi="Arial"/>
                <w:sz w:val="17"/>
                <w:szCs w:val="17"/>
                <w:color w:val="auto"/>
              </w:rPr>
              <w:t>(6,909)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10.48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(118,867)</w:t>
            </w:r>
          </w:p>
        </w:tc>
        <w:tc>
          <w:tcPr>
            <w:tcW w:w="0" w:type="dxa"/>
            <w:vAlign w:val="bottom"/>
          </w:tcPr>
          <w:p>
            <w:pPr>
              <w:spacing w:after="0"/>
              <w:rPr>
                <w:sz w:val="1"/>
                <w:szCs w:val="1"/>
                <w:color w:val="auto"/>
              </w:rPr>
            </w:pPr>
          </w:p>
        </w:tc>
      </w:tr>
      <w:tr>
        <w:trPr>
          <w:trHeight w:val="218"/>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(59,692)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0.68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(93,995)</w:t>
            </w: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end of period</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228,819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P Units</w:t>
      </w:r>
    </w:p>
    <w:p>
      <w:pPr>
        <w:spacing w:after="0" w:line="16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Class P Units were issued under both the prior and current LLC agreement of ZoomInfo OpCo. Class P Unit activity was as follows during the periods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560" w:type="dxa"/>
            <w:vAlign w:val="bottom"/>
            <w:gridSpan w:val="4"/>
            <w:vMerge w:val="restart"/>
          </w:tcPr>
          <w:p>
            <w:pPr>
              <w:jc w:val="right"/>
              <w:ind w:right="518"/>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9"/>
        </w:trPr>
        <w:tc>
          <w:tcPr>
            <w:tcW w:w="5840" w:type="dxa"/>
            <w:vAlign w:val="bottom"/>
          </w:tcPr>
          <w:p>
            <w:pPr>
              <w:spacing w:after="0"/>
              <w:rPr>
                <w:sz w:val="15"/>
                <w:szCs w:val="15"/>
                <w:color w:val="auto"/>
              </w:rPr>
            </w:pPr>
          </w:p>
        </w:tc>
        <w:tc>
          <w:tcPr>
            <w:tcW w:w="35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September 30, 2019</w:t>
            </w:r>
          </w:p>
        </w:tc>
        <w:tc>
          <w:tcPr>
            <w:tcW w:w="0" w:type="dxa"/>
            <w:vAlign w:val="bottom"/>
          </w:tcPr>
          <w:p>
            <w:pPr>
              <w:spacing w:after="0"/>
              <w:rPr>
                <w:sz w:val="1"/>
                <w:szCs w:val="1"/>
                <w:color w:val="auto"/>
              </w:rPr>
            </w:pPr>
          </w:p>
        </w:tc>
      </w:tr>
      <w:tr>
        <w:trPr>
          <w:trHeight w:val="123"/>
        </w:trPr>
        <w:tc>
          <w:tcPr>
            <w:tcW w:w="5840" w:type="dxa"/>
            <w:vAlign w:val="bottom"/>
          </w:tcPr>
          <w:p>
            <w:pPr>
              <w:spacing w:after="0"/>
              <w:rPr>
                <w:sz w:val="10"/>
                <w:szCs w:val="10"/>
                <w:color w:val="auto"/>
              </w:rPr>
            </w:pPr>
          </w:p>
        </w:tc>
        <w:tc>
          <w:tcPr>
            <w:tcW w:w="172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Class P Units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jc w:val="right"/>
              <w:ind w:right="238"/>
              <w:spacing w:after="0" w:line="123" w:lineRule="exact"/>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Class P Units</w:t>
            </w:r>
          </w:p>
        </w:tc>
        <w:tc>
          <w:tcPr>
            <w:tcW w:w="0" w:type="dxa"/>
            <w:vAlign w:val="bottom"/>
          </w:tcPr>
          <w:p>
            <w:pPr>
              <w:spacing w:after="0"/>
              <w:rPr>
                <w:sz w:val="1"/>
                <w:szCs w:val="1"/>
                <w:color w:val="auto"/>
              </w:rPr>
            </w:pPr>
          </w:p>
        </w:tc>
      </w:tr>
      <w:tr>
        <w:trPr>
          <w:trHeight w:val="179"/>
        </w:trPr>
        <w:tc>
          <w:tcPr>
            <w:tcW w:w="584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0"/>
              </w:rPr>
              <w:t>Participation Threshold</w:t>
            </w:r>
          </w:p>
        </w:tc>
        <w:tc>
          <w:tcPr>
            <w:tcW w:w="12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16,893,603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120" w:type="dxa"/>
            <w:vAlign w:val="bottom"/>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5,716,467</w:t>
            </w: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7"/>
                <w:szCs w:val="17"/>
                <w:color w:val="auto"/>
              </w:rPr>
              <w:t>Effect of Reorganization Transactions and IPO</w:t>
            </w:r>
          </w:p>
        </w:tc>
        <w:tc>
          <w:tcPr>
            <w:tcW w:w="1720" w:type="dxa"/>
            <w:vAlign w:val="bottom"/>
          </w:tcPr>
          <w:p>
            <w:pPr>
              <w:jc w:val="right"/>
              <w:spacing w:after="0"/>
              <w:rPr>
                <w:sz w:val="20"/>
                <w:szCs w:val="20"/>
                <w:color w:val="auto"/>
              </w:rPr>
            </w:pPr>
            <w:r>
              <w:rPr>
                <w:rFonts w:ascii="Arial" w:cs="Arial" w:eastAsia="Arial" w:hAnsi="Arial"/>
                <w:sz w:val="17"/>
                <w:szCs w:val="17"/>
                <w:color w:val="auto"/>
              </w:rPr>
              <w:t>(1,950,930)</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7.01</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Granted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120" w:type="dxa"/>
            <w:vAlign w:val="bottom"/>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10,831,275</w:t>
            </w: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7"/>
                <w:szCs w:val="17"/>
                <w:color w:val="auto"/>
              </w:rPr>
              <w:t>Vested</w:t>
            </w:r>
          </w:p>
        </w:tc>
        <w:tc>
          <w:tcPr>
            <w:tcW w:w="1720" w:type="dxa"/>
            <w:vAlign w:val="bottom"/>
          </w:tcPr>
          <w:p>
            <w:pPr>
              <w:jc w:val="right"/>
              <w:spacing w:after="0"/>
              <w:rPr>
                <w:sz w:val="20"/>
                <w:szCs w:val="20"/>
                <w:color w:val="auto"/>
              </w:rPr>
            </w:pPr>
            <w:r>
              <w:rPr>
                <w:rFonts w:ascii="Arial" w:cs="Arial" w:eastAsia="Arial" w:hAnsi="Arial"/>
                <w:sz w:val="17"/>
                <w:szCs w:val="17"/>
                <w:color w:val="auto"/>
              </w:rPr>
              <w:t>(5,078,777)</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5.27</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(430,965)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(1,571,151)</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7"/>
                <w:szCs w:val="17"/>
                <w:color w:val="auto"/>
              </w:rPr>
              <w:t>Unvested at end of period</w:t>
            </w:r>
          </w:p>
        </w:tc>
        <w:tc>
          <w:tcPr>
            <w:tcW w:w="1720" w:type="dxa"/>
            <w:vAlign w:val="bottom"/>
          </w:tcPr>
          <w:p>
            <w:pPr>
              <w:jc w:val="right"/>
              <w:spacing w:after="0"/>
              <w:rPr>
                <w:sz w:val="20"/>
                <w:szCs w:val="20"/>
                <w:color w:val="auto"/>
              </w:rPr>
            </w:pPr>
            <w:r>
              <w:rPr>
                <w:rFonts w:ascii="Arial" w:cs="Arial" w:eastAsia="Arial" w:hAnsi="Arial"/>
                <w:sz w:val="17"/>
                <w:szCs w:val="17"/>
                <w:color w:val="auto"/>
              </w:rPr>
              <w:t>10,075,431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6.62</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14,976,591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September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94" w:name="page295"/>
    <w:bookmarkEnd w:id="294"/>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Holdings’ Class P Units automatically results in a cancellation of an equal number of ZoomInfo OpCo’s Class P Units. Management Holdings was subsequently merged with and into ZoomInfo HoldCo in connection with the Reorganization Transactions and IPO.</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On June 3, 2020 concurrent with the pricing of the IPO, the Company granted additional Class P Units. The fair value of these Class P Units was determined using the Black-Scholes option pricing model with the following assumption ranges and fair value per unit: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178"/>
        </w:trPr>
        <w:tc>
          <w:tcPr>
            <w:tcW w:w="76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gridSpan w:val="2"/>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39.9%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 to</w:t>
            </w:r>
          </w:p>
        </w:tc>
        <w:tc>
          <w:tcPr>
            <w:tcW w:w="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41.2%</w:t>
            </w: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Expected life</w:t>
            </w:r>
          </w:p>
        </w:tc>
        <w:tc>
          <w:tcPr>
            <w:tcW w:w="1840" w:type="dxa"/>
            <w:vAlign w:val="bottom"/>
            <w:gridSpan w:val="2"/>
          </w:tcPr>
          <w:p>
            <w:pPr>
              <w:ind w:left="340"/>
              <w:spacing w:after="0"/>
              <w:rPr>
                <w:sz w:val="20"/>
                <w:szCs w:val="20"/>
                <w:color w:val="auto"/>
              </w:rPr>
            </w:pPr>
            <w:r>
              <w:rPr>
                <w:rFonts w:ascii="Arial" w:cs="Arial" w:eastAsia="Arial" w:hAnsi="Arial"/>
                <w:sz w:val="17"/>
                <w:szCs w:val="17"/>
                <w:color w:val="auto"/>
              </w:rPr>
              <w:t>6.5 to 6.8 years</w:t>
            </w:r>
          </w:p>
        </w:tc>
        <w:tc>
          <w:tcPr>
            <w:tcW w:w="1720" w:type="dxa"/>
            <w:vAlign w:val="bottom"/>
            <w:gridSpan w:val="2"/>
          </w:tcPr>
          <w:p>
            <w:pPr>
              <w:jc w:val="center"/>
              <w:spacing w:after="0"/>
              <w:rPr>
                <w:sz w:val="20"/>
                <w:szCs w:val="20"/>
                <w:color w:val="auto"/>
              </w:rPr>
            </w:pPr>
            <w:r>
              <w:rPr>
                <w:rFonts w:ascii="Arial" w:cs="Arial" w:eastAsia="Arial" w:hAnsi="Arial"/>
                <w:sz w:val="17"/>
                <w:szCs w:val="17"/>
                <w:color w:val="auto"/>
                <w:w w:val="86"/>
              </w:rPr>
              <w:t>4 years</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to</w:t>
            </w:r>
          </w:p>
        </w:tc>
        <w:tc>
          <w:tcPr>
            <w:tcW w:w="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2.5%</w:t>
            </w:r>
          </w:p>
        </w:tc>
      </w:tr>
      <w:tr>
        <w:trPr>
          <w:trHeight w:val="217"/>
        </w:trPr>
        <w:tc>
          <w:tcPr>
            <w:tcW w:w="7680" w:type="dxa"/>
            <w:vAlign w:val="bottom"/>
          </w:tcPr>
          <w:p>
            <w:pPr>
              <w:ind w:left="20"/>
              <w:spacing w:after="0"/>
              <w:rPr>
                <w:sz w:val="20"/>
                <w:szCs w:val="20"/>
                <w:color w:val="auto"/>
              </w:rPr>
            </w:pPr>
            <w:r>
              <w:rPr>
                <w:rFonts w:ascii="Arial" w:cs="Arial" w:eastAsia="Arial" w:hAnsi="Arial"/>
                <w:sz w:val="17"/>
                <w:szCs w:val="17"/>
                <w:color w:val="auto"/>
              </w:rPr>
              <w:t>Fair value per unit</w:t>
            </w:r>
          </w:p>
        </w:tc>
        <w:tc>
          <w:tcPr>
            <w:tcW w:w="1720" w:type="dxa"/>
            <w:vAlign w:val="bottom"/>
          </w:tcPr>
          <w:p>
            <w:pPr>
              <w:jc w:val="center"/>
              <w:spacing w:after="0"/>
              <w:rPr>
                <w:sz w:val="20"/>
                <w:szCs w:val="20"/>
                <w:color w:val="auto"/>
              </w:rPr>
            </w:pPr>
            <w:r>
              <w:rPr>
                <w:rFonts w:ascii="Arial" w:cs="Arial" w:eastAsia="Arial" w:hAnsi="Arial"/>
                <w:sz w:val="17"/>
                <w:szCs w:val="17"/>
                <w:color w:val="auto"/>
                <w:w w:val="92"/>
              </w:rPr>
              <w:t>$21.00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$5.20 to</w:t>
            </w:r>
          </w:p>
        </w:tc>
        <w:tc>
          <w:tcPr>
            <w:tcW w:w="760" w:type="dxa"/>
            <w:vAlign w:val="bottom"/>
          </w:tcPr>
          <w:p>
            <w:pPr>
              <w:ind w:left="20"/>
              <w:spacing w:after="0"/>
              <w:rPr>
                <w:sz w:val="20"/>
                <w:szCs w:val="20"/>
                <w:color w:val="auto"/>
              </w:rPr>
            </w:pPr>
            <w:r>
              <w:rPr>
                <w:rFonts w:ascii="Arial" w:cs="Arial" w:eastAsia="Arial" w:hAnsi="Arial"/>
                <w:sz w:val="17"/>
                <w:szCs w:val="17"/>
                <w:color w:val="auto"/>
              </w:rPr>
              <w:t>$9.04</w:t>
            </w:r>
          </w:p>
        </w:tc>
      </w:tr>
    </w:tbl>
    <w:p>
      <w:pPr>
        <w:spacing w:after="0" w:line="14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LTIP Units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LTIP Unit activity was as follows during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356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27"/>
        </w:trPr>
        <w:tc>
          <w:tcPr>
            <w:tcW w:w="7680" w:type="dxa"/>
            <w:vAlign w:val="bottom"/>
          </w:tcPr>
          <w:p>
            <w:pPr>
              <w:spacing w:after="0"/>
              <w:rPr>
                <w:sz w:val="11"/>
                <w:szCs w:val="11"/>
                <w:color w:val="auto"/>
              </w:rPr>
            </w:pPr>
          </w:p>
        </w:tc>
        <w:tc>
          <w:tcPr>
            <w:tcW w:w="172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LTIP Units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Pr>
          <w:p>
            <w:pPr>
              <w:jc w:val="right"/>
              <w:ind w:right="241"/>
              <w:spacing w:after="0" w:line="127"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9"/>
        </w:trPr>
        <w:tc>
          <w:tcPr>
            <w:tcW w:w="76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Participation Threshold</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beginning of period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6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Granted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47,620</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HSKB Incentive Units</w:t>
      </w:r>
    </w:p>
    <w:p>
      <w:pPr>
        <w:spacing w:after="0" w:line="165"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founders of the Company previously contributed membership units of ZoomInfo OpCo into an upper tier entity, HSKB Funds, LLC, which is controlled by the co-founder and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130" w:lineRule="exact"/>
        <w:rPr>
          <w:sz w:val="20"/>
          <w:szCs w:val="20"/>
          <w:color w:val="auto"/>
        </w:rPr>
      </w:pPr>
    </w:p>
    <w:p>
      <w:pPr>
        <w:jc w:val="both"/>
        <w:ind w:firstLine="309"/>
        <w:spacing w:after="0" w:line="297" w:lineRule="auto"/>
        <w:rPr>
          <w:sz w:val="20"/>
          <w:szCs w:val="20"/>
          <w:color w:val="auto"/>
        </w:rPr>
      </w:pPr>
      <w:r>
        <w:rPr>
          <w:rFonts w:ascii="Arial" w:cs="Arial" w:eastAsia="Arial" w:hAnsi="Arial"/>
          <w:sz w:val="15"/>
          <w:szCs w:val="15"/>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95" w:name="page296"/>
    <w:bookmarkEnd w:id="295"/>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the Company will begin to recognize compensation cost under these awards on a straight-line basis in the same manner as if the Company had paid cash in lieu of awarding the HSKB Grants, per the requirements of ASC 718.</w:t>
      </w:r>
    </w:p>
    <w:p>
      <w:pPr>
        <w:spacing w:after="0" w:line="11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nine months ended September 30, 2020, HSKB paid $11.3 million from allocated funds and has $12.2 million remaining that it has allocated to be paid through 2023.</w:t>
      </w:r>
    </w:p>
    <w:p>
      <w:pPr>
        <w:spacing w:after="0" w:line="94" w:lineRule="exact"/>
        <w:rPr>
          <w:sz w:val="20"/>
          <w:szCs w:val="20"/>
          <w:color w:val="auto"/>
        </w:rPr>
      </w:pPr>
    </w:p>
    <w:p>
      <w:pPr>
        <w:jc w:val="both"/>
        <w:ind w:firstLine="309"/>
        <w:spacing w:after="0" w:line="276" w:lineRule="auto"/>
        <w:rPr>
          <w:sz w:val="20"/>
          <w:szCs w:val="20"/>
          <w:color w:val="auto"/>
        </w:rPr>
      </w:pPr>
      <w:r>
        <w:rPr>
          <w:rFonts w:ascii="Arial" w:cs="Arial" w:eastAsia="Arial" w:hAnsi="Arial"/>
          <w:sz w:val="16"/>
          <w:szCs w:val="16"/>
          <w:b w:val="1"/>
          <w:bCs w:val="1"/>
          <w:color w:val="auto"/>
        </w:rPr>
        <w:t xml:space="preserve">HSKB Phantom Units </w:t>
      </w:r>
      <w:r>
        <w:rPr>
          <w:rFonts w:ascii="Arial" w:cs="Arial" w:eastAsia="Arial" w:hAnsi="Arial"/>
          <w:sz w:val="16"/>
          <w:szCs w:val="16"/>
          <w:color w:val="auto"/>
        </w:rPr>
        <w:t>- In December 2019, HSKB I adopted the HSKB Funds, LLC 2019 Phantom Unit Plan wherein HSKB may grant Phantom Units</w:t>
      </w:r>
      <w:r>
        <w:rPr>
          <w:rFonts w:ascii="Arial" w:cs="Arial" w:eastAsia="Arial" w:hAnsi="Arial"/>
          <w:sz w:val="16"/>
          <w:szCs w:val="16"/>
          <w:b w:val="1"/>
          <w:bCs w:val="1"/>
          <w:color w:val="auto"/>
        </w:rPr>
        <w:t xml:space="preserve"> </w:t>
      </w:r>
      <w:r>
        <w:rPr>
          <w:rFonts w:ascii="Arial" w:cs="Arial" w:eastAsia="Arial" w:hAnsi="Arial"/>
          <w:sz w:val="16"/>
          <w:szCs w:val="16"/>
          <w:color w:val="auto"/>
        </w:rPr>
        <w:t>(“HSKB Phantom Units”) to employees of the Company. 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 Common Stock as determined by the HSKB Manager, in each case, equal to the fair market value of such Common Unit at the time of such exchange.</w:t>
      </w:r>
    </w:p>
    <w:p>
      <w:pPr>
        <w:spacing w:after="0" w:line="116"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HSKB Incentive Units and HSKB Phantom Units both have time-based vesting conditions that were conditional upon the completion of an IPO. In addition, there were four Class P Unit grants with vesting that accelerated upon completion of an IPO. As a result, in the quarter ended June 30, 2020, the Company recognized an additional $57.6 million of expense attributable to the service period already elapsed on HSKB Incentive Units and HSKB Phantom Units, plus the acceleration of vesting on select Class P Units. Including this extra charge as a result of completing the IPO, compensation expense incurred from all the equity-based incentive awards described above was the following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r>
      <w:tr>
        <w:trPr>
          <w:trHeight w:val="178"/>
        </w:trPr>
        <w:tc>
          <w:tcPr>
            <w:tcW w:w="51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r>
      <w:tr>
        <w:trPr>
          <w:trHeight w:val="207"/>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4"/>
        </w:trPr>
        <w:tc>
          <w:tcPr>
            <w:tcW w:w="5120" w:type="dxa"/>
            <w:vAlign w:val="bottom"/>
            <w:shd w:val="clear" w:color="auto" w:fill="CCEEFF"/>
          </w:tcPr>
          <w:p>
            <w:pPr>
              <w:ind w:left="20"/>
              <w:spacing w:after="0" w:line="174" w:lineRule="exact"/>
              <w:rPr>
                <w:sz w:val="20"/>
                <w:szCs w:val="20"/>
                <w:color w:val="auto"/>
              </w:rPr>
            </w:pPr>
            <w:r>
              <w:rPr>
                <w:rFonts w:ascii="Arial" w:cs="Arial" w:eastAsia="Arial" w:hAnsi="Arial"/>
                <w:sz w:val="17"/>
                <w:szCs w:val="17"/>
                <w:color w:val="auto"/>
              </w:rPr>
              <w:t>Cost of service and Operating expenses include equity-based</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8"/>
        </w:trPr>
        <w:tc>
          <w:tcPr>
            <w:tcW w:w="5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compensation expenses as follows: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5120" w:type="dxa"/>
            <w:vAlign w:val="bottom"/>
          </w:tcPr>
          <w:p>
            <w:pPr>
              <w:ind w:left="220"/>
              <w:spacing w:after="0"/>
              <w:rPr>
                <w:sz w:val="20"/>
                <w:szCs w:val="20"/>
                <w:color w:val="auto"/>
              </w:rPr>
            </w:pPr>
            <w:r>
              <w:rPr>
                <w:rFonts w:ascii="Arial" w:cs="Arial" w:eastAsia="Arial" w:hAnsi="Arial"/>
                <w:sz w:val="17"/>
                <w:szCs w:val="17"/>
                <w:color w:val="auto"/>
              </w:rPr>
              <w:t>Cost of service</w:t>
            </w:r>
          </w:p>
        </w:tc>
        <w:tc>
          <w:tcPr>
            <w:tcW w:w="960" w:type="dxa"/>
            <w:vAlign w:val="bottom"/>
          </w:tcPr>
          <w:p>
            <w:pPr>
              <w:jc w:val="right"/>
              <w:ind w:right="761"/>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8"/>
                <w:szCs w:val="18"/>
                <w:color w:val="auto"/>
              </w:rPr>
            </w:pPr>
          </w:p>
        </w:tc>
        <w:tc>
          <w:tcPr>
            <w:tcW w:w="1060" w:type="dxa"/>
            <w:vAlign w:val="bottom"/>
          </w:tcPr>
          <w:p>
            <w:pPr>
              <w:jc w:val="right"/>
              <w:ind w:right="880"/>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23.8</w:t>
            </w:r>
          </w:p>
        </w:tc>
        <w:tc>
          <w:tcPr>
            <w:tcW w:w="1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r>
      <w:tr>
        <w:trPr>
          <w:trHeight w:val="220"/>
        </w:trPr>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 and marketing</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19"/>
                <w:szCs w:val="19"/>
                <w:color w:val="auto"/>
              </w:rPr>
            </w:pPr>
          </w:p>
        </w:tc>
      </w:tr>
      <w:tr>
        <w:trPr>
          <w:trHeight w:val="218"/>
        </w:trPr>
        <w:tc>
          <w:tcPr>
            <w:tcW w:w="512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8"/>
                <w:szCs w:val="18"/>
                <w:color w:val="auto"/>
              </w:rPr>
            </w:pPr>
          </w:p>
        </w:tc>
      </w:tr>
      <w:tr>
        <w:trPr>
          <w:trHeight w:val="219"/>
        </w:trPr>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9"/>
                <w:szCs w:val="19"/>
                <w:color w:val="auto"/>
              </w:rPr>
            </w:pPr>
          </w:p>
        </w:tc>
      </w:tr>
      <w:tr>
        <w:trPr>
          <w:trHeight w:val="213"/>
        </w:trPr>
        <w:tc>
          <w:tcPr>
            <w:tcW w:w="5120" w:type="dxa"/>
            <w:vAlign w:val="bottom"/>
          </w:tcPr>
          <w:p>
            <w:pPr>
              <w:ind w:left="440"/>
              <w:spacing w:after="0"/>
              <w:rPr>
                <w:sz w:val="20"/>
                <w:szCs w:val="20"/>
                <w:color w:val="auto"/>
              </w:rPr>
            </w:pPr>
            <w:r>
              <w:rPr>
                <w:rFonts w:ascii="Arial" w:cs="Arial" w:eastAsia="Arial" w:hAnsi="Arial"/>
                <w:sz w:val="17"/>
                <w:szCs w:val="17"/>
                <w:color w:val="auto"/>
              </w:rPr>
              <w:t>Total equity-based compensation expense</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80"/>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2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0"/>
        </w:trPr>
        <w:tc>
          <w:tcPr>
            <w:tcW w:w="5120" w:type="dxa"/>
            <w:vAlign w:val="bottom"/>
          </w:tcPr>
          <w:p>
            <w:pPr>
              <w:spacing w:after="0"/>
              <w:rPr>
                <w:sz w:val="24"/>
                <w:szCs w:val="24"/>
                <w:color w:val="auto"/>
              </w:rPr>
            </w:pPr>
          </w:p>
        </w:tc>
        <w:tc>
          <w:tcPr>
            <w:tcW w:w="960" w:type="dxa"/>
            <w:vAlign w:val="bottom"/>
          </w:tcPr>
          <w:p>
            <w:pPr>
              <w:jc w:val="right"/>
              <w:ind w:right="221"/>
              <w:spacing w:after="0"/>
              <w:rPr>
                <w:sz w:val="20"/>
                <w:szCs w:val="20"/>
                <w:color w:val="auto"/>
              </w:rPr>
            </w:pPr>
            <w:r>
              <w:rPr>
                <w:rFonts w:ascii="Arial" w:cs="Arial" w:eastAsia="Arial" w:hAnsi="Arial"/>
                <w:sz w:val="17"/>
                <w:szCs w:val="17"/>
                <w:color w:val="auto"/>
              </w:rPr>
              <w:t>F-79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51"/>
        </w:trPr>
        <w:tc>
          <w:tcPr>
            <w:tcW w:w="5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96" w:name="page297"/>
    <w:bookmarkEnd w:id="296"/>
    <w:p>
      <w:pPr>
        <w:spacing w:after="0"/>
        <w:rPr>
          <w:sz w:val="20"/>
          <w:szCs w:val="20"/>
          <w:color w:val="auto"/>
        </w:rPr>
      </w:pPr>
      <w:r>
        <w:rPr>
          <w:rFonts w:ascii="Arial" w:cs="Arial" w:eastAsia="Arial" w:hAnsi="Arial"/>
          <w:sz w:val="17"/>
          <w:szCs w:val="17"/>
          <w:b w:val="1"/>
          <w:bCs w:val="1"/>
          <w:color w:val="auto"/>
        </w:rPr>
        <w:t>Note 16 - Equity-based Compensation (continued)</w:t>
      </w:r>
    </w:p>
    <w:p>
      <w:pPr>
        <w:spacing w:after="0" w:line="35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September 30, 2020, unamortized equity-based compensation costs related to each equity-based incentive award described above is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29"/>
        </w:trPr>
        <w:tc>
          <w:tcPr>
            <w:tcW w:w="76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Remaining Service Period</w:t>
            </w:r>
          </w:p>
        </w:tc>
        <w:tc>
          <w:tcPr>
            <w:tcW w:w="0" w:type="dxa"/>
            <w:vAlign w:val="bottom"/>
          </w:tcPr>
          <w:p>
            <w:pPr>
              <w:spacing w:after="0"/>
              <w:rPr>
                <w:sz w:val="1"/>
                <w:szCs w:val="1"/>
                <w:color w:val="auto"/>
              </w:rPr>
            </w:pPr>
          </w:p>
        </w:tc>
      </w:tr>
      <w:tr>
        <w:trPr>
          <w:trHeight w:val="179"/>
        </w:trPr>
        <w:tc>
          <w:tcPr>
            <w:tcW w:w="76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1180" w:type="dxa"/>
            <w:vAlign w:val="bottom"/>
            <w:shd w:val="clear" w:color="auto" w:fill="CCEEFF"/>
          </w:tcPr>
          <w:p>
            <w:pPr>
              <w:jc w:val="right"/>
              <w:ind w:right="10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8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Class A Common Stock Options</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w:t>
            </w:r>
          </w:p>
        </w:tc>
        <w:tc>
          <w:tcPr>
            <w:tcW w:w="1840" w:type="dxa"/>
            <w:vAlign w:val="bottom"/>
            <w:gridSpan w:val="2"/>
          </w:tcPr>
          <w:p>
            <w:pPr>
              <w:jc w:val="right"/>
              <w:ind w:right="51"/>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HoldCo Units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8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Class P Units</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26.9</w:t>
            </w:r>
          </w:p>
        </w:tc>
        <w:tc>
          <w:tcPr>
            <w:tcW w:w="1840" w:type="dxa"/>
            <w:vAlign w:val="bottom"/>
            <w:gridSpan w:val="2"/>
          </w:tcPr>
          <w:p>
            <w:pPr>
              <w:jc w:val="right"/>
              <w:ind w:right="51"/>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LTIP Units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8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Arial" w:cs="Arial" w:eastAsia="Arial" w:hAnsi="Arial"/>
                <w:sz w:val="17"/>
                <w:szCs w:val="17"/>
                <w:color w:val="auto"/>
              </w:rPr>
              <w:t>HSKB Incentive Units</w:t>
            </w:r>
          </w:p>
        </w:tc>
        <w:tc>
          <w:tcPr>
            <w:tcW w:w="1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71.1</w:t>
            </w:r>
          </w:p>
        </w:tc>
        <w:tc>
          <w:tcPr>
            <w:tcW w:w="1840" w:type="dxa"/>
            <w:vAlign w:val="bottom"/>
            <w:gridSpan w:val="2"/>
          </w:tcPr>
          <w:p>
            <w:pPr>
              <w:jc w:val="right"/>
              <w:ind w:right="51"/>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HSKB Phantom Units</w:t>
            </w:r>
          </w:p>
        </w:tc>
        <w:tc>
          <w:tcPr>
            <w:tcW w:w="1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840" w:type="dxa"/>
            <w:vAlign w:val="bottom"/>
            <w:gridSpan w:val="2"/>
            <w:shd w:val="clear" w:color="auto" w:fill="CCEEFF"/>
          </w:tcPr>
          <w:p>
            <w:pPr>
              <w:jc w:val="right"/>
              <w:ind w:right="51"/>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3"/>
        </w:trPr>
        <w:tc>
          <w:tcPr>
            <w:tcW w:w="7680" w:type="dxa"/>
            <w:vAlign w:val="bottom"/>
          </w:tcPr>
          <w:p>
            <w:pPr>
              <w:ind w:left="220"/>
              <w:spacing w:after="0"/>
              <w:rPr>
                <w:sz w:val="20"/>
                <w:szCs w:val="20"/>
                <w:color w:val="auto"/>
              </w:rPr>
            </w:pPr>
            <w:r>
              <w:rPr>
                <w:rFonts w:ascii="Arial" w:cs="Arial" w:eastAsia="Arial" w:hAnsi="Arial"/>
                <w:sz w:val="17"/>
                <w:szCs w:val="17"/>
                <w:color w:val="auto"/>
              </w:rPr>
              <w:t>Total unamortized equity-based compensation cost</w:t>
            </w:r>
          </w:p>
        </w:tc>
        <w:tc>
          <w:tcPr>
            <w:tcW w:w="1180" w:type="dxa"/>
            <w:vAlign w:val="bottom"/>
            <w:tcBorders>
              <w:bottom w:val="single" w:sz="8" w:color="auto"/>
            </w:tcBorders>
          </w:tcPr>
          <w:p>
            <w:pPr>
              <w:jc w:val="right"/>
              <w:ind w:right="100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134.5</w:t>
            </w:r>
          </w:p>
        </w:tc>
        <w:tc>
          <w:tcPr>
            <w:tcW w:w="1840" w:type="dxa"/>
            <w:vAlign w:val="bottom"/>
            <w:gridSpan w:val="2"/>
          </w:tcPr>
          <w:p>
            <w:pPr>
              <w:jc w:val="right"/>
              <w:ind w:right="51"/>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Income Taxes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The Company recorded $1.4 million of income tax expense and $1.0 million of income tax benefit for the three months ended September 30, 2020 and 2019, respectively, and $9.8 million of income tax expense and $5.7 million of income tax benefit for the nine months ended September 30, 2020 and 2019, respectively. The Company’s estimated effective tax rate for the nine months ended September 30, 2020 was (15.5)%. The Company’s estimated annual effective tax rate differs from the statutory rate of 21.0% primarily due to certain compensation expenses that will not have a corresponding deduction for tax, and because the Company is not liable for income taxes on the portion of earnings that are attributable to non-controlling interest.</w:t>
      </w:r>
    </w:p>
    <w:p>
      <w:pPr>
        <w:spacing w:after="0" w:line="11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a result of the IPO, the Company recorded a change in the net deferred tax asset position, net of valuation allowance, of $224.4 million, which primarily consisted of the Company’s outside basis differences in its partnership subsidiaries.</w:t>
      </w:r>
    </w:p>
    <w:p>
      <w:pPr>
        <w:spacing w:after="0" w:line="112"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As a result of the Secondary Offering, the Company recorded an additional deferred tax asset, net of valuation allowance, of $92.9 million, which primarily consists of the Company’s outside basis differences in its partnership subsidiaries.</w:t>
      </w:r>
    </w:p>
    <w:p>
      <w:pPr>
        <w:spacing w:after="0" w:line="112"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In assessing the realizability of deferred tax assets, including the deferred tax assets recorded as a result of the IPO, Secondary Offering, and current year operations, management determined that it was more likely than not that the deferred tax assets will be realized. In addition, the Company has assessed the need for valuation allowances on indefinite lived assets recorded at its lower tier subsidiaries. As of the result, the Company has recorded a valuation allowance of $207.4 million related to the indefinite outside basis in the corporate stock of its wholly owned subsidiary.</w:t>
      </w:r>
    </w:p>
    <w:p>
      <w:pPr>
        <w:spacing w:after="0" w:line="11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 period of enactment. The Act did not have a material impact on the income tax benefit or the deferred taxes of the Company for the three and nine months ended September 30, 2020.</w:t>
      </w:r>
    </w:p>
    <w:p>
      <w:pPr>
        <w:spacing w:after="0" w:line="11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does not believe it has any significant uncertain tax positions and therefore has no unrecognized tax benefits as of September 30, 2020, that if recognized, would affect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97" w:name="page298"/>
    <w:bookmarkEnd w:id="297"/>
    <w:p>
      <w:pPr>
        <w:spacing w:after="0"/>
        <w:rPr>
          <w:sz w:val="20"/>
          <w:szCs w:val="20"/>
          <w:color w:val="auto"/>
        </w:rPr>
      </w:pPr>
      <w:r>
        <w:rPr>
          <w:rFonts w:ascii="Arial" w:cs="Arial" w:eastAsia="Arial" w:hAnsi="Arial"/>
          <w:sz w:val="17"/>
          <w:szCs w:val="17"/>
          <w:b w:val="1"/>
          <w:bCs w:val="1"/>
          <w:color w:val="auto"/>
        </w:rPr>
        <w:t>Note 17 - Income Taxes (continued)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The Company expects to obtain an increase in its share of the tax basis in the net assets of ZoomInfo HoldCo when OpCo Units and HoldCo Units are exchanged by Pre-IPO OpCo Unitholders and Pre-IPO OpCo Unitholders, respectively. The Company intends to treat any redemptions and exchanges of HoldCo Units and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30" w:lineRule="exact"/>
        <w:rPr>
          <w:sz w:val="20"/>
          <w:szCs w:val="20"/>
          <w:color w:val="auto"/>
        </w:rPr>
      </w:pPr>
    </w:p>
    <w:p>
      <w:pPr>
        <w:jc w:val="both"/>
        <w:ind w:firstLine="309"/>
        <w:spacing w:after="0" w:line="275" w:lineRule="auto"/>
        <w:rPr>
          <w:sz w:val="20"/>
          <w:szCs w:val="20"/>
          <w:color w:val="auto"/>
        </w:rPr>
      </w:pPr>
      <w:r>
        <w:rPr>
          <w:rFonts w:ascii="Arial" w:cs="Arial" w:eastAsia="Arial" w:hAnsi="Arial"/>
          <w:sz w:val="16"/>
          <w:szCs w:val="16"/>
          <w:color w:val="auto"/>
        </w:rPr>
        <w:t>In connection with the Reorganization Transactions and the IPO, the Company entered into (i) the Exchange Tax Receivable Agreement with certain of our Pre-IPO OpCo Unitholders and (ii) the Reorganization Tax Receivable Agreement with the Pre-IPO Blocker Holder (collectively, the “Tax Receivable Agreements”). The Tax Receivable Agreements provide for the payment by ZoomInfo Technologies Inc. of 85.0% of the amount of any tax benefits that ZoomInfo Technologies Inc. actually realizes, or in some cases is deemed to realize, as a result of (i) increases in ZoomInfo Technologies Inc.’s share of the tax basis in the net assets of ZoomInfo HoldCo resulting from any redemptions or exchanges of HoldCo Units or OpCo Units, (ii) tax basis increases attributable to payments made under the Tax Receivable Agreements, and (iii) deductions attributable to imputed interest pursuant to the Tax Receivable Agreements (the ‘‘TRA Payments”). The Company expects to benefit from the remaining 15.0% of any of cash savings, if any, that it realizes.</w:t>
      </w:r>
    </w:p>
    <w:p>
      <w:pPr>
        <w:spacing w:after="0" w:line="12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As of September 30, 2020, the Company had a liability of $182.6 million related to its projected obligations under the Tax Receivable Agreements. Tax Receivable Agreements related liabilities are classified as current or noncurrent based on the expected date of payment and are included in the Company’s Condensed Consolidated Balance Sheets under the captions </w:t>
      </w:r>
      <w:r>
        <w:rPr>
          <w:rFonts w:ascii="Arial" w:cs="Arial" w:eastAsia="Arial" w:hAnsi="Arial"/>
          <w:sz w:val="17"/>
          <w:szCs w:val="17"/>
          <w:i w:val="1"/>
          <w:iCs w:val="1"/>
          <w:color w:val="auto"/>
        </w:rPr>
        <w:t>Current portion of tax receivable agreements liability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Tax receivable agreements liability, net of</w:t>
      </w:r>
      <w:r>
        <w:rPr>
          <w:rFonts w:ascii="Arial" w:cs="Arial" w:eastAsia="Arial" w:hAnsi="Arial"/>
          <w:sz w:val="17"/>
          <w:szCs w:val="17"/>
          <w:color w:val="auto"/>
        </w:rPr>
        <w:t xml:space="preserve"> </w:t>
      </w:r>
      <w:r>
        <w:rPr>
          <w:rFonts w:ascii="Arial" w:cs="Arial" w:eastAsia="Arial" w:hAnsi="Arial"/>
          <w:sz w:val="17"/>
          <w:szCs w:val="17"/>
          <w:i w:val="1"/>
          <w:iCs w:val="1"/>
          <w:color w:val="auto"/>
        </w:rPr>
        <w:t>current portion</w:t>
      </w:r>
      <w:r>
        <w:rPr>
          <w:rFonts w:ascii="Arial" w:cs="Arial" w:eastAsia="Arial" w:hAnsi="Arial"/>
          <w:sz w:val="17"/>
          <w:szCs w:val="17"/>
          <w:color w:val="auto"/>
        </w:rPr>
        <w:t>,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Subsequent Events</w:t>
      </w:r>
    </w:p>
    <w:p>
      <w:pPr>
        <w:spacing w:after="0" w:line="171" w:lineRule="exact"/>
        <w:rPr>
          <w:sz w:val="20"/>
          <w:szCs w:val="20"/>
          <w:color w:val="auto"/>
        </w:rPr>
      </w:pPr>
    </w:p>
    <w:p>
      <w:pPr>
        <w:jc w:val="both"/>
        <w:ind w:firstLine="309"/>
        <w:spacing w:after="0" w:line="274" w:lineRule="auto"/>
        <w:rPr>
          <w:sz w:val="20"/>
          <w:szCs w:val="20"/>
          <w:color w:val="auto"/>
        </w:rPr>
      </w:pPr>
      <w:r>
        <w:rPr>
          <w:rFonts w:ascii="Arial" w:cs="Arial" w:eastAsia="Arial" w:hAnsi="Arial"/>
          <w:sz w:val="16"/>
          <w:szCs w:val="16"/>
          <w:color w:val="auto"/>
        </w:rPr>
        <w:t>In October 2020, the Company acquired substantially all the assets, and certain specified liabilities, of Clickagy, LLC, a leading provider of artificial intelligence-powered buyer intent data. In November 2020, the Company acquired EverString Technology, LLC, a leading artificial intelligence-powered, business-to-business (B2B) data solutions provider. In connection with these acquisitions, the Company has agreed to pay an aggregate cash consideration, inclusive of vesting cash retention payments, of approximately $71.5 million, subject to working capital and other customary adjustments, and issued 67,075 shares of unregistered Class A common stock of the Company. We funded cash payments made at closing with cash on hand. Neither acquisition is expected to be material to the Company’s results of operations for the three months or year ended December 31, 2020 or the Company’s financial position as of December 31, 2020. The initial accounting of the business combinations is incomplete as of the issuance date of these financial statements. The Company has not yet determined the acquisition date fair value of the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298" w:name="page299"/>
    <w:bookmarkEnd w:id="298"/>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Independent Auditor's Report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Zoom Information, Inc.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Financial Statements</w:t>
      </w:r>
    </w:p>
    <w:p>
      <w:pPr>
        <w:spacing w:after="0" w:line="27"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We have audited the accompanying financial statements of Zoom Information, Inc. and Subsidiaries (the Company), which comprise the balance sheets as of January 31, 2019 and December 31, 2018, the related statements of operations, convertible preferred stock and stockholders’ equity and cash flows for the period from January 1, 2019 through January 31, 2019 and for the year ended December 31, 2018, and the related notes to the financial statements (collectively, the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Responsibility for the Financial Statements</w:t>
      </w:r>
    </w:p>
    <w:p>
      <w:pPr>
        <w:spacing w:after="0" w:line="2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Responsibility</w:t>
      </w:r>
    </w:p>
    <w:p>
      <w:pPr>
        <w:spacing w:after="0" w:line="2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audit opinion.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Zoom Information, Inc. and Subsidiaries as of January 31, 2019 and December 31, 2018, and the results of its operations and its cash flows for the period from January 1, 2019 through January 31, 2019 and the year ended December 31, 2018, in accordance with accounting principles generally accepted in the United States of America.</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Emphasis of Matter</w:t>
      </w:r>
    </w:p>
    <w:p>
      <w:pPr>
        <w:spacing w:after="0" w:line="2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discussed in Note 3 to the financial statements, the Company has changed its method of accounting for revenue effective January 1, 2019 due to the adoption of Accounting Standards Codification 606, Revenue from Contracts with Customers. Our opinion is not modified with respect to this matter.</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November 22, 2019</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9" w:name="page300"/>
    <w:bookmarkEnd w:id="299"/>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January 31, 2019 and December 31,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10,873,046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9,691,793</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21,614,693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28,204,910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1,017,936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1,017,936</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5,152,429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6,986,862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Capitalized commissions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3,585,122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020" w:type="dxa"/>
            <w:vAlign w:val="bottom"/>
          </w:tcPr>
          <w:p>
            <w:pPr>
              <w:ind w:left="640"/>
              <w:spacing w:after="0"/>
              <w:rPr>
                <w:sz w:val="20"/>
                <w:szCs w:val="20"/>
                <w:color w:val="auto"/>
              </w:rPr>
            </w:pPr>
            <w:r>
              <w:rPr>
                <w:rFonts w:ascii="Arial" w:cs="Arial" w:eastAsia="Arial" w:hAnsi="Arial"/>
                <w:sz w:val="17"/>
                <w:szCs w:val="17"/>
                <w:b w:val="1"/>
                <w:bCs w:val="1"/>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42,243,226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45,901,501</w:t>
            </w:r>
          </w:p>
        </w:tc>
        <w:tc>
          <w:tcPr>
            <w:tcW w:w="0" w:type="dxa"/>
            <w:vAlign w:val="bottom"/>
          </w:tcPr>
          <w:p>
            <w:pPr>
              <w:spacing w:after="0"/>
              <w:rPr>
                <w:sz w:val="1"/>
                <w:szCs w:val="1"/>
                <w:color w:val="auto"/>
              </w:rPr>
            </w:pPr>
          </w:p>
        </w:tc>
      </w:tr>
      <w:tr>
        <w:trPr>
          <w:trHeight w:val="104"/>
        </w:trPr>
        <w:tc>
          <w:tcPr>
            <w:tcW w:w="80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5,725,173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944,516</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55,187,215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168,916,468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168,916,468</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1,410,408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1,408,765</w:t>
            </w:r>
          </w:p>
        </w:tc>
        <w:tc>
          <w:tcPr>
            <w:tcW w:w="0" w:type="dxa"/>
            <w:vAlign w:val="bottom"/>
          </w:tcPr>
          <w:p>
            <w:pPr>
              <w:spacing w:after="0"/>
              <w:rPr>
                <w:sz w:val="1"/>
                <w:szCs w:val="1"/>
                <w:color w:val="auto"/>
              </w:rPr>
            </w:pPr>
          </w:p>
        </w:tc>
      </w:tr>
      <w:tr>
        <w:trPr>
          <w:trHeight w:val="213"/>
        </w:trPr>
        <w:tc>
          <w:tcPr>
            <w:tcW w:w="8020" w:type="dxa"/>
            <w:vAlign w:val="bottom"/>
          </w:tcPr>
          <w:p>
            <w:pPr>
              <w:ind w:left="64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273,482,490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273,175,627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0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Liabilities, Convertible Preferred Stock and Stockholders’ Equity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1,118,101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2,250,947</w:t>
            </w: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4,151,226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6,975,959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65,782,029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64,832,159</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Current maturities of long-term debt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1,431,000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1,431,000</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Total current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72,482,356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75,490,065</w:t>
            </w:r>
          </w:p>
        </w:tc>
        <w:tc>
          <w:tcPr>
            <w:tcW w:w="0" w:type="dxa"/>
            <w:vAlign w:val="bottom"/>
          </w:tcPr>
          <w:p>
            <w:pPr>
              <w:spacing w:after="0"/>
              <w:rPr>
                <w:sz w:val="1"/>
                <w:szCs w:val="1"/>
                <w:color w:val="auto"/>
              </w:rPr>
            </w:pPr>
          </w:p>
        </w:tc>
      </w:tr>
      <w:tr>
        <w:trPr>
          <w:trHeight w:val="103"/>
        </w:trPr>
        <w:tc>
          <w:tcPr>
            <w:tcW w:w="8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less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2,702,845</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Deferred tax liability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9,469,299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8,921,988</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132,389,234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132,323,669</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tcPr>
          <w:p>
            <w:pPr>
              <w:ind w:left="640"/>
              <w:spacing w:after="0"/>
              <w:rPr>
                <w:sz w:val="20"/>
                <w:szCs w:val="20"/>
                <w:color w:val="auto"/>
              </w:rPr>
            </w:pPr>
            <w:r>
              <w:rPr>
                <w:rFonts w:ascii="Arial" w:cs="Arial" w:eastAsia="Arial" w:hAnsi="Arial"/>
                <w:sz w:val="17"/>
                <w:szCs w:val="17"/>
                <w:b w:val="1"/>
                <w:bCs w:val="1"/>
                <w:color w:val="auto"/>
              </w:rPr>
              <w:t>Total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216,822,692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219,438,567</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Convertible Preferred stock:</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440"/>
              <w:spacing w:after="0" w:line="168" w:lineRule="exact"/>
              <w:rPr>
                <w:sz w:val="20"/>
                <w:szCs w:val="20"/>
                <w:color w:val="auto"/>
              </w:rPr>
            </w:pPr>
            <w:r>
              <w:rPr>
                <w:rFonts w:ascii="Arial" w:cs="Arial" w:eastAsia="Arial" w:hAnsi="Arial"/>
                <w:sz w:val="17"/>
                <w:szCs w:val="17"/>
                <w:color w:val="auto"/>
                <w:w w:val="90"/>
              </w:rPr>
              <w:t>Series 1 convertible preferred stock: $0.02 par value; 80,000,000 shares designated; 53,944,487 shares issued</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20" w:type="dxa"/>
            <w:vAlign w:val="bottom"/>
          </w:tcPr>
          <w:p>
            <w:pPr>
              <w:ind w:left="600"/>
              <w:spacing w:after="0" w:line="167" w:lineRule="exact"/>
              <w:rPr>
                <w:sz w:val="20"/>
                <w:szCs w:val="20"/>
                <w:color w:val="auto"/>
              </w:rPr>
            </w:pPr>
            <w:r>
              <w:rPr>
                <w:rFonts w:ascii="Arial" w:cs="Arial" w:eastAsia="Arial" w:hAnsi="Arial"/>
                <w:sz w:val="17"/>
                <w:szCs w:val="17"/>
                <w:color w:val="auto"/>
              </w:rPr>
              <w:t>and outstanding at January 31, 2019 and December 31, 2018, respectively (liquidation value of</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1,078,890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1,078,890</w:t>
            </w:r>
          </w:p>
        </w:tc>
        <w:tc>
          <w:tcPr>
            <w:tcW w:w="0" w:type="dxa"/>
            <w:vAlign w:val="bottom"/>
          </w:tcPr>
          <w:p>
            <w:pPr>
              <w:spacing w:after="0"/>
              <w:rPr>
                <w:sz w:val="1"/>
                <w:szCs w:val="1"/>
                <w:color w:val="auto"/>
              </w:rPr>
            </w:pPr>
          </w:p>
        </w:tc>
      </w:tr>
      <w:tr>
        <w:trPr>
          <w:trHeight w:val="218"/>
        </w:trPr>
        <w:tc>
          <w:tcPr>
            <w:tcW w:w="8020" w:type="dxa"/>
            <w:vAlign w:val="bottom"/>
          </w:tcPr>
          <w:p>
            <w:pPr>
              <w:ind w:left="600"/>
              <w:spacing w:after="0"/>
              <w:rPr>
                <w:sz w:val="20"/>
                <w:szCs w:val="20"/>
                <w:color w:val="auto"/>
              </w:rPr>
            </w:pPr>
            <w:r>
              <w:rPr>
                <w:rFonts w:ascii="Arial" w:cs="Arial" w:eastAsia="Arial" w:hAnsi="Arial"/>
                <w:sz w:val="17"/>
                <w:szCs w:val="17"/>
                <w:color w:val="auto"/>
              </w:rPr>
              <w:t>$90,074,418 as of January 31, 2019)</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Common stock:</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CEEFF"/>
          </w:tcPr>
          <w:p>
            <w:pPr>
              <w:ind w:left="440"/>
              <w:spacing w:after="0" w:line="169" w:lineRule="exact"/>
              <w:rPr>
                <w:sz w:val="20"/>
                <w:szCs w:val="20"/>
                <w:color w:val="auto"/>
              </w:rPr>
            </w:pPr>
            <w:r>
              <w:rPr>
                <w:rFonts w:ascii="Arial" w:cs="Arial" w:eastAsia="Arial" w:hAnsi="Arial"/>
                <w:sz w:val="17"/>
                <w:szCs w:val="17"/>
                <w:color w:val="auto"/>
                <w:w w:val="90"/>
              </w:rPr>
              <w:t>Series A: $0.02 par value; 37,763,000 shares designated; 7,319,897 shares issued and outstanding at January</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146,398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146,398</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31, 2019 and December 31, 2018, respectively</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440"/>
              <w:spacing w:after="0" w:line="168" w:lineRule="exact"/>
              <w:rPr>
                <w:sz w:val="20"/>
                <w:szCs w:val="20"/>
                <w:color w:val="auto"/>
              </w:rPr>
            </w:pPr>
            <w:r>
              <w:rPr>
                <w:rFonts w:ascii="Arial" w:cs="Arial" w:eastAsia="Arial" w:hAnsi="Arial"/>
                <w:sz w:val="17"/>
                <w:szCs w:val="17"/>
                <w:color w:val="auto"/>
                <w:w w:val="94"/>
              </w:rPr>
              <w:t>Series B: $0.01 par value; 54,959,650 shares designated; 175,840 and 162,240 issued and outstanding at</w:t>
            </w: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1,758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1,622</w:t>
            </w:r>
          </w:p>
        </w:tc>
        <w:tc>
          <w:tcPr>
            <w:tcW w:w="0" w:type="dxa"/>
            <w:vAlign w:val="bottom"/>
          </w:tcPr>
          <w:p>
            <w:pPr>
              <w:spacing w:after="0"/>
              <w:rPr>
                <w:sz w:val="1"/>
                <w:szCs w:val="1"/>
                <w:color w:val="auto"/>
              </w:rPr>
            </w:pPr>
          </w:p>
        </w:tc>
      </w:tr>
      <w:tr>
        <w:trPr>
          <w:trHeight w:val="218"/>
        </w:trPr>
        <w:tc>
          <w:tcPr>
            <w:tcW w:w="8020" w:type="dxa"/>
            <w:vAlign w:val="bottom"/>
          </w:tcPr>
          <w:p>
            <w:pPr>
              <w:ind w:left="600"/>
              <w:spacing w:after="0"/>
              <w:rPr>
                <w:sz w:val="20"/>
                <w:szCs w:val="20"/>
                <w:color w:val="auto"/>
              </w:rPr>
            </w:pPr>
            <w:r>
              <w:rPr>
                <w:rFonts w:ascii="Arial" w:cs="Arial" w:eastAsia="Arial" w:hAnsi="Arial"/>
                <w:sz w:val="17"/>
                <w:szCs w:val="17"/>
                <w:color w:val="auto"/>
              </w:rPr>
              <w:t>January 31, 2019 and December 31, 2018, respectively</w:t>
            </w: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Additional paid-in-capital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78,907,423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78,854,320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Accumulated deficit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(23,474,671)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(26,344,170)</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56,659,798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53,737,060</w:t>
            </w:r>
          </w:p>
        </w:tc>
        <w:tc>
          <w:tcPr>
            <w:tcW w:w="0" w:type="dxa"/>
            <w:vAlign w:val="bottom"/>
          </w:tcPr>
          <w:p>
            <w:pPr>
              <w:spacing w:after="0"/>
              <w:rPr>
                <w:sz w:val="1"/>
                <w:szCs w:val="1"/>
                <w:color w:val="auto"/>
              </w:rPr>
            </w:pPr>
          </w:p>
        </w:tc>
      </w:tr>
      <w:tr>
        <w:trPr>
          <w:trHeight w:val="213"/>
        </w:trPr>
        <w:tc>
          <w:tcPr>
            <w:tcW w:w="8020" w:type="dxa"/>
            <w:vAlign w:val="bottom"/>
          </w:tcPr>
          <w:p>
            <w:pPr>
              <w:ind w:left="640"/>
              <w:spacing w:after="0"/>
              <w:rPr>
                <w:sz w:val="20"/>
                <w:szCs w:val="20"/>
                <w:color w:val="auto"/>
              </w:rPr>
            </w:pPr>
            <w:r>
              <w:rPr>
                <w:rFonts w:ascii="Arial" w:cs="Arial" w:eastAsia="Arial" w:hAnsi="Arial"/>
                <w:sz w:val="17"/>
                <w:szCs w:val="17"/>
                <w:b w:val="1"/>
                <w:bCs w:val="1"/>
                <w:color w:val="auto"/>
              </w:rPr>
              <w:t>Total liabilities and stockholders’ equity</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273,482,490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273,175,627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 from January 1, 2019 through January 31, 2019 and the Year Ended December 31,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9,693,329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72,467,948</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9,076,689</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3,338,127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40,259,914</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13,093,595</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1,584,180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16,307,450</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530,367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2,660,523</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Loss on share redemption obligation</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14,087,015</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sale of property and equipment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72,943</w:t>
            </w:r>
          </w:p>
        </w:tc>
      </w:tr>
      <w:tr>
        <w:trPr>
          <w:trHeight w:val="211"/>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8,042,952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95,558,129</w:t>
            </w:r>
          </w:p>
        </w:tc>
      </w:tr>
      <w:tr>
        <w:trPr>
          <w:trHeight w:val="225"/>
        </w:trPr>
        <w:tc>
          <w:tcPr>
            <w:tcW w:w="8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8020" w:type="dxa"/>
            <w:vAlign w:val="bottom"/>
          </w:tcPr>
          <w:p>
            <w:pPr>
              <w:ind w:left="440"/>
              <w:spacing w:after="0"/>
              <w:rPr>
                <w:sz w:val="20"/>
                <w:szCs w:val="20"/>
                <w:color w:val="auto"/>
              </w:rPr>
            </w:pPr>
            <w:r>
              <w:rPr>
                <w:rFonts w:ascii="Arial" w:cs="Arial" w:eastAsia="Arial" w:hAnsi="Arial"/>
                <w:sz w:val="17"/>
                <w:szCs w:val="17"/>
                <w:b w:val="1"/>
                <w:bCs w:val="1"/>
                <w:color w:val="auto"/>
              </w:rPr>
              <w:t>Income (loss)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1,650,377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(23,090,181)</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Other income,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19,307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54,066</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(1,024,625)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(9,348,733)</w:t>
            </w:r>
          </w:p>
        </w:tc>
      </w:tr>
      <w:tr>
        <w:trPr>
          <w:trHeight w:val="211"/>
        </w:trPr>
        <w:tc>
          <w:tcPr>
            <w:tcW w:w="8020" w:type="dxa"/>
            <w:vAlign w:val="bottom"/>
          </w:tcPr>
          <w:p>
            <w:pPr>
              <w:ind w:left="440"/>
              <w:spacing w:after="0"/>
              <w:rPr>
                <w:sz w:val="20"/>
                <w:szCs w:val="20"/>
                <w:color w:val="auto"/>
              </w:rPr>
            </w:pPr>
            <w:r>
              <w:rPr>
                <w:rFonts w:ascii="Arial" w:cs="Arial" w:eastAsia="Arial" w:hAnsi="Arial"/>
                <w:sz w:val="17"/>
                <w:szCs w:val="17"/>
                <w:b w:val="1"/>
                <w:bCs w:val="1"/>
                <w:color w:val="auto"/>
              </w:rPr>
              <w:t>Income (loss) before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645,059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(32,384,848)</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(4,912,625)</w:t>
            </w:r>
          </w:p>
        </w:tc>
      </w:tr>
      <w:tr>
        <w:trPr>
          <w:trHeight w:val="213"/>
        </w:trPr>
        <w:tc>
          <w:tcPr>
            <w:tcW w:w="8020" w:type="dxa"/>
            <w:vAlign w:val="bottom"/>
          </w:tcPr>
          <w:p>
            <w:pPr>
              <w:ind w:left="440"/>
              <w:spacing w:after="0"/>
              <w:rPr>
                <w:sz w:val="20"/>
                <w:szCs w:val="20"/>
                <w:color w:val="auto"/>
              </w:rPr>
            </w:pPr>
            <w:r>
              <w:rPr>
                <w:rFonts w:ascii="Arial" w:cs="Arial" w:eastAsia="Arial" w:hAnsi="Arial"/>
                <w:sz w:val="17"/>
                <w:szCs w:val="17"/>
                <w:b w:val="1"/>
                <w:bCs w:val="1"/>
                <w:color w:val="auto"/>
              </w:rPr>
              <w:t>Net income (loss)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781,287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(27,472,223)</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Statements of Convertible Preferred Stock and Stockholders’ Equity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Period from January 1, 2019 through January 31, 2019 and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147320</wp:posOffset>
            </wp:positionV>
            <wp:extent cx="7138670" cy="20281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8670" cy="202819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0" w:type="dxa"/>
            <w:vAlign w:val="bottom"/>
            <w:gridSpan w:val="3"/>
          </w:tcPr>
          <w:p>
            <w:pPr>
              <w:ind w:left="760"/>
              <w:spacing w:after="0"/>
              <w:rPr>
                <w:sz w:val="20"/>
                <w:szCs w:val="20"/>
                <w:color w:val="auto"/>
              </w:rPr>
            </w:pPr>
            <w:r>
              <w:rPr>
                <w:rFonts w:ascii="Arial" w:cs="Arial" w:eastAsia="Arial" w:hAnsi="Arial"/>
                <w:sz w:val="14"/>
                <w:szCs w:val="14"/>
                <w:b w:val="1"/>
                <w:bCs w:val="1"/>
                <w:color w:val="auto"/>
                <w:w w:val="78"/>
              </w:rPr>
              <w:t>Series 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80" w:type="dxa"/>
            <w:vAlign w:val="bottom"/>
          </w:tcPr>
          <w:p>
            <w:pPr>
              <w:spacing w:after="0"/>
              <w:rPr>
                <w:sz w:val="15"/>
                <w:szCs w:val="15"/>
                <w:color w:val="auto"/>
              </w:rPr>
            </w:pPr>
          </w:p>
        </w:tc>
        <w:tc>
          <w:tcPr>
            <w:tcW w:w="19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6"/>
              </w:rPr>
              <w:t>Convertible Preferred Stock</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76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w w:val="87"/>
              </w:rPr>
              <w:t>$0.02 Par</w:t>
            </w:r>
          </w:p>
        </w:tc>
        <w:tc>
          <w:tcPr>
            <w:tcW w:w="0" w:type="dxa"/>
            <w:vAlign w:val="bottom"/>
          </w:tcPr>
          <w:p>
            <w:pPr>
              <w:spacing w:after="0"/>
              <w:rPr>
                <w:sz w:val="1"/>
                <w:szCs w:val="1"/>
                <w:color w:val="auto"/>
              </w:rPr>
            </w:pPr>
          </w:p>
        </w:tc>
      </w:tr>
      <w:tr>
        <w:trPr>
          <w:trHeight w:val="178"/>
        </w:trPr>
        <w:tc>
          <w:tcPr>
            <w:tcW w:w="208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760" w:type="dxa"/>
            <w:vAlign w:val="bottom"/>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20"/>
                <w:szCs w:val="20"/>
                <w:color w:val="auto"/>
              </w:rPr>
            </w:pPr>
            <w:r>
              <w:rPr>
                <w:rFonts w:ascii="Arial" w:cs="Arial" w:eastAsia="Arial" w:hAnsi="Arial"/>
                <w:sz w:val="15"/>
                <w:szCs w:val="15"/>
                <w:color w:val="auto"/>
                <w:w w:val="99"/>
              </w:rPr>
              <w:t>Balance at December 31, 2017</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53,944,487</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1,078,890</w:t>
            </w: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Exercise of stock options</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80" w:type="dxa"/>
            <w:vAlign w:val="bottom"/>
          </w:tcPr>
          <w:p>
            <w:pPr>
              <w:spacing w:after="0"/>
              <w:rPr>
                <w:sz w:val="20"/>
                <w:szCs w:val="20"/>
                <w:color w:val="auto"/>
              </w:rPr>
            </w:pPr>
            <w:r>
              <w:rPr>
                <w:rFonts w:ascii="Arial" w:cs="Arial" w:eastAsia="Arial" w:hAnsi="Arial"/>
                <w:sz w:val="15"/>
                <w:szCs w:val="15"/>
                <w:color w:val="auto"/>
                <w:w w:val="99"/>
              </w:rPr>
              <w:t>Balance at December 31, 2018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53,944,487</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1,078,890</w:t>
            </w:r>
          </w:p>
        </w:tc>
        <w:tc>
          <w:tcPr>
            <w:tcW w:w="0" w:type="dxa"/>
            <w:vAlign w:val="bottom"/>
          </w:tcPr>
          <w:p>
            <w:pPr>
              <w:spacing w:after="0"/>
              <w:rPr>
                <w:sz w:val="1"/>
                <w:szCs w:val="1"/>
                <w:color w:val="auto"/>
              </w:rPr>
            </w:pPr>
          </w:p>
        </w:tc>
      </w:tr>
      <w:tr>
        <w:trPr>
          <w:trHeight w:val="165"/>
        </w:trPr>
        <w:tc>
          <w:tcPr>
            <w:tcW w:w="2080" w:type="dxa"/>
            <w:vAlign w:val="bottom"/>
          </w:tcPr>
          <w:p>
            <w:pPr>
              <w:ind w:left="200"/>
              <w:spacing w:after="0" w:line="165" w:lineRule="exact"/>
              <w:rPr>
                <w:sz w:val="20"/>
                <w:szCs w:val="20"/>
                <w:color w:val="auto"/>
              </w:rPr>
            </w:pPr>
            <w:r>
              <w:rPr>
                <w:rFonts w:ascii="Arial" w:cs="Arial" w:eastAsia="Arial" w:hAnsi="Arial"/>
                <w:sz w:val="15"/>
                <w:szCs w:val="15"/>
                <w:color w:val="auto"/>
              </w:rPr>
              <w:t>Cumulative impact from the</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80" w:type="dxa"/>
            <w:vAlign w:val="bottom"/>
          </w:tcPr>
          <w:p>
            <w:pPr>
              <w:ind w:left="340"/>
              <w:spacing w:after="0" w:line="155" w:lineRule="exact"/>
              <w:rPr>
                <w:sz w:val="20"/>
                <w:szCs w:val="20"/>
                <w:color w:val="auto"/>
              </w:rPr>
            </w:pPr>
            <w:r>
              <w:rPr>
                <w:rFonts w:ascii="Arial" w:cs="Arial" w:eastAsia="Arial" w:hAnsi="Arial"/>
                <w:sz w:val="15"/>
                <w:szCs w:val="15"/>
                <w:color w:val="auto"/>
              </w:rPr>
              <w:t>adoption of ASU</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080" w:type="dxa"/>
            <w:vAlign w:val="bottom"/>
          </w:tcPr>
          <w:p>
            <w:pPr>
              <w:ind w:left="340"/>
              <w:spacing w:after="0"/>
              <w:rPr>
                <w:sz w:val="20"/>
                <w:szCs w:val="20"/>
                <w:color w:val="auto"/>
              </w:rPr>
            </w:pPr>
            <w:r>
              <w:rPr>
                <w:rFonts w:ascii="Arial" w:cs="Arial" w:eastAsia="Arial" w:hAnsi="Arial"/>
                <w:sz w:val="15"/>
                <w:szCs w:val="15"/>
                <w:color w:val="auto"/>
              </w:rPr>
              <w:t>No. 2014-19 (Note 3)</w:t>
            </w:r>
          </w:p>
        </w:tc>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Exercise of stock options</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080" w:type="dxa"/>
            <w:vAlign w:val="bottom"/>
          </w:tcPr>
          <w:p>
            <w:pPr>
              <w:ind w:left="200"/>
              <w:spacing w:after="0"/>
              <w:rPr>
                <w:sz w:val="20"/>
                <w:szCs w:val="20"/>
                <w:color w:val="auto"/>
              </w:rPr>
            </w:pPr>
            <w:r>
              <w:rPr>
                <w:rFonts w:ascii="Arial" w:cs="Arial" w:eastAsia="Arial" w:hAnsi="Arial"/>
                <w:sz w:val="15"/>
                <w:szCs w:val="15"/>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208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20"/>
                <w:szCs w:val="20"/>
                <w:color w:val="auto"/>
              </w:rPr>
            </w:pPr>
            <w:r>
              <w:rPr>
                <w:rFonts w:ascii="Arial" w:cs="Arial" w:eastAsia="Arial" w:hAnsi="Arial"/>
                <w:sz w:val="15"/>
                <w:szCs w:val="15"/>
                <w:b w:val="1"/>
                <w:bCs w:val="1"/>
                <w:color w:val="auto"/>
              </w:rPr>
              <w:t>Balance at January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53,944,487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1,078,890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20" w:type="dxa"/>
            <w:vAlign w:val="bottom"/>
            <w:gridSpan w:val="5"/>
          </w:tcPr>
          <w:p>
            <w:pPr>
              <w:ind w:left="720"/>
              <w:spacing w:after="0" w:line="141" w:lineRule="exact"/>
              <w:rPr>
                <w:sz w:val="20"/>
                <w:szCs w:val="20"/>
                <w:color w:val="auto"/>
              </w:rPr>
            </w:pPr>
            <w:r>
              <w:rPr>
                <w:rFonts w:ascii="Arial" w:cs="Arial" w:eastAsia="Arial" w:hAnsi="Arial"/>
                <w:sz w:val="14"/>
                <w:szCs w:val="14"/>
                <w:b w:val="1"/>
                <w:bCs w:val="1"/>
                <w:color w:val="auto"/>
              </w:rPr>
              <w:t>Series A</w:t>
            </w:r>
          </w:p>
        </w:tc>
        <w:tc>
          <w:tcPr>
            <w:tcW w:w="2000" w:type="dxa"/>
            <w:vAlign w:val="bottom"/>
            <w:gridSpan w:val="5"/>
          </w:tcPr>
          <w:p>
            <w:pPr>
              <w:ind w:left="720"/>
              <w:spacing w:after="0" w:line="141" w:lineRule="exact"/>
              <w:rPr>
                <w:sz w:val="20"/>
                <w:szCs w:val="20"/>
                <w:color w:val="auto"/>
              </w:rPr>
            </w:pPr>
            <w:r>
              <w:rPr>
                <w:rFonts w:ascii="Arial" w:cs="Arial" w:eastAsia="Arial" w:hAnsi="Arial"/>
                <w:sz w:val="14"/>
                <w:szCs w:val="14"/>
                <w:b w:val="1"/>
                <w:bCs w:val="1"/>
                <w:color w:val="auto"/>
              </w:rPr>
              <w:t>Series B</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tcPr>
          <w:p>
            <w:pPr>
              <w:jc w:val="center"/>
              <w:ind w:right="200"/>
              <w:spacing w:after="0" w:line="52" w:lineRule="exact"/>
              <w:rPr>
                <w:sz w:val="20"/>
                <w:szCs w:val="20"/>
                <w:color w:val="auto"/>
              </w:rPr>
            </w:pPr>
            <w:r>
              <w:rPr>
                <w:rFonts w:ascii="Arial" w:cs="Arial" w:eastAsia="Arial" w:hAnsi="Arial"/>
                <w:sz w:val="5"/>
                <w:szCs w:val="5"/>
                <w:b w:val="1"/>
                <w:bCs w:val="1"/>
                <w:color w:val="auto"/>
              </w:rPr>
              <w:t>Earnings</w:t>
            </w:r>
          </w:p>
        </w:tc>
        <w:tc>
          <w:tcPr>
            <w:tcW w:w="100" w:type="dxa"/>
            <w:vAlign w:val="bottom"/>
          </w:tcPr>
          <w:p>
            <w:pPr>
              <w:spacing w:after="0"/>
              <w:rPr>
                <w:sz w:val="4"/>
                <w:szCs w:val="4"/>
                <w:color w:val="auto"/>
              </w:rPr>
            </w:pPr>
          </w:p>
        </w:tc>
        <w:tc>
          <w:tcPr>
            <w:tcW w:w="840" w:type="dxa"/>
            <w:vAlign w:val="bottom"/>
          </w:tcPr>
          <w:p>
            <w:pPr>
              <w:jc w:val="center"/>
              <w:ind w:right="28"/>
              <w:spacing w:after="0" w:line="52" w:lineRule="exact"/>
              <w:rPr>
                <w:sz w:val="20"/>
                <w:szCs w:val="20"/>
                <w:color w:val="auto"/>
              </w:rPr>
            </w:pPr>
            <w:r>
              <w:rPr>
                <w:rFonts w:ascii="Arial" w:cs="Arial" w:eastAsia="Arial" w:hAnsi="Arial"/>
                <w:sz w:val="5"/>
                <w:szCs w:val="5"/>
                <w:b w:val="1"/>
                <w:bCs w:val="1"/>
                <w:color w:val="auto"/>
              </w:rPr>
              <w:t>Total</w:t>
            </w:r>
          </w:p>
        </w:tc>
        <w:tc>
          <w:tcPr>
            <w:tcW w:w="0" w:type="dxa"/>
            <w:vAlign w:val="bottom"/>
          </w:tcPr>
          <w:p>
            <w:pPr>
              <w:spacing w:after="0"/>
              <w:rPr>
                <w:sz w:val="1"/>
                <w:szCs w:val="1"/>
                <w:color w:val="auto"/>
              </w:rPr>
            </w:pPr>
          </w:p>
        </w:tc>
      </w:tr>
      <w:tr>
        <w:trPr>
          <w:trHeight w:val="147"/>
        </w:trPr>
        <w:tc>
          <w:tcPr>
            <w:tcW w:w="102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$0.02 Par</w:t>
            </w:r>
          </w:p>
        </w:tc>
        <w:tc>
          <w:tcPr>
            <w:tcW w:w="100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$0.01 Par</w:t>
            </w:r>
          </w:p>
        </w:tc>
        <w:tc>
          <w:tcPr>
            <w:tcW w:w="120" w:type="dxa"/>
            <w:vAlign w:val="bottom"/>
          </w:tcPr>
          <w:p>
            <w:pPr>
              <w:spacing w:after="0"/>
              <w:rPr>
                <w:sz w:val="12"/>
                <w:szCs w:val="12"/>
                <w:color w:val="auto"/>
              </w:rPr>
            </w:pPr>
          </w:p>
        </w:tc>
        <w:tc>
          <w:tcPr>
            <w:tcW w:w="9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(Accumulated</w:t>
            </w:r>
          </w:p>
        </w:tc>
        <w:tc>
          <w:tcPr>
            <w:tcW w:w="9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79"/>
        </w:trPr>
        <w:tc>
          <w:tcPr>
            <w:tcW w:w="9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Paid-in Capital</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94"/>
        </w:trPr>
        <w:tc>
          <w:tcPr>
            <w:tcW w:w="940" w:type="dxa"/>
            <w:vAlign w:val="bottom"/>
          </w:tcPr>
          <w:p>
            <w:pPr>
              <w:jc w:val="right"/>
              <w:ind w:right="5"/>
              <w:spacing w:after="0"/>
              <w:rPr>
                <w:sz w:val="20"/>
                <w:szCs w:val="20"/>
                <w:color w:val="auto"/>
              </w:rPr>
            </w:pPr>
            <w:r>
              <w:rPr>
                <w:rFonts w:ascii="Arial" w:cs="Arial" w:eastAsia="Arial" w:hAnsi="Arial"/>
                <w:sz w:val="15"/>
                <w:szCs w:val="15"/>
                <w:color w:val="auto"/>
              </w:rPr>
              <w:t>7,319,897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146,398</w:t>
            </w: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w w:val="98"/>
              </w:rPr>
              <w:t>78,193,658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1,128,053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80,546,999</w:t>
            </w:r>
          </w:p>
        </w:tc>
        <w:tc>
          <w:tcPr>
            <w:tcW w:w="0" w:type="dxa"/>
            <w:vAlign w:val="bottom"/>
          </w:tcPr>
          <w:p>
            <w:pPr>
              <w:spacing w:after="0"/>
              <w:rPr>
                <w:sz w:val="1"/>
                <w:szCs w:val="1"/>
                <w:color w:val="auto"/>
              </w:rPr>
            </w:pPr>
          </w:p>
        </w:tc>
      </w:tr>
      <w:tr>
        <w:trPr>
          <w:trHeight w:val="206"/>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162,240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92,477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94,099</w:t>
            </w:r>
          </w:p>
        </w:tc>
        <w:tc>
          <w:tcPr>
            <w:tcW w:w="0" w:type="dxa"/>
            <w:vAlign w:val="bottom"/>
          </w:tcPr>
          <w:p>
            <w:pPr>
              <w:spacing w:after="0"/>
              <w:rPr>
                <w:sz w:val="1"/>
                <w:szCs w:val="1"/>
                <w:color w:val="auto"/>
              </w:rPr>
            </w:pPr>
          </w:p>
        </w:tc>
      </w:tr>
      <w:tr>
        <w:trPr>
          <w:trHeight w:val="206"/>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568,185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568,185</w:t>
            </w:r>
          </w:p>
        </w:tc>
        <w:tc>
          <w:tcPr>
            <w:tcW w:w="0" w:type="dxa"/>
            <w:vAlign w:val="bottom"/>
          </w:tcPr>
          <w:p>
            <w:pPr>
              <w:spacing w:after="0"/>
              <w:rPr>
                <w:sz w:val="1"/>
                <w:szCs w:val="1"/>
                <w:color w:val="auto"/>
              </w:rPr>
            </w:pPr>
          </w:p>
        </w:tc>
      </w:tr>
      <w:tr>
        <w:trPr>
          <w:trHeight w:val="209"/>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w w:val="91"/>
              </w:rPr>
              <w:t>(27,472,223)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w w:val="94"/>
              </w:rPr>
              <w:t>(27,472,223)</w:t>
            </w:r>
          </w:p>
        </w:tc>
        <w:tc>
          <w:tcPr>
            <w:tcW w:w="0" w:type="dxa"/>
            <w:vAlign w:val="bottom"/>
          </w:tcPr>
          <w:p>
            <w:pPr>
              <w:spacing w:after="0"/>
              <w:rPr>
                <w:sz w:val="1"/>
                <w:szCs w:val="1"/>
                <w:color w:val="auto"/>
              </w:rPr>
            </w:pPr>
          </w:p>
        </w:tc>
      </w:tr>
      <w:tr>
        <w:trPr>
          <w:trHeight w:val="196"/>
        </w:trPr>
        <w:tc>
          <w:tcPr>
            <w:tcW w:w="94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7,319,897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146,398</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162,240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1,622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8"/>
              </w:rPr>
              <w:t>78,854,320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1"/>
              </w:rPr>
              <w:t>(26,344,170)</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53,737,060</w:t>
            </w:r>
          </w:p>
        </w:tc>
        <w:tc>
          <w:tcPr>
            <w:tcW w:w="0" w:type="dxa"/>
            <w:vAlign w:val="bottom"/>
          </w:tcPr>
          <w:p>
            <w:pPr>
              <w:spacing w:after="0"/>
              <w:rPr>
                <w:sz w:val="1"/>
                <w:szCs w:val="1"/>
                <w:color w:val="auto"/>
              </w:rPr>
            </w:pPr>
          </w:p>
        </w:tc>
      </w:tr>
      <w:tr>
        <w:trPr>
          <w:trHeight w:val="515"/>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2,088,212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2,088,212</w:t>
            </w:r>
          </w:p>
        </w:tc>
        <w:tc>
          <w:tcPr>
            <w:tcW w:w="0" w:type="dxa"/>
            <w:vAlign w:val="bottom"/>
          </w:tcPr>
          <w:p>
            <w:pPr>
              <w:spacing w:after="0"/>
              <w:rPr>
                <w:sz w:val="1"/>
                <w:szCs w:val="1"/>
                <w:color w:val="auto"/>
              </w:rPr>
            </w:pPr>
          </w:p>
        </w:tc>
      </w:tr>
      <w:tr>
        <w:trPr>
          <w:trHeight w:val="206"/>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13,600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7,752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7,888</w:t>
            </w:r>
          </w:p>
        </w:tc>
        <w:tc>
          <w:tcPr>
            <w:tcW w:w="0" w:type="dxa"/>
            <w:vAlign w:val="bottom"/>
          </w:tcPr>
          <w:p>
            <w:pPr>
              <w:spacing w:after="0"/>
              <w:rPr>
                <w:sz w:val="1"/>
                <w:szCs w:val="1"/>
                <w:color w:val="auto"/>
              </w:rPr>
            </w:pPr>
          </w:p>
        </w:tc>
      </w:tr>
      <w:tr>
        <w:trPr>
          <w:trHeight w:val="206"/>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45,351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45,351</w:t>
            </w:r>
          </w:p>
        </w:tc>
        <w:tc>
          <w:tcPr>
            <w:tcW w:w="0" w:type="dxa"/>
            <w:vAlign w:val="bottom"/>
          </w:tcPr>
          <w:p>
            <w:pPr>
              <w:spacing w:after="0"/>
              <w:rPr>
                <w:sz w:val="1"/>
                <w:szCs w:val="1"/>
                <w:color w:val="auto"/>
              </w:rPr>
            </w:pPr>
          </w:p>
        </w:tc>
      </w:tr>
      <w:tr>
        <w:trPr>
          <w:trHeight w:val="209"/>
        </w:trPr>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781,287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781,287</w:t>
            </w:r>
          </w:p>
        </w:tc>
        <w:tc>
          <w:tcPr>
            <w:tcW w:w="0" w:type="dxa"/>
            <w:vAlign w:val="bottom"/>
          </w:tcPr>
          <w:p>
            <w:pPr>
              <w:spacing w:after="0"/>
              <w:rPr>
                <w:sz w:val="1"/>
                <w:szCs w:val="1"/>
                <w:color w:val="auto"/>
              </w:rPr>
            </w:pPr>
          </w:p>
        </w:tc>
      </w:tr>
      <w:tr>
        <w:trPr>
          <w:trHeight w:val="199"/>
        </w:trPr>
        <w:tc>
          <w:tcPr>
            <w:tcW w:w="9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7,319,897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146,398</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175,840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1,758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78,907,423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(23,474,671)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56,659,798</w:t>
            </w:r>
          </w:p>
        </w:tc>
        <w:tc>
          <w:tcPr>
            <w:tcW w:w="0" w:type="dxa"/>
            <w:vAlign w:val="bottom"/>
          </w:tcPr>
          <w:p>
            <w:pPr>
              <w:spacing w:after="0"/>
              <w:rPr>
                <w:sz w:val="1"/>
                <w:szCs w:val="1"/>
                <w:color w:val="auto"/>
              </w:rPr>
            </w:pP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ectPr>
          <w:pgSz w:w="11900" w:h="16838" w:orient="portrait"/>
          <w:cols w:equalWidth="0" w:num="2">
            <w:col w:w="4040" w:space="160"/>
            <w:col w:w="7020"/>
          </w:cols>
          <w:pgMar w:left="340" w:top="1440"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438150</wp:posOffset>
            </wp:positionV>
            <wp:extent cx="7138670" cy="165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302" w:name="page303"/>
    <w:bookmarkEnd w:id="302"/>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 from January 1, 2019 through January 31, 2019 and the Year Ended December 31,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781,287</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(27,472,223)</w:t>
            </w:r>
          </w:p>
        </w:tc>
      </w:tr>
      <w:tr>
        <w:trPr>
          <w:trHeight w:val="220"/>
        </w:trPr>
        <w:tc>
          <w:tcPr>
            <w:tcW w:w="8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45,351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568,185</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10,116,527</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65,565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537,814</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share redemption obligation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14,087,015</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Gain on sale of property and equipment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(72,943)</w:t>
            </w: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(5,329,772)</w:t>
            </w: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6,590,217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(15,771,980)</w:t>
            </w: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Income tax receivable</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(1,017,936)</w:t>
            </w: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1,834,433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(2,946,204)</w:t>
            </w: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Capitalized commissions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(536,565)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(1,211,167)</w:t>
            </w:r>
          </w:p>
        </w:tc>
      </w:tr>
      <w:tr>
        <w:trPr>
          <w:trHeight w:val="218"/>
        </w:trPr>
        <w:tc>
          <w:tcPr>
            <w:tcW w:w="802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(1,132,846)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228,383</w:t>
            </w:r>
          </w:p>
        </w:tc>
      </w:tr>
      <w:tr>
        <w:trPr>
          <w:trHeight w:val="220"/>
        </w:trPr>
        <w:tc>
          <w:tcPr>
            <w:tcW w:w="8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3,707,293</w:t>
            </w:r>
          </w:p>
        </w:tc>
      </w:tr>
      <w:tr>
        <w:trPr>
          <w:trHeight w:val="218"/>
        </w:trPr>
        <w:tc>
          <w:tcPr>
            <w:tcW w:w="80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292,916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44,858,243</w:t>
            </w:r>
          </w:p>
        </w:tc>
      </w:tr>
      <w:tr>
        <w:trPr>
          <w:trHeight w:val="213"/>
        </w:trPr>
        <w:tc>
          <w:tcPr>
            <w:tcW w:w="802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6,063,242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20,281,235</w:t>
            </w:r>
          </w:p>
        </w:tc>
      </w:tr>
      <w:tr>
        <w:trPr>
          <w:trHeight w:val="198"/>
        </w:trPr>
        <w:tc>
          <w:tcPr>
            <w:tcW w:w="802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(4,889,877)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(762,615)</w:t>
            </w: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Proceeds from sale of property and equipment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130,000</w:t>
            </w: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 of share redemption obligation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(55,999,015)</w:t>
            </w: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Acquisitions, net of cash acquired (Note 4)</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(14,675,796)</w:t>
            </w:r>
          </w:p>
        </w:tc>
      </w:tr>
      <w:tr>
        <w:trPr>
          <w:trHeight w:val="213"/>
        </w:trPr>
        <w:tc>
          <w:tcPr>
            <w:tcW w:w="80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(4,889,877)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(71,307,426)</w:t>
            </w:r>
          </w:p>
        </w:tc>
      </w:tr>
      <w:tr>
        <w:trPr>
          <w:trHeight w:val="198"/>
        </w:trPr>
        <w:tc>
          <w:tcPr>
            <w:tcW w:w="802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long-term borrowings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63,100,000</w:t>
            </w:r>
          </w:p>
        </w:tc>
      </w:tr>
      <w:tr>
        <w:trPr>
          <w:trHeight w:val="218"/>
        </w:trPr>
        <w:tc>
          <w:tcPr>
            <w:tcW w:w="8020" w:type="dxa"/>
            <w:vAlign w:val="bottom"/>
          </w:tcPr>
          <w:p>
            <w:pPr>
              <w:ind w:left="140"/>
              <w:spacing w:after="0"/>
              <w:rPr>
                <w:sz w:val="20"/>
                <w:szCs w:val="20"/>
                <w:color w:val="auto"/>
              </w:rPr>
            </w:pPr>
            <w:r>
              <w:rPr>
                <w:rFonts w:ascii="Arial" w:cs="Arial" w:eastAsia="Arial" w:hAnsi="Arial"/>
                <w:sz w:val="17"/>
                <w:szCs w:val="17"/>
                <w:color w:val="auto"/>
              </w:rPr>
              <w:t>Principal payments on long-term debt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(6,082,750)</w:t>
            </w:r>
          </w:p>
        </w:tc>
      </w:tr>
      <w:tr>
        <w:trPr>
          <w:trHeight w:val="220"/>
        </w:trPr>
        <w:tc>
          <w:tcPr>
            <w:tcW w:w="8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debt issuance costs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(1,576,079)</w:t>
            </w:r>
          </w:p>
        </w:tc>
      </w:tr>
      <w:tr>
        <w:trPr>
          <w:trHeight w:val="218"/>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94,099</w:t>
            </w:r>
          </w:p>
        </w:tc>
      </w:tr>
      <w:tr>
        <w:trPr>
          <w:trHeight w:val="213"/>
        </w:trPr>
        <w:tc>
          <w:tcPr>
            <w:tcW w:w="802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7,888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55,535,270</w:t>
            </w:r>
          </w:p>
        </w:tc>
      </w:tr>
      <w:tr>
        <w:trPr>
          <w:trHeight w:val="212"/>
        </w:trPr>
        <w:tc>
          <w:tcPr>
            <w:tcW w:w="8020" w:type="dxa"/>
            <w:vAlign w:val="bottom"/>
          </w:tcPr>
          <w:p>
            <w:pPr>
              <w:ind w:left="520"/>
              <w:spacing w:after="0"/>
              <w:rPr>
                <w:sz w:val="20"/>
                <w:szCs w:val="20"/>
                <w:color w:val="auto"/>
              </w:rPr>
            </w:pPr>
            <w:r>
              <w:rPr>
                <w:rFonts w:ascii="Arial" w:cs="Arial" w:eastAsia="Arial" w:hAnsi="Arial"/>
                <w:sz w:val="17"/>
                <w:szCs w:val="17"/>
                <w:b w:val="1"/>
                <w:bCs w:val="1"/>
                <w:color w:val="auto"/>
              </w:rPr>
              <w:t>Increase in cash and cash equivalents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1,181,253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4,509,079</w:t>
            </w: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9,691,793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5,182,714</w:t>
            </w:r>
          </w:p>
        </w:tc>
      </w:tr>
      <w:tr>
        <w:trPr>
          <w:trHeight w:val="213"/>
        </w:trPr>
        <w:tc>
          <w:tcPr>
            <w:tcW w:w="8020" w:type="dxa"/>
            <w:vAlign w:val="bottom"/>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10,873,046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9,691,793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2"/>
        </w:trPr>
        <w:tc>
          <w:tcPr>
            <w:tcW w:w="8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Supplemental disclosure of noncash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Cash paid for interest</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8,738,030</w:t>
            </w:r>
          </w:p>
        </w:tc>
      </w:tr>
      <w:tr>
        <w:trPr>
          <w:trHeight w:val="20"/>
        </w:trPr>
        <w:tc>
          <w:tcPr>
            <w:tcW w:w="8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0"/>
        </w:trPr>
        <w:tc>
          <w:tcPr>
            <w:tcW w:w="8020" w:type="dxa"/>
            <w:vAlign w:val="bottom"/>
          </w:tcPr>
          <w:p>
            <w:pPr>
              <w:ind w:left="140"/>
              <w:spacing w:after="0" w:line="190" w:lineRule="exact"/>
              <w:rPr>
                <w:sz w:val="20"/>
                <w:szCs w:val="20"/>
                <w:color w:val="auto"/>
              </w:rPr>
            </w:pPr>
            <w:r>
              <w:rPr>
                <w:rFonts w:ascii="Arial" w:cs="Arial" w:eastAsia="Arial" w:hAnsi="Arial"/>
                <w:sz w:val="17"/>
                <w:szCs w:val="17"/>
                <w:color w:val="auto"/>
              </w:rPr>
              <w:t>Cash paid for income taxes</w:t>
            </w:r>
          </w:p>
        </w:tc>
        <w:tc>
          <w:tcPr>
            <w:tcW w:w="360" w:type="dxa"/>
            <w:vAlign w:val="bottom"/>
            <w:tcBorders>
              <w:top w:val="single" w:sz="8" w:color="auto"/>
              <w:bottom w:val="single" w:sz="8" w:color="auto"/>
            </w:tcBorders>
          </w:tcPr>
          <w:p>
            <w:pPr>
              <w:jc w:val="right"/>
              <w:ind w:right="174"/>
              <w:spacing w:after="0" w:line="190" w:lineRule="exact"/>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4"/>
              <w:spacing w:after="0" w:line="190" w:lineRule="exact"/>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2,286,699</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 w:type="dxa"/>
            <w:vAlign w:val="bottom"/>
          </w:tcPr>
          <w:p>
            <w:pPr>
              <w:ind w:left="20"/>
              <w:spacing w:after="0"/>
              <w:rPr>
                <w:rFonts w:ascii="Arial" w:cs="Arial" w:eastAsia="Arial" w:hAnsi="Arial"/>
                <w:sz w:val="17"/>
                <w:szCs w:val="17"/>
                <w:u w:val="single" w:color="auto"/>
                <w:color w:val="0000FF"/>
              </w:rPr>
            </w:pPr>
            <w:hyperlink w:anchor="page304">
              <w:r>
                <w:rPr>
                  <w:rFonts w:ascii="Arial" w:cs="Arial" w:eastAsia="Arial" w:hAnsi="Arial"/>
                  <w:sz w:val="17"/>
                  <w:szCs w:val="17"/>
                  <w:u w:val="single" w:color="auto"/>
                  <w:color w:val="0000FF"/>
                </w:rPr>
                <w:t>Note 1</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04">
              <w:r>
                <w:rPr>
                  <w:rFonts w:ascii="Arial" w:cs="Arial" w:eastAsia="Arial" w:hAnsi="Arial"/>
                  <w:sz w:val="17"/>
                  <w:szCs w:val="17"/>
                  <w:u w:val="single" w:color="auto"/>
                  <w:color w:val="0000FF"/>
                </w:rPr>
                <w:t>Description of Business</w:t>
              </w:r>
            </w:hyperlink>
          </w:p>
        </w:tc>
        <w:tc>
          <w:tcPr>
            <w:tcW w:w="6280" w:type="dxa"/>
            <w:vAlign w:val="bottom"/>
          </w:tcPr>
          <w:p>
            <w:pPr>
              <w:jc w:val="center"/>
              <w:ind w:left="5474"/>
              <w:spacing w:after="0"/>
              <w:rPr>
                <w:rFonts w:ascii="Arial" w:cs="Arial" w:eastAsia="Arial" w:hAnsi="Arial"/>
                <w:sz w:val="17"/>
                <w:szCs w:val="17"/>
                <w:color w:val="auto"/>
                <w:w w:val="91"/>
              </w:rPr>
            </w:pPr>
            <w:hyperlink w:anchor="page304">
              <w:r>
                <w:rPr>
                  <w:rFonts w:ascii="Arial" w:cs="Arial" w:eastAsia="Arial" w:hAnsi="Arial"/>
                  <w:sz w:val="17"/>
                  <w:szCs w:val="17"/>
                  <w:color w:val="auto"/>
                  <w:w w:val="91"/>
                </w:rPr>
                <w:t>F-88</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05">
              <w:r>
                <w:rPr>
                  <w:rFonts w:ascii="Arial" w:cs="Arial" w:eastAsia="Arial" w:hAnsi="Arial"/>
                  <w:sz w:val="17"/>
                  <w:szCs w:val="17"/>
                  <w:u w:val="single" w:color="auto"/>
                  <w:color w:val="0000FF"/>
                </w:rPr>
                <w:t>Note 2</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05">
              <w:r>
                <w:rPr>
                  <w:rFonts w:ascii="Arial" w:cs="Arial" w:eastAsia="Arial" w:hAnsi="Arial"/>
                  <w:sz w:val="17"/>
                  <w:szCs w:val="17"/>
                  <w:u w:val="single" w:color="auto"/>
                  <w:color w:val="0000FF"/>
                </w:rPr>
                <w:t>Summary of Significant Accounting Principals</w:t>
              </w:r>
            </w:hyperlink>
          </w:p>
        </w:tc>
        <w:tc>
          <w:tcPr>
            <w:tcW w:w="6280" w:type="dxa"/>
            <w:vAlign w:val="bottom"/>
          </w:tcPr>
          <w:p>
            <w:pPr>
              <w:jc w:val="center"/>
              <w:ind w:left="5474"/>
              <w:spacing w:after="0"/>
              <w:rPr>
                <w:rFonts w:ascii="Arial" w:cs="Arial" w:eastAsia="Arial" w:hAnsi="Arial"/>
                <w:sz w:val="17"/>
                <w:szCs w:val="17"/>
                <w:color w:val="auto"/>
                <w:w w:val="91"/>
              </w:rPr>
            </w:pPr>
            <w:hyperlink w:anchor="page305">
              <w:r>
                <w:rPr>
                  <w:rFonts w:ascii="Arial" w:cs="Arial" w:eastAsia="Arial" w:hAnsi="Arial"/>
                  <w:sz w:val="17"/>
                  <w:szCs w:val="17"/>
                  <w:color w:val="auto"/>
                  <w:w w:val="91"/>
                </w:rPr>
                <w:t>F-88</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0">
              <w:r>
                <w:rPr>
                  <w:rFonts w:ascii="Arial" w:cs="Arial" w:eastAsia="Arial" w:hAnsi="Arial"/>
                  <w:sz w:val="17"/>
                  <w:szCs w:val="17"/>
                  <w:u w:val="single" w:color="auto"/>
                  <w:color w:val="0000FF"/>
                </w:rPr>
                <w:t>Note 3</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0">
              <w:r>
                <w:rPr>
                  <w:rFonts w:ascii="Arial" w:cs="Arial" w:eastAsia="Arial" w:hAnsi="Arial"/>
                  <w:sz w:val="17"/>
                  <w:szCs w:val="17"/>
                  <w:u w:val="single" w:color="auto"/>
                  <w:color w:val="0000FF"/>
                </w:rPr>
                <w:t>Revenue from Contracts with Customers</w:t>
              </w:r>
            </w:hyperlink>
          </w:p>
        </w:tc>
        <w:tc>
          <w:tcPr>
            <w:tcW w:w="6280" w:type="dxa"/>
            <w:vAlign w:val="bottom"/>
          </w:tcPr>
          <w:p>
            <w:pPr>
              <w:jc w:val="center"/>
              <w:ind w:left="5474"/>
              <w:spacing w:after="0"/>
              <w:rPr>
                <w:rFonts w:ascii="Arial" w:cs="Arial" w:eastAsia="Arial" w:hAnsi="Arial"/>
                <w:sz w:val="17"/>
                <w:szCs w:val="17"/>
                <w:color w:val="auto"/>
                <w:w w:val="91"/>
              </w:rPr>
            </w:pPr>
            <w:hyperlink w:anchor="page276">
              <w:r>
                <w:rPr>
                  <w:rFonts w:ascii="Arial" w:cs="Arial" w:eastAsia="Arial" w:hAnsi="Arial"/>
                  <w:sz w:val="17"/>
                  <w:szCs w:val="17"/>
                  <w:color w:val="auto"/>
                  <w:w w:val="91"/>
                </w:rPr>
                <w:t>F-</w:t>
              </w:r>
            </w:hyperlink>
            <w:hyperlink w:anchor="page310">
              <w:r>
                <w:rPr>
                  <w:rFonts w:ascii="Arial" w:cs="Arial" w:eastAsia="Arial" w:hAnsi="Arial"/>
                  <w:sz w:val="17"/>
                  <w:szCs w:val="17"/>
                  <w:color w:val="auto"/>
                  <w:w w:val="91"/>
                </w:rPr>
                <w:t>93</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0">
              <w:r>
                <w:rPr>
                  <w:rFonts w:ascii="Arial" w:cs="Arial" w:eastAsia="Arial" w:hAnsi="Arial"/>
                  <w:sz w:val="17"/>
                  <w:szCs w:val="17"/>
                  <w:u w:val="single" w:color="auto"/>
                  <w:color w:val="0000FF"/>
                </w:rPr>
                <w:t>Note 4</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0">
              <w:r>
                <w:rPr>
                  <w:rFonts w:ascii="Arial" w:cs="Arial" w:eastAsia="Arial" w:hAnsi="Arial"/>
                  <w:sz w:val="17"/>
                  <w:szCs w:val="17"/>
                  <w:u w:val="single" w:color="auto"/>
                  <w:color w:val="0000FF"/>
                </w:rPr>
                <w:t>Business Combinations</w:t>
              </w:r>
            </w:hyperlink>
          </w:p>
        </w:tc>
        <w:tc>
          <w:tcPr>
            <w:tcW w:w="6280" w:type="dxa"/>
            <w:vAlign w:val="bottom"/>
          </w:tcPr>
          <w:p>
            <w:pPr>
              <w:jc w:val="center"/>
              <w:ind w:left="5474"/>
              <w:spacing w:after="0"/>
              <w:rPr>
                <w:rFonts w:ascii="Arial" w:cs="Arial" w:eastAsia="Arial" w:hAnsi="Arial"/>
                <w:sz w:val="17"/>
                <w:szCs w:val="17"/>
                <w:color w:val="auto"/>
                <w:w w:val="91"/>
              </w:rPr>
            </w:pPr>
            <w:hyperlink w:anchor="page310">
              <w:r>
                <w:rPr>
                  <w:rFonts w:ascii="Arial" w:cs="Arial" w:eastAsia="Arial" w:hAnsi="Arial"/>
                  <w:sz w:val="17"/>
                  <w:szCs w:val="17"/>
                  <w:color w:val="auto"/>
                  <w:w w:val="91"/>
                </w:rPr>
                <w:t>F-93</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1">
              <w:r>
                <w:rPr>
                  <w:rFonts w:ascii="Arial" w:cs="Arial" w:eastAsia="Arial" w:hAnsi="Arial"/>
                  <w:sz w:val="17"/>
                  <w:szCs w:val="17"/>
                  <w:u w:val="single" w:color="auto"/>
                  <w:color w:val="0000FF"/>
                </w:rPr>
                <w:t>Note 5</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1">
              <w:r>
                <w:rPr>
                  <w:rFonts w:ascii="Arial" w:cs="Arial" w:eastAsia="Arial" w:hAnsi="Arial"/>
                  <w:sz w:val="17"/>
                  <w:szCs w:val="17"/>
                  <w:u w:val="single" w:color="auto"/>
                  <w:color w:val="0000FF"/>
                </w:rPr>
                <w:t>Property and Equipment</w:t>
              </w:r>
            </w:hyperlink>
          </w:p>
        </w:tc>
        <w:tc>
          <w:tcPr>
            <w:tcW w:w="6280" w:type="dxa"/>
            <w:vAlign w:val="bottom"/>
          </w:tcPr>
          <w:p>
            <w:pPr>
              <w:jc w:val="center"/>
              <w:ind w:left="5474"/>
              <w:spacing w:after="0"/>
              <w:rPr>
                <w:rFonts w:ascii="Arial" w:cs="Arial" w:eastAsia="Arial" w:hAnsi="Arial"/>
                <w:sz w:val="17"/>
                <w:szCs w:val="17"/>
                <w:color w:val="auto"/>
                <w:w w:val="91"/>
              </w:rPr>
            </w:pPr>
            <w:hyperlink w:anchor="page311">
              <w:r>
                <w:rPr>
                  <w:rFonts w:ascii="Arial" w:cs="Arial" w:eastAsia="Arial" w:hAnsi="Arial"/>
                  <w:sz w:val="17"/>
                  <w:szCs w:val="17"/>
                  <w:color w:val="auto"/>
                  <w:w w:val="91"/>
                </w:rPr>
                <w:t>F-94</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1">
              <w:r>
                <w:rPr>
                  <w:rFonts w:ascii="Arial" w:cs="Arial" w:eastAsia="Arial" w:hAnsi="Arial"/>
                  <w:sz w:val="17"/>
                  <w:szCs w:val="17"/>
                  <w:u w:val="single" w:color="auto"/>
                  <w:color w:val="0000FF"/>
                </w:rPr>
                <w:t>Note 6</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1">
              <w:r>
                <w:rPr>
                  <w:rFonts w:ascii="Arial" w:cs="Arial" w:eastAsia="Arial" w:hAnsi="Arial"/>
                  <w:sz w:val="17"/>
                  <w:szCs w:val="17"/>
                  <w:u w:val="single" w:color="auto"/>
                  <w:color w:val="0000FF"/>
                </w:rPr>
                <w:t>Intangible Assets and Goodwill</w:t>
              </w:r>
            </w:hyperlink>
          </w:p>
        </w:tc>
        <w:tc>
          <w:tcPr>
            <w:tcW w:w="6280" w:type="dxa"/>
            <w:vAlign w:val="bottom"/>
          </w:tcPr>
          <w:p>
            <w:pPr>
              <w:jc w:val="center"/>
              <w:ind w:left="5474"/>
              <w:spacing w:after="0"/>
              <w:rPr>
                <w:rFonts w:ascii="Arial" w:cs="Arial" w:eastAsia="Arial" w:hAnsi="Arial"/>
                <w:sz w:val="17"/>
                <w:szCs w:val="17"/>
                <w:color w:val="auto"/>
                <w:w w:val="91"/>
              </w:rPr>
            </w:pPr>
            <w:hyperlink w:anchor="page311">
              <w:r>
                <w:rPr>
                  <w:rFonts w:ascii="Arial" w:cs="Arial" w:eastAsia="Arial" w:hAnsi="Arial"/>
                  <w:sz w:val="17"/>
                  <w:szCs w:val="17"/>
                  <w:color w:val="auto"/>
                  <w:w w:val="91"/>
                </w:rPr>
                <w:t>F-95</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3">
              <w:r>
                <w:rPr>
                  <w:rFonts w:ascii="Arial" w:cs="Arial" w:eastAsia="Arial" w:hAnsi="Arial"/>
                  <w:sz w:val="17"/>
                  <w:szCs w:val="17"/>
                  <w:u w:val="single" w:color="auto"/>
                  <w:color w:val="0000FF"/>
                </w:rPr>
                <w:t>Note 7</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3">
              <w:r>
                <w:rPr>
                  <w:rFonts w:ascii="Arial" w:cs="Arial" w:eastAsia="Arial" w:hAnsi="Arial"/>
                  <w:sz w:val="17"/>
                  <w:szCs w:val="17"/>
                  <w:u w:val="single" w:color="auto"/>
                  <w:color w:val="0000FF"/>
                </w:rPr>
                <w:t>Long-Term Debt</w:t>
              </w:r>
            </w:hyperlink>
          </w:p>
        </w:tc>
        <w:tc>
          <w:tcPr>
            <w:tcW w:w="6280" w:type="dxa"/>
            <w:vAlign w:val="bottom"/>
          </w:tcPr>
          <w:p>
            <w:pPr>
              <w:jc w:val="center"/>
              <w:ind w:left="5474"/>
              <w:spacing w:after="0"/>
              <w:rPr>
                <w:rFonts w:ascii="Arial" w:cs="Arial" w:eastAsia="Arial" w:hAnsi="Arial"/>
                <w:sz w:val="17"/>
                <w:szCs w:val="17"/>
                <w:color w:val="auto"/>
                <w:w w:val="91"/>
              </w:rPr>
            </w:pPr>
            <w:hyperlink w:anchor="page313">
              <w:r>
                <w:rPr>
                  <w:rFonts w:ascii="Arial" w:cs="Arial" w:eastAsia="Arial" w:hAnsi="Arial"/>
                  <w:sz w:val="17"/>
                  <w:szCs w:val="17"/>
                  <w:color w:val="auto"/>
                  <w:w w:val="91"/>
                </w:rPr>
                <w:t>F-96</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4">
              <w:r>
                <w:rPr>
                  <w:rFonts w:ascii="Arial" w:cs="Arial" w:eastAsia="Arial" w:hAnsi="Arial"/>
                  <w:sz w:val="17"/>
                  <w:szCs w:val="17"/>
                  <w:u w:val="single" w:color="auto"/>
                  <w:color w:val="0000FF"/>
                </w:rPr>
                <w:t>Note 8</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4">
              <w:r>
                <w:rPr>
                  <w:rFonts w:ascii="Arial" w:cs="Arial" w:eastAsia="Arial" w:hAnsi="Arial"/>
                  <w:sz w:val="17"/>
                  <w:szCs w:val="17"/>
                  <w:u w:val="single" w:color="auto"/>
                  <w:color w:val="0000FF"/>
                </w:rPr>
                <w:t>Related Party Transactions</w:t>
              </w:r>
            </w:hyperlink>
          </w:p>
        </w:tc>
        <w:tc>
          <w:tcPr>
            <w:tcW w:w="6280" w:type="dxa"/>
            <w:vAlign w:val="bottom"/>
          </w:tcPr>
          <w:p>
            <w:pPr>
              <w:jc w:val="center"/>
              <w:ind w:left="5474"/>
              <w:spacing w:after="0"/>
              <w:rPr>
                <w:rFonts w:ascii="Arial" w:cs="Arial" w:eastAsia="Arial" w:hAnsi="Arial"/>
                <w:sz w:val="17"/>
                <w:szCs w:val="17"/>
                <w:color w:val="auto"/>
                <w:w w:val="91"/>
              </w:rPr>
            </w:pPr>
            <w:hyperlink w:anchor="page314">
              <w:r>
                <w:rPr>
                  <w:rFonts w:ascii="Arial" w:cs="Arial" w:eastAsia="Arial" w:hAnsi="Arial"/>
                  <w:sz w:val="17"/>
                  <w:szCs w:val="17"/>
                  <w:color w:val="auto"/>
                  <w:w w:val="91"/>
                </w:rPr>
                <w:t>F-97</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4">
              <w:r>
                <w:rPr>
                  <w:rFonts w:ascii="Arial" w:cs="Arial" w:eastAsia="Arial" w:hAnsi="Arial"/>
                  <w:sz w:val="17"/>
                  <w:szCs w:val="17"/>
                  <w:u w:val="single" w:color="auto"/>
                  <w:color w:val="0000FF"/>
                </w:rPr>
                <w:t>Note 9</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4">
              <w:r>
                <w:rPr>
                  <w:rFonts w:ascii="Arial" w:cs="Arial" w:eastAsia="Arial" w:hAnsi="Arial"/>
                  <w:sz w:val="17"/>
                  <w:szCs w:val="17"/>
                  <w:u w:val="single" w:color="auto"/>
                  <w:color w:val="0000FF"/>
                </w:rPr>
                <w:t>Preferred Stock</w:t>
              </w:r>
            </w:hyperlink>
          </w:p>
        </w:tc>
        <w:tc>
          <w:tcPr>
            <w:tcW w:w="6280" w:type="dxa"/>
            <w:vAlign w:val="bottom"/>
          </w:tcPr>
          <w:p>
            <w:pPr>
              <w:jc w:val="center"/>
              <w:ind w:left="5474"/>
              <w:spacing w:after="0"/>
              <w:rPr>
                <w:rFonts w:ascii="Arial" w:cs="Arial" w:eastAsia="Arial" w:hAnsi="Arial"/>
                <w:sz w:val="17"/>
                <w:szCs w:val="17"/>
                <w:color w:val="auto"/>
                <w:w w:val="91"/>
              </w:rPr>
            </w:pPr>
            <w:hyperlink w:anchor="page314">
              <w:r>
                <w:rPr>
                  <w:rFonts w:ascii="Arial" w:cs="Arial" w:eastAsia="Arial" w:hAnsi="Arial"/>
                  <w:sz w:val="17"/>
                  <w:szCs w:val="17"/>
                  <w:color w:val="auto"/>
                  <w:w w:val="91"/>
                </w:rPr>
                <w:t>F-97</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5">
              <w:r>
                <w:rPr>
                  <w:rFonts w:ascii="Arial" w:cs="Arial" w:eastAsia="Arial" w:hAnsi="Arial"/>
                  <w:sz w:val="17"/>
                  <w:szCs w:val="17"/>
                  <w:u w:val="single" w:color="auto"/>
                  <w:color w:val="0000FF"/>
                </w:rPr>
                <w:t>Note 10</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5">
              <w:r>
                <w:rPr>
                  <w:rFonts w:ascii="Arial" w:cs="Arial" w:eastAsia="Arial" w:hAnsi="Arial"/>
                  <w:sz w:val="17"/>
                  <w:szCs w:val="17"/>
                  <w:u w:val="single" w:color="auto"/>
                  <w:color w:val="0000FF"/>
                </w:rPr>
                <w:t>Common Stock</w:t>
              </w:r>
            </w:hyperlink>
          </w:p>
        </w:tc>
        <w:tc>
          <w:tcPr>
            <w:tcW w:w="6280" w:type="dxa"/>
            <w:vAlign w:val="bottom"/>
          </w:tcPr>
          <w:p>
            <w:pPr>
              <w:jc w:val="center"/>
              <w:ind w:left="5474"/>
              <w:spacing w:after="0"/>
              <w:rPr>
                <w:rFonts w:ascii="Arial" w:cs="Arial" w:eastAsia="Arial" w:hAnsi="Arial"/>
                <w:sz w:val="17"/>
                <w:szCs w:val="17"/>
                <w:color w:val="auto"/>
                <w:w w:val="91"/>
              </w:rPr>
            </w:pPr>
            <w:hyperlink w:anchor="page315">
              <w:r>
                <w:rPr>
                  <w:rFonts w:ascii="Arial" w:cs="Arial" w:eastAsia="Arial" w:hAnsi="Arial"/>
                  <w:sz w:val="17"/>
                  <w:szCs w:val="17"/>
                  <w:color w:val="auto"/>
                  <w:w w:val="91"/>
                </w:rPr>
                <w:t>F-98</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5">
              <w:r>
                <w:rPr>
                  <w:rFonts w:ascii="Arial" w:cs="Arial" w:eastAsia="Arial" w:hAnsi="Arial"/>
                  <w:sz w:val="17"/>
                  <w:szCs w:val="17"/>
                  <w:u w:val="single" w:color="auto"/>
                  <w:color w:val="0000FF"/>
                </w:rPr>
                <w:t>Note 11</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5">
              <w:r>
                <w:rPr>
                  <w:rFonts w:ascii="Arial" w:cs="Arial" w:eastAsia="Arial" w:hAnsi="Arial"/>
                  <w:sz w:val="17"/>
                  <w:szCs w:val="17"/>
                  <w:u w:val="single" w:color="auto"/>
                  <w:color w:val="0000FF"/>
                </w:rPr>
                <w:t>Stock Compensation Plan</w:t>
              </w:r>
            </w:hyperlink>
          </w:p>
        </w:tc>
        <w:tc>
          <w:tcPr>
            <w:tcW w:w="6280" w:type="dxa"/>
            <w:vAlign w:val="bottom"/>
          </w:tcPr>
          <w:p>
            <w:pPr>
              <w:jc w:val="center"/>
              <w:ind w:left="5474"/>
              <w:spacing w:after="0"/>
              <w:rPr>
                <w:rFonts w:ascii="Arial" w:cs="Arial" w:eastAsia="Arial" w:hAnsi="Arial"/>
                <w:sz w:val="17"/>
                <w:szCs w:val="17"/>
                <w:color w:val="auto"/>
                <w:w w:val="91"/>
              </w:rPr>
            </w:pPr>
            <w:hyperlink w:anchor="page315">
              <w:r>
                <w:rPr>
                  <w:rFonts w:ascii="Arial" w:cs="Arial" w:eastAsia="Arial" w:hAnsi="Arial"/>
                  <w:sz w:val="17"/>
                  <w:szCs w:val="17"/>
                  <w:color w:val="auto"/>
                  <w:w w:val="91"/>
                </w:rPr>
                <w:t>F-98</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6">
              <w:r>
                <w:rPr>
                  <w:rFonts w:ascii="Arial" w:cs="Arial" w:eastAsia="Arial" w:hAnsi="Arial"/>
                  <w:sz w:val="17"/>
                  <w:szCs w:val="17"/>
                  <w:u w:val="single" w:color="auto"/>
                  <w:color w:val="0000FF"/>
                </w:rPr>
                <w:t>Note 12</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6">
              <w:r>
                <w:rPr>
                  <w:rFonts w:ascii="Arial" w:cs="Arial" w:eastAsia="Arial" w:hAnsi="Arial"/>
                  <w:sz w:val="17"/>
                  <w:szCs w:val="17"/>
                  <w:u w:val="single" w:color="auto"/>
                  <w:color w:val="0000FF"/>
                </w:rPr>
                <w:t>Income Taxes</w:t>
              </w:r>
            </w:hyperlink>
          </w:p>
        </w:tc>
        <w:tc>
          <w:tcPr>
            <w:tcW w:w="6280" w:type="dxa"/>
            <w:vAlign w:val="bottom"/>
          </w:tcPr>
          <w:p>
            <w:pPr>
              <w:jc w:val="center"/>
              <w:ind w:left="5474"/>
              <w:spacing w:after="0"/>
              <w:rPr>
                <w:rFonts w:ascii="Arial" w:cs="Arial" w:eastAsia="Arial" w:hAnsi="Arial"/>
                <w:sz w:val="17"/>
                <w:szCs w:val="17"/>
                <w:color w:val="auto"/>
                <w:w w:val="91"/>
              </w:rPr>
            </w:pPr>
            <w:hyperlink w:anchor="page316">
              <w:r>
                <w:rPr>
                  <w:rFonts w:ascii="Arial" w:cs="Arial" w:eastAsia="Arial" w:hAnsi="Arial"/>
                  <w:sz w:val="17"/>
                  <w:szCs w:val="17"/>
                  <w:color w:val="auto"/>
                  <w:w w:val="91"/>
                </w:rPr>
                <w:t>F-99</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7">
              <w:r>
                <w:rPr>
                  <w:rFonts w:ascii="Arial" w:cs="Arial" w:eastAsia="Arial" w:hAnsi="Arial"/>
                  <w:sz w:val="17"/>
                  <w:szCs w:val="17"/>
                  <w:u w:val="single" w:color="auto"/>
                  <w:color w:val="0000FF"/>
                </w:rPr>
                <w:t>Note 13</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7">
              <w:r>
                <w:rPr>
                  <w:rFonts w:ascii="Arial" w:cs="Arial" w:eastAsia="Arial" w:hAnsi="Arial"/>
                  <w:sz w:val="17"/>
                  <w:szCs w:val="17"/>
                  <w:u w:val="single" w:color="auto"/>
                  <w:color w:val="0000FF"/>
                </w:rPr>
                <w:t>Employee Benefit Plan</w:t>
              </w:r>
            </w:hyperlink>
          </w:p>
        </w:tc>
        <w:tc>
          <w:tcPr>
            <w:tcW w:w="6280" w:type="dxa"/>
            <w:vAlign w:val="bottom"/>
          </w:tcPr>
          <w:p>
            <w:pPr>
              <w:jc w:val="center"/>
              <w:ind w:left="5474"/>
              <w:spacing w:after="0"/>
              <w:rPr>
                <w:rFonts w:ascii="Arial" w:cs="Arial" w:eastAsia="Arial" w:hAnsi="Arial"/>
                <w:sz w:val="17"/>
                <w:szCs w:val="17"/>
                <w:color w:val="auto"/>
                <w:w w:val="89"/>
              </w:rPr>
            </w:pPr>
            <w:hyperlink w:anchor="page317">
              <w:r>
                <w:rPr>
                  <w:rFonts w:ascii="Arial" w:cs="Arial" w:eastAsia="Arial" w:hAnsi="Arial"/>
                  <w:sz w:val="17"/>
                  <w:szCs w:val="17"/>
                  <w:color w:val="auto"/>
                  <w:w w:val="89"/>
                </w:rPr>
                <w:t>F-100</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7">
              <w:r>
                <w:rPr>
                  <w:rFonts w:ascii="Arial" w:cs="Arial" w:eastAsia="Arial" w:hAnsi="Arial"/>
                  <w:sz w:val="17"/>
                  <w:szCs w:val="17"/>
                  <w:u w:val="single" w:color="auto"/>
                  <w:color w:val="0000FF"/>
                </w:rPr>
                <w:t>Note 14</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7">
              <w:r>
                <w:rPr>
                  <w:rFonts w:ascii="Arial" w:cs="Arial" w:eastAsia="Arial" w:hAnsi="Arial"/>
                  <w:sz w:val="17"/>
                  <w:szCs w:val="17"/>
                  <w:u w:val="single" w:color="auto"/>
                  <w:color w:val="0000FF"/>
                </w:rPr>
                <w:t>Commitments and Contingencies</w:t>
              </w:r>
            </w:hyperlink>
          </w:p>
        </w:tc>
        <w:tc>
          <w:tcPr>
            <w:tcW w:w="6280" w:type="dxa"/>
            <w:vAlign w:val="bottom"/>
          </w:tcPr>
          <w:p>
            <w:pPr>
              <w:jc w:val="center"/>
              <w:ind w:left="5474"/>
              <w:spacing w:after="0"/>
              <w:rPr>
                <w:rFonts w:ascii="Arial" w:cs="Arial" w:eastAsia="Arial" w:hAnsi="Arial"/>
                <w:sz w:val="17"/>
                <w:szCs w:val="17"/>
                <w:color w:val="auto"/>
                <w:w w:val="89"/>
              </w:rPr>
            </w:pPr>
            <w:hyperlink w:anchor="page317">
              <w:r>
                <w:rPr>
                  <w:rFonts w:ascii="Arial" w:cs="Arial" w:eastAsia="Arial" w:hAnsi="Arial"/>
                  <w:sz w:val="17"/>
                  <w:szCs w:val="17"/>
                  <w:color w:val="auto"/>
                  <w:w w:val="89"/>
                </w:rPr>
                <w:t>F-100</w:t>
              </w:r>
            </w:hyperlink>
          </w:p>
        </w:tc>
      </w:tr>
      <w:tr>
        <w:trPr>
          <w:trHeight w:val="219"/>
        </w:trPr>
        <w:tc>
          <w:tcPr>
            <w:tcW w:w="900" w:type="dxa"/>
            <w:vAlign w:val="bottom"/>
          </w:tcPr>
          <w:p>
            <w:pPr>
              <w:ind w:left="20"/>
              <w:spacing w:after="0"/>
              <w:rPr>
                <w:rFonts w:ascii="Arial" w:cs="Arial" w:eastAsia="Arial" w:hAnsi="Arial"/>
                <w:sz w:val="17"/>
                <w:szCs w:val="17"/>
                <w:u w:val="single" w:color="auto"/>
                <w:color w:val="0000FF"/>
              </w:rPr>
            </w:pPr>
            <w:hyperlink w:anchor="page318">
              <w:r>
                <w:rPr>
                  <w:rFonts w:ascii="Arial" w:cs="Arial" w:eastAsia="Arial" w:hAnsi="Arial"/>
                  <w:sz w:val="17"/>
                  <w:szCs w:val="17"/>
                  <w:u w:val="single" w:color="auto"/>
                  <w:color w:val="0000FF"/>
                </w:rPr>
                <w:t>Note 15</w:t>
              </w:r>
            </w:hyperlink>
          </w:p>
        </w:tc>
        <w:tc>
          <w:tcPr>
            <w:tcW w:w="4060" w:type="dxa"/>
            <w:vAlign w:val="bottom"/>
          </w:tcPr>
          <w:p>
            <w:pPr>
              <w:ind w:left="340"/>
              <w:spacing w:after="0"/>
              <w:rPr>
                <w:rFonts w:ascii="Arial" w:cs="Arial" w:eastAsia="Arial" w:hAnsi="Arial"/>
                <w:sz w:val="17"/>
                <w:szCs w:val="17"/>
                <w:u w:val="single" w:color="auto"/>
                <w:color w:val="0000FF"/>
              </w:rPr>
            </w:pPr>
            <w:hyperlink w:anchor="page318">
              <w:r>
                <w:rPr>
                  <w:rFonts w:ascii="Arial" w:cs="Arial" w:eastAsia="Arial" w:hAnsi="Arial"/>
                  <w:sz w:val="17"/>
                  <w:szCs w:val="17"/>
                  <w:u w:val="single" w:color="auto"/>
                  <w:color w:val="0000FF"/>
                </w:rPr>
                <w:t>Subsequent Events</w:t>
              </w:r>
            </w:hyperlink>
          </w:p>
        </w:tc>
        <w:tc>
          <w:tcPr>
            <w:tcW w:w="6280" w:type="dxa"/>
            <w:vAlign w:val="bottom"/>
          </w:tcPr>
          <w:p>
            <w:pPr>
              <w:jc w:val="center"/>
              <w:ind w:left="5474"/>
              <w:spacing w:after="0"/>
              <w:rPr>
                <w:rFonts w:ascii="Arial" w:cs="Arial" w:eastAsia="Arial" w:hAnsi="Arial"/>
                <w:sz w:val="17"/>
                <w:szCs w:val="17"/>
                <w:color w:val="auto"/>
                <w:w w:val="89"/>
              </w:rPr>
            </w:pPr>
            <w:hyperlink w:anchor="page318">
              <w:r>
                <w:rPr>
                  <w:rFonts w:ascii="Arial" w:cs="Arial" w:eastAsia="Arial" w:hAnsi="Arial"/>
                  <w:sz w:val="17"/>
                  <w:szCs w:val="17"/>
                  <w:color w:val="auto"/>
                  <w:w w:val="89"/>
                </w:rPr>
                <w:t>F-101</w:t>
              </w:r>
            </w:hyperlink>
          </w:p>
        </w:tc>
      </w:tr>
      <w:tr>
        <w:trPr>
          <w:trHeight w:val="786"/>
        </w:trPr>
        <w:tc>
          <w:tcPr>
            <w:tcW w:w="9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280" w:type="dxa"/>
            <w:vAlign w:val="bottom"/>
          </w:tcPr>
          <w:p>
            <w:pPr>
              <w:ind w:left="500"/>
              <w:spacing w:after="0"/>
              <w:rPr>
                <w:sz w:val="20"/>
                <w:szCs w:val="20"/>
                <w:color w:val="auto"/>
              </w:rPr>
            </w:pPr>
            <w:r>
              <w:rPr>
                <w:rFonts w:ascii="Arial" w:cs="Arial" w:eastAsia="Arial" w:hAnsi="Arial"/>
                <w:sz w:val="17"/>
                <w:szCs w:val="17"/>
                <w:color w:val="auto"/>
              </w:rPr>
              <w:t>F-87</w:t>
            </w:r>
          </w:p>
        </w:tc>
      </w:tr>
      <w:tr>
        <w:trPr>
          <w:trHeight w:val="651"/>
        </w:trPr>
        <w:tc>
          <w:tcPr>
            <w:tcW w:w="9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-7620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8255" cy="165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Zoom Information, Inc. (ZoomInfo or the Company) was incorporated in March 2000 as a Delaware corporation. ZoomInfo provides business information to sales, marketing and recruiting professionals to help them find, qualify and close business more efficiently. The Company is headquartered in Waltham, Massachusetts and has offices in Michigan, Israel and Russia.</w:t>
      </w:r>
    </w:p>
    <w:p>
      <w:pPr>
        <w:spacing w:after="0" w:line="123"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Company is subject to risks common to technology companies in similar stages of development including, but not limited to, the need for successful development of new technology, development of markets and distribution channels, raising sufficient capital to support operations, protection of proprietary technology, dependence on key personnel, fluctuations in operating results and risks associated with changes in information technology.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65"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financial statements have been prepared in accordance with accounting standards set by the Financial Accounting Standards Board</w:t>
      </w:r>
      <w:r>
        <w:rPr>
          <w:rFonts w:ascii="Arial" w:cs="Arial" w:eastAsia="Arial" w:hAnsi="Arial"/>
          <w:sz w:val="16"/>
          <w:szCs w:val="16"/>
          <w:b w:val="1"/>
          <w:bCs w:val="1"/>
          <w:color w:val="auto"/>
        </w:rPr>
        <w:t xml:space="preserve"> </w:t>
      </w:r>
      <w:r>
        <w:rPr>
          <w:rFonts w:ascii="Arial" w:cs="Arial" w:eastAsia="Arial" w:hAnsi="Arial"/>
          <w:sz w:val="16"/>
          <w:szCs w:val="16"/>
          <w:color w:val="auto"/>
        </w:rPr>
        <w:t>(FASB). The FASB sets generally accepted accounting principles (GAAP) to ensure financial condition, results of operations, and cash flows are consistently reported. References to GAAP issued by the FASB in these footnotes are to the FASB Accounting Standards Codification (FASB ASC).</w:t>
      </w:r>
    </w:p>
    <w:p>
      <w:pPr>
        <w:spacing w:after="0" w:line="96"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The accompanying consolidated financial statements include the accounts of Zoom Information, Inc. and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Datanyze, Inc., Datanyze Rus, LLC and Zoom Information Israel Ltd. All significant intercompany accounts and transactions have been eliminated upon consolidation.</w:t>
      </w:r>
    </w:p>
    <w:p>
      <w:pPr>
        <w:spacing w:after="0" w:line="115" w:lineRule="exact"/>
        <w:rPr>
          <w:sz w:val="20"/>
          <w:szCs w:val="20"/>
          <w:color w:val="auto"/>
        </w:rPr>
      </w:pPr>
    </w:p>
    <w:p>
      <w:pPr>
        <w:jc w:val="both"/>
        <w:ind w:firstLine="309"/>
        <w:spacing w:after="0" w:line="304" w:lineRule="auto"/>
        <w:rPr>
          <w:sz w:val="20"/>
          <w:szCs w:val="20"/>
          <w:color w:val="auto"/>
        </w:rPr>
      </w:pPr>
      <w:r>
        <w:rPr>
          <w:rFonts w:ascii="Arial" w:cs="Arial" w:eastAsia="Arial" w:hAnsi="Arial"/>
          <w:sz w:val="15"/>
          <w:szCs w:val="15"/>
          <w:b w:val="1"/>
          <w:bCs w:val="1"/>
          <w:color w:val="auto"/>
        </w:rPr>
        <w:t xml:space="preserve">Use of estimates: </w:t>
      </w:r>
      <w:r>
        <w:rPr>
          <w:rFonts w:ascii="Arial" w:cs="Arial" w:eastAsia="Arial" w:hAnsi="Arial"/>
          <w:sz w:val="15"/>
          <w:szCs w:val="15"/>
          <w:color w:val="auto"/>
        </w:rPr>
        <w:t>The preparation of financial statements in conformity with accounting principles generally accepted in the United States requires</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 Actual results could differ from those estimates. Significant estimates include the net realizable value of accounts receivable, revenue recognition, useful lives of property and equipment, accrued liabilities, purchase price allocation and valuation of goodwill and intangible assets, stock-based compensation and accounting for deferred income taxes.</w:t>
      </w:r>
    </w:p>
    <w:p>
      <w:pPr>
        <w:spacing w:after="0" w:line="92"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Company’s foreign operations include contractual obligations denominated in foreign currencies, as well as financial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denominated in foreign currencies. The Company is subject to exposure should exchange rates fluctuate. The Company’s consolidated financial statements are presented in United States Dollars.</w:t>
      </w:r>
    </w:p>
    <w:p>
      <w:pPr>
        <w:spacing w:after="0" w:line="12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functional currency of the Company’s foreign subsidiaries in Russia and Israel is the United States Dollar. The Company remeasures monetary assets and liabilities from the local currency to the United States Dollar at exchange rates in effect at the end of each period. Nonmonetary assets and liabilities are remeasured at historical rates. Income statement accounts are remeasured at monthly average rates for the year. Gains and losses from remeasurement are included in other income (expense) in the consolidated statements of operations.</w:t>
      </w:r>
    </w:p>
    <w:p>
      <w:pPr>
        <w:spacing w:after="0" w:line="122"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The Company considers such highly liquid investments with original maturities of three months or less when purchased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cash and cash equivalents.</w:t>
      </w:r>
    </w:p>
    <w:p>
      <w:pPr>
        <w:spacing w:after="0" w:line="10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b w:val="1"/>
          <w:bCs w:val="1"/>
          <w:color w:val="auto"/>
        </w:rPr>
        <w:t xml:space="preserve">Concentrations of credit risk and significant customers: </w:t>
      </w:r>
      <w:r>
        <w:rPr>
          <w:rFonts w:ascii="Arial" w:cs="Arial" w:eastAsia="Arial" w:hAnsi="Arial"/>
          <w:sz w:val="17"/>
          <w:szCs w:val="17"/>
          <w:color w:val="auto"/>
        </w:rPr>
        <w:t>Bank deposit accounts in the United States are insured by the Federal Deposit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(FDIC) up to $250,000. The Company maintains its cash and cash equivalents in bank deposit accounts that, at times, may exceed federally insured limits. The Company has not experienced any losses in such accounts and management believes it is not exposed to significant credit risk. During the period from January 1, 2019 through January 31, 2019 and the year ended December 31, 2018, there were no individual customers that represented greater than 10% of the Company’s revenue. As of January 31, 2019 and December 31, 2018, there were no individual customers with an outstanding balance greater than 10% of accounts receivable.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The Company accounts for trade receivables at original invoiced amounts less any allowance for doubtful accounts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probability of future collection. The Company provides an allowance for doubtful accounts based upon past loss experience, known and inherent risks in the accounts, adverse situations that may affect a customers’ ability to repay, and current economic conditions. The Company writes off accounts receivable against the allowance when a balance is determined to be uncollectible. The allowance for doubtful accounts was $383,796 and $365,127 at January 31, 2019 and December 31, 2018, respectively.</w:t>
      </w:r>
    </w:p>
    <w:p>
      <w:pPr>
        <w:spacing w:after="0" w:line="122"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recorded at cost and depreciated using the straight-line method over the estimated useful lives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where applicable and if shorter, over the lease term. Upon retirement or sale, the cost of assets disposed of and the related accumulated depreciation are removed from the accounts and any resulting (gain) or loss is credited or charged to income. Repairs and maintenance costs are expensed as incurred. Depreciation is provided for by the straight-line method over estimated useful lives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software and equipment</w:t>
            </w:r>
          </w:p>
        </w:tc>
        <w:tc>
          <w:tcPr>
            <w:tcW w:w="4680" w:type="dxa"/>
            <w:vAlign w:val="bottom"/>
            <w:shd w:val="clear" w:color="auto" w:fill="CCEEFF"/>
          </w:tcPr>
          <w:p>
            <w:pPr>
              <w:ind w:left="4180"/>
              <w:spacing w:after="0"/>
              <w:rPr>
                <w:sz w:val="20"/>
                <w:szCs w:val="20"/>
                <w:color w:val="auto"/>
              </w:rPr>
            </w:pPr>
            <w:r>
              <w:rPr>
                <w:rFonts w:ascii="Arial" w:cs="Arial" w:eastAsia="Arial" w:hAnsi="Arial"/>
                <w:sz w:val="17"/>
                <w:szCs w:val="17"/>
                <w:color w:val="auto"/>
                <w:w w:val="86"/>
              </w:rPr>
              <w:t>3 years</w:t>
            </w:r>
          </w:p>
        </w:tc>
      </w:tr>
      <w:tr>
        <w:trPr>
          <w:trHeight w:val="218"/>
        </w:trPr>
        <w:tc>
          <w:tcPr>
            <w:tcW w:w="656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4680" w:type="dxa"/>
            <w:vAlign w:val="bottom"/>
          </w:tcPr>
          <w:p>
            <w:pPr>
              <w:ind w:left="4180"/>
              <w:spacing w:after="0"/>
              <w:rPr>
                <w:sz w:val="20"/>
                <w:szCs w:val="20"/>
                <w:color w:val="auto"/>
              </w:rPr>
            </w:pPr>
            <w:r>
              <w:rPr>
                <w:rFonts w:ascii="Arial" w:cs="Arial" w:eastAsia="Arial" w:hAnsi="Arial"/>
                <w:sz w:val="17"/>
                <w:szCs w:val="17"/>
                <w:color w:val="auto"/>
                <w:w w:val="86"/>
              </w:rPr>
              <w:t>3 years</w:t>
            </w:r>
          </w:p>
        </w:tc>
      </w:tr>
      <w:tr>
        <w:trPr>
          <w:trHeight w:val="22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4680" w:type="dxa"/>
            <w:vAlign w:val="bottom"/>
            <w:shd w:val="clear" w:color="auto" w:fill="CCEEFF"/>
          </w:tcPr>
          <w:p>
            <w:pPr>
              <w:ind w:left="4180"/>
              <w:spacing w:after="0"/>
              <w:rPr>
                <w:sz w:val="20"/>
                <w:szCs w:val="20"/>
                <w:color w:val="auto"/>
              </w:rPr>
            </w:pPr>
            <w:r>
              <w:rPr>
                <w:rFonts w:ascii="Arial" w:cs="Arial" w:eastAsia="Arial" w:hAnsi="Arial"/>
                <w:sz w:val="17"/>
                <w:szCs w:val="17"/>
                <w:color w:val="auto"/>
                <w:w w:val="86"/>
              </w:rPr>
              <w:t>5 years</w:t>
            </w:r>
          </w:p>
        </w:tc>
      </w:tr>
    </w:tbl>
    <w:p>
      <w:pPr>
        <w:spacing w:after="0" w:line="136"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The Company accounts for business combinations pursuant to FASB ASC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(ASC 805).</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in such acquisitions represents the excess of the cost of a business acquired over the net of the amounts assigned to assets acquired, including identifiable intangible assets and liabilities assumed. The guidance specifies criteria to be used in determining whether intangible assets acquired in a business combination must be recognized and reported separately from goodwill. Amounts assigned to goodwill and other identifiable intangible assets were determined with the assistance of an independent appraiser through established valuation techniques.</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 xml:space="preserve">In accordance with FASB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Company conducts an impairment evaluation for goodwill at least annually, or more frequently, if events or changes in circumstances indicate that an asset might be impaired. The Company performed the assessment concluding no impairment noted for the period from January 1, 2019 to January 31, 2019 and the year ended December 31, 2018.</w:t>
      </w:r>
    </w:p>
    <w:p>
      <w:pPr>
        <w:spacing w:after="0" w:line="117"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Debt financing costs: </w:t>
      </w:r>
      <w:r>
        <w:rPr>
          <w:rFonts w:ascii="Arial" w:cs="Arial" w:eastAsia="Arial" w:hAnsi="Arial"/>
          <w:sz w:val="17"/>
          <w:szCs w:val="17"/>
          <w:color w:val="auto"/>
        </w:rPr>
        <w:t>Costs incurred related to the financing of long-term debt are netted against the debt and amortized over the remaining life of the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debt offering. Costs associated with the terms loan are amortized using the straight-line method. Amortization expense is recorded as a component of interest expense.</w:t>
      </w:r>
    </w:p>
    <w:p>
      <w:pPr>
        <w:spacing w:after="0" w:line="11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include property and equipment, definite lived intangible assets and capitalized software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costs. Long-lived assets are reviewed by management for impairment whenever events or changes in business circumstances indicate that the carrying amount of assets may not be fully recoverable or that the useful lives of these assets are no longer appropriate. Each impairment test is based on a comparison of undiscounted cash flows to the recorded value of the asset. If any impairment is indicated, the asset is written down to its estimate fair value determined on a discounted cash flow basis. For the period from January 1, 2019 through January 31, 2019 and the year ended December 31, 2018, the Company does not believe any impairment of its long-lived assets has occurred.</w:t>
      </w:r>
    </w:p>
    <w:p>
      <w:pPr>
        <w:spacing w:after="0" w:line="125"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Revenue recognition (FASB ASC 605): </w:t>
      </w:r>
      <w:r>
        <w:rPr>
          <w:rFonts w:ascii="Arial" w:cs="Arial" w:eastAsia="Arial" w:hAnsi="Arial"/>
          <w:sz w:val="17"/>
          <w:szCs w:val="17"/>
          <w:color w:val="auto"/>
        </w:rPr>
        <w:t>The Company derives revenue by providing software as a service (SaaS) to the customer in which the customer does</w:t>
      </w:r>
      <w:r>
        <w:rPr>
          <w:rFonts w:ascii="Arial" w:cs="Arial" w:eastAsia="Arial" w:hAnsi="Arial"/>
          <w:sz w:val="17"/>
          <w:szCs w:val="17"/>
          <w:b w:val="1"/>
          <w:bCs w:val="1"/>
          <w:color w:val="auto"/>
        </w:rPr>
        <w:t xml:space="preserve"> </w:t>
      </w:r>
      <w:r>
        <w:rPr>
          <w:rFonts w:ascii="Arial" w:cs="Arial" w:eastAsia="Arial" w:hAnsi="Arial"/>
          <w:sz w:val="17"/>
          <w:szCs w:val="17"/>
          <w:color w:val="auto"/>
        </w:rPr>
        <w:t>not have the rights to the software license itself but can use the hosted software for the contracted term. As a result, the Company recognizes revenue from these arrangements in accordance with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during the year ended December 31, 2018. In accordance with the guidance, the Company accounts for its customer arrangements as service contracts.</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Revenue is recognized only when persuasive evidence of an arrangement exists, the fee is fixed or determinable, the product or service has been delivered, and collectability of the resulting receivable is probable.</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During the year ended December 31, 2018, SaaS revenue was recognized ratably over the term of the related contract, assuming all revenue recognition criteria had been met. SaaS fees are paid by customers for rights to access the Company’s online search technology and database of business people and companies pursuant to subscription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06" w:name="page307"/>
    <w:bookmarkEnd w:id="306"/>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agreements with defined terms. The Company’s subscription agreements also generally provide an annual level of usage for the ability to generate lists and data append services. These contracts also provide the rate at which the customer must pay for usage above and beyond the annual allowable level. Any excess over the annual level of usage requires the customer to pay an additional fee and associated revenue from the ability to use these additional lists or data append services is recognized ratably over the period of availability. Remaining usage expires upon the expiration of the subscription term to the extent unused. Revenue for the annual usage fee is recognized ratably over the subscription term as the pattern of performance is not determinable.</w:t>
      </w:r>
    </w:p>
    <w:p>
      <w:pPr>
        <w:spacing w:after="0" w:line="11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Deferred revenue represent amounts billed or received in advance of satisfying the revenue recognition policy described above and includes $8,232,322 that is included in both accounts receivable and deferred revenue at December 31, 2018, respectively. The Company believes that it has an enforceable collection right pursuant to the related contracts.</w:t>
      </w:r>
    </w:p>
    <w:p>
      <w:pPr>
        <w:spacing w:after="0" w:line="117" w:lineRule="exact"/>
        <w:rPr>
          <w:sz w:val="20"/>
          <w:szCs w:val="20"/>
          <w:color w:val="auto"/>
        </w:rPr>
      </w:pPr>
    </w:p>
    <w:p>
      <w:pPr>
        <w:jc w:val="both"/>
        <w:ind w:firstLine="309"/>
        <w:spacing w:after="0" w:line="278" w:lineRule="auto"/>
        <w:rPr>
          <w:sz w:val="20"/>
          <w:szCs w:val="20"/>
          <w:color w:val="auto"/>
        </w:rPr>
      </w:pPr>
      <w:r>
        <w:rPr>
          <w:rFonts w:ascii="Arial" w:cs="Arial" w:eastAsia="Arial" w:hAnsi="Arial"/>
          <w:sz w:val="16"/>
          <w:szCs w:val="16"/>
          <w:b w:val="1"/>
          <w:bCs w:val="1"/>
          <w:color w:val="auto"/>
        </w:rPr>
        <w:t xml:space="preserve">Revenue recognition (FASB ASC 606): </w:t>
      </w:r>
      <w:r>
        <w:rPr>
          <w:rFonts w:ascii="Arial" w:cs="Arial" w:eastAsia="Arial" w:hAnsi="Arial"/>
          <w:sz w:val="16"/>
          <w:szCs w:val="16"/>
          <w:color w:val="auto"/>
        </w:rPr>
        <w:t>During the period from January 1, 2019 through January 31, 2019, the Company adopted ASU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from Contracts with Customers” </w:t>
      </w:r>
      <w:r>
        <w:rPr>
          <w:rFonts w:ascii="Arial" w:cs="Arial" w:eastAsia="Arial" w:hAnsi="Arial"/>
          <w:sz w:val="16"/>
          <w:szCs w:val="16"/>
          <w:color w:val="auto"/>
        </w:rPr>
        <w:t>(ASC 606). The Company adopted ASC 606 on January 1, 2019 utilizing the modified retrospective method which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to be adopted for the period beginning January 1, 2019 with no change to the year ended December 31, 2018. Results for the period from January 1, 2019 through January 31, 2019 are presented under ASC 606, while prior period amounts are not adjusted and continue to be reported under accounting standards in effect for the prior periods. The Company recorded an adjustment to accumulated deficit on January 1, 2019 due to the cumulative impact of adopting ASC 606. See Note 3 for the required disclosures related to the impact of adopting this standard.</w:t>
      </w:r>
    </w:p>
    <w:p>
      <w:pPr>
        <w:spacing w:after="0" w:line="118"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In accordance with ASC 606, revenue is recognized when a customer obtains control of promised goods and services. ASC 606 requires disclosures of the nature, amount, timing, and uncertainty of revenue and cash flows arising from contracts with customers.</w:t>
      </w:r>
    </w:p>
    <w:p>
      <w:pPr>
        <w:spacing w:after="0" w:line="11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core principle of the standard is to recognize revenue to depict the transfer of promised goods or services to customers in an amount that reflects the consideration to which the Company expect to be entitled in exchange for those goods or services. To achieve that core principle, the Company applies the following five step model:</w:t>
      </w:r>
    </w:p>
    <w:p>
      <w:pPr>
        <w:spacing w:after="0" w:line="123" w:lineRule="exact"/>
        <w:rPr>
          <w:sz w:val="20"/>
          <w:szCs w:val="20"/>
          <w:color w:val="auto"/>
        </w:rPr>
      </w:pPr>
    </w:p>
    <w:p>
      <w:pPr>
        <w:ind w:left="620" w:hanging="308"/>
        <w:spacing w:after="0"/>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Identify the contract with the customer;</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w:t>
      </w:r>
    </w:p>
    <w:p>
      <w:pPr>
        <w:spacing w:after="0" w:line="165" w:lineRule="exact"/>
        <w:rPr>
          <w:rFonts w:ascii="Arial" w:cs="Arial" w:eastAsia="Arial" w:hAnsi="Arial"/>
          <w:sz w:val="17"/>
          <w:szCs w:val="17"/>
          <w:color w:val="auto"/>
        </w:rPr>
      </w:pPr>
    </w:p>
    <w:p>
      <w:pPr>
        <w:ind w:left="620" w:hanging="308"/>
        <w:spacing w:after="0"/>
        <w:tabs>
          <w:tab w:leader="none" w:pos="6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Recognize revenue when (or as) each performance obligation is satisfied.</w:t>
      </w:r>
    </w:p>
    <w:p>
      <w:pPr>
        <w:spacing w:after="0" w:line="165"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generally recognizes revenue for subscription contracts ratably over the contractual term, beginning on the date that the service is made available to the customer. Deferred revenue results from amounts billed to customers in advance or cash received from customers in advance of the satisfaction of performance obligations.</w:t>
      </w:r>
    </w:p>
    <w:p>
      <w:pPr>
        <w:spacing w:after="0" w:line="123" w:lineRule="exact"/>
        <w:rPr>
          <w:sz w:val="20"/>
          <w:szCs w:val="20"/>
          <w:color w:val="auto"/>
        </w:rPr>
      </w:pPr>
    </w:p>
    <w:p>
      <w:pPr>
        <w:jc w:val="both"/>
        <w:ind w:firstLine="309"/>
        <w:spacing w:after="0" w:line="258" w:lineRule="auto"/>
        <w:rPr>
          <w:sz w:val="20"/>
          <w:szCs w:val="20"/>
          <w:color w:val="auto"/>
        </w:rPr>
      </w:pPr>
      <w:r>
        <w:rPr>
          <w:rFonts w:ascii="Arial" w:cs="Arial" w:eastAsia="Arial" w:hAnsi="Arial"/>
          <w:sz w:val="17"/>
          <w:szCs w:val="17"/>
          <w:color w:val="auto"/>
        </w:rPr>
        <w:t>The transaction price is the amount of consideration to which the Company expects to be entitled in exchange for transferring goods and services to the customer. Revenue is recorded based on the transaction price, which includes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The Company recorded variable consideration of $98,000 during the period from January 1, 2019 through January 31, 2019. The Company recorded a $435,912 adjustment to accumulated deficit related to variable consideration upon adoption of ASC 606 (Note 3).</w:t>
      </w:r>
    </w:p>
    <w:p>
      <w:pPr>
        <w:spacing w:after="0" w:line="13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Deferred revenue represent amounts billed or received in advance of satisfying the revenue recognition policy described above and includes $2,886,392 that is included in both accounts receivable and deferred revenue at January 31, 2019. The Company believes that it has an enforceable collection right pursuant to the related contracts.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07" w:name="page308"/>
    <w:bookmarkEnd w:id="307"/>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1" w:lineRule="exact"/>
        <w:rPr>
          <w:sz w:val="20"/>
          <w:szCs w:val="20"/>
          <w:color w:val="auto"/>
        </w:rPr>
      </w:pPr>
    </w:p>
    <w:p>
      <w:pPr>
        <w:jc w:val="both"/>
        <w:ind w:firstLine="309"/>
        <w:spacing w:after="0" w:line="296" w:lineRule="auto"/>
        <w:rPr>
          <w:sz w:val="20"/>
          <w:szCs w:val="20"/>
          <w:color w:val="auto"/>
        </w:rPr>
      </w:pPr>
      <w:r>
        <w:rPr>
          <w:rFonts w:ascii="Arial" w:cs="Arial" w:eastAsia="Arial" w:hAnsi="Arial"/>
          <w:sz w:val="15"/>
          <w:szCs w:val="15"/>
          <w:b w:val="1"/>
          <w:bCs w:val="1"/>
          <w:color w:val="auto"/>
        </w:rPr>
        <w:t xml:space="preserve">Contract costs: </w:t>
      </w:r>
      <w:r>
        <w:rPr>
          <w:rFonts w:ascii="Arial" w:cs="Arial" w:eastAsia="Arial" w:hAnsi="Arial"/>
          <w:sz w:val="15"/>
          <w:szCs w:val="15"/>
          <w:color w:val="auto"/>
        </w:rPr>
        <w:t>During the period from January 1, 2019 through January 31, 2019, the Company adopted FASB ASC 340-40 -</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Other Assets and Deferred</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Costs—Contracts with Customers </w:t>
      </w:r>
      <w:r>
        <w:rPr>
          <w:rFonts w:ascii="Arial" w:cs="Arial" w:eastAsia="Arial" w:hAnsi="Arial"/>
          <w:sz w:val="15"/>
          <w:szCs w:val="15"/>
          <w:color w:val="auto"/>
        </w:rPr>
        <w:t>as part of the ASU 2014-09. Sales commissions paid to sales personnel are considered incremental and recoverable costs of</w:t>
      </w:r>
      <w:r>
        <w:rPr>
          <w:rFonts w:ascii="Arial" w:cs="Arial" w:eastAsia="Arial" w:hAnsi="Arial"/>
          <w:sz w:val="15"/>
          <w:szCs w:val="15"/>
          <w:i w:val="1"/>
          <w:iCs w:val="1"/>
          <w:color w:val="auto"/>
        </w:rPr>
        <w:t xml:space="preserve"> </w:t>
      </w:r>
      <w:r>
        <w:rPr>
          <w:rFonts w:ascii="Arial" w:cs="Arial" w:eastAsia="Arial" w:hAnsi="Arial"/>
          <w:sz w:val="15"/>
          <w:szCs w:val="15"/>
          <w:color w:val="auto"/>
        </w:rPr>
        <w:t>obtaining a contract with a customer. Sales commissions for initial contracts are capitalized and amortized on a straight-line basis over three years which represents the expected benefit period of the associated contracts. The Company determines the period of benefit by taking into consideration the historical and expected durations of customer contracts, the expected useful life of the technology, and other factors. Sales commissions for renewal contracts are generally deferred and amortized on a straight-line basis over the related contractual renewal period, which is generally one year. Amortization expense related to capitalized commissions is included as a component of sales and marketing expense in the accompanying consolidated statement of operations. Total capitalized commissions as of January 31, 2019 were $3,585,122. Prior to adoption of FASB ASC 340-40, sales commissions were expensed as incurred.</w:t>
      </w:r>
    </w:p>
    <w:p>
      <w:pPr>
        <w:spacing w:after="0" w:line="107"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Company recorded an adjustment to accumulated deficit on January 1, 2019 due to the cumulative impact of adopting ASC 340-40 of $3,280,346. During the period from January 1, 2019 through January 31, 2019, the Company capitalized commissions of $536,565 and recorded amortization expense of $231,789. See Note 3 for required disclosures related to the impact of adopting this standard.</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applies a practical expedient to expense costs as incurred for costs to obtain a contract when the amortization period is one year or less.</w:t>
      </w:r>
    </w:p>
    <w:p>
      <w:pPr>
        <w:spacing w:after="0" w:line="171" w:lineRule="exact"/>
        <w:rPr>
          <w:sz w:val="20"/>
          <w:szCs w:val="20"/>
          <w:color w:val="auto"/>
        </w:rPr>
      </w:pPr>
    </w:p>
    <w:p>
      <w:pPr>
        <w:jc w:val="both"/>
        <w:ind w:firstLine="309"/>
        <w:spacing w:after="0" w:line="269" w:lineRule="auto"/>
        <w:rPr>
          <w:sz w:val="20"/>
          <w:szCs w:val="20"/>
          <w:color w:val="auto"/>
        </w:rPr>
      </w:pPr>
      <w:r>
        <w:rPr>
          <w:rFonts w:ascii="Arial" w:cs="Arial" w:eastAsia="Arial" w:hAnsi="Arial"/>
          <w:sz w:val="17"/>
          <w:szCs w:val="17"/>
          <w:b w:val="1"/>
          <w:bCs w:val="1"/>
          <w:color w:val="auto"/>
        </w:rPr>
        <w:t xml:space="preserve">Advertising costs: </w:t>
      </w:r>
      <w:r>
        <w:rPr>
          <w:rFonts w:ascii="Arial" w:cs="Arial" w:eastAsia="Arial" w:hAnsi="Arial"/>
          <w:sz w:val="17"/>
          <w:szCs w:val="17"/>
          <w:color w:val="auto"/>
        </w:rPr>
        <w:t>Costs related to advertising are expensed as incurred. Advertising costs include tradeshows, promotional items, marketing consultants,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direct marketing. For the period from January 1, 2019 through January 31, 2019 and the year ended December 31, 2018, total advertising expenses were $164,759 and $2,771,005, respectively.</w:t>
      </w:r>
    </w:p>
    <w:p>
      <w:pPr>
        <w:spacing w:after="0" w:line="11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b w:val="1"/>
          <w:bCs w:val="1"/>
          <w:color w:val="auto"/>
        </w:rPr>
        <w:t xml:space="preserve">Research and development costs and software development costs: </w:t>
      </w:r>
      <w:r>
        <w:rPr>
          <w:rFonts w:ascii="Arial" w:cs="Arial" w:eastAsia="Arial" w:hAnsi="Arial"/>
          <w:sz w:val="16"/>
          <w:szCs w:val="16"/>
          <w:color w:val="auto"/>
        </w:rPr>
        <w:t>Research and development costs are expensed as incurred except for internal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costs that qualify for capitalization. Research and development costs consist of personnel costs for the design, deployment, testing and enhancement of the Company’s technology. For development costs related to the Company’s cloud-based service, the Company capitalizes costs incurred during the application development stage. Costs related to preliminary project activities and post-implementation activities are expensed as incurred. The Company did not incur any material qualifying costs during the application development stage during the period from January 1, 2019 through January 31, 2019 or the year ended December 31, 2018. Costs charged to expense relating to research and development totaled $1,663,534 and $13,093,595 for the period from January 1, 2019 through January 31, 2019 and the year ended December 31, 2018, respectively.</w:t>
      </w:r>
    </w:p>
    <w:p>
      <w:pPr>
        <w:spacing w:after="0" w:line="110"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The Company accounts for equity-based employee compensation arrangements in accordance with ASC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records stock-based compensation expense based on the estimated fair value of the equity instrument using the Black-Scholes</w:t>
      </w:r>
      <w:r>
        <w:rPr>
          <w:rFonts w:ascii="Arial" w:cs="Arial" w:eastAsia="Arial" w:hAnsi="Arial"/>
          <w:sz w:val="17"/>
          <w:szCs w:val="17"/>
          <w:i w:val="1"/>
          <w:iCs w:val="1"/>
          <w:color w:val="auto"/>
        </w:rPr>
        <w:t xml:space="preserve"> </w:t>
      </w:r>
      <w:r>
        <w:rPr>
          <w:rFonts w:ascii="Arial" w:cs="Arial" w:eastAsia="Arial" w:hAnsi="Arial"/>
          <w:sz w:val="17"/>
          <w:szCs w:val="17"/>
          <w:color w:val="auto"/>
        </w:rPr>
        <w:t>option pricing model to determine the weighted-average fair value of options granted. In accordance with ASC 718, the Company recognizes the compensation cost of stock-based awards on a straight-line basis over the requisite service period.</w:t>
      </w:r>
    </w:p>
    <w:p>
      <w:pPr>
        <w:spacing w:after="0" w:line="119"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b w:val="1"/>
          <w:bCs w:val="1"/>
          <w:color w:val="auto"/>
        </w:rPr>
        <w:t xml:space="preserve">Redeemable stock: </w:t>
      </w:r>
      <w:r>
        <w:rPr>
          <w:rFonts w:ascii="Arial" w:cs="Arial" w:eastAsia="Arial" w:hAnsi="Arial"/>
          <w:sz w:val="17"/>
          <w:szCs w:val="17"/>
          <w:color w:val="auto"/>
        </w:rPr>
        <w:t>On August 11, 2017, the Company entered into a Securities Purchase Agreement (the Agreement) with GHP Zoom Investor LLC (Parent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an affiliate of Great Hill Equity Partners VI LP (Acquirer), for the acquisition of 55% of the Company’s equity interest through a leverage recapitalization transaction (Recapitalization). In connection with the close of the Recapitalization, the Company agreed to a mandatory repurchase of certain shares of stock at a specified future date. The Company agreed to purchase and the shareholders agreed to sell the shares of Series A Common Stock (Mandatorily Redeemable Equity Securities) at a date no later than July 31, 2018 (Mandatory Redemption Date) at a price per share determined based on a multiple of billings for the 12 month period ended June 30, 2018. Consistent with the guidance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 Mandatorily Redeemable Equity Securities are recognized as a liability and measured at fair value on the date of issuance. Subsequent measurement of the liability for the Mandatorily Redeemable Equity Securities is fair value. The Company recorded a share redemption liability of $41,912,000 at December 31, 2017. During the year ended December 31, 2018, the Company repurchased 17,079,761 shares of Mandatorily Redeemable Equity Securities for total cash consideration of $55,999,015. As a result, during the year ended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08" w:name="page309"/>
    <w:bookmarkEnd w:id="308"/>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the Company recorded a loss of $14,087,015 upon purchase of Mandatorily Redeemable Equity Securities.</w:t>
      </w:r>
    </w:p>
    <w:p>
      <w:pPr>
        <w:spacing w:after="0" w:line="159"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utilizes the asset and liability method of accounting for income taxes. Under this method, deferred tax assets and liabilities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based upon differences between financial reporting and tax basis of assets and liabilities and for net operating loss carryforwards, measured using the enacted tax rates and laws that will be in effect when differences are expected to reverse. Valuation allowances are provided, if based upon the weight of available evidence, it is more likely than not that some or all of the deferred tax assets will not be realized.</w:t>
      </w:r>
    </w:p>
    <w:p>
      <w:pPr>
        <w:spacing w:after="0" w:line="125"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The Company follows the provisions of applicable accounting standards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positions as well as the consideration of available facts and circumstances.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65"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In August 2015, the FASB issued ASU 2015-14, which defers the effective date of ASU 2014-09 one year making it effective for annual reporting periods beginning after December 15, 2018. The Company adopted ASC 606 on January 1, 2019 using the modified retrospective method. Under this approach, the new standard applies to all new contracts initiated on or after January 1, 2019. For existing contracts that had remaining obligations as of January 1, 2019, any difference between the recognition criteria in ASC 606 and the Company’s legacy revenue recognition practices was recognized using a cumulative effect adjustment to the opening balance of accumulated deficit (Note 3).</w:t>
      </w:r>
    </w:p>
    <w:p>
      <w:pPr>
        <w:spacing w:after="0" w:line="13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simplifies several aspects of the accounting for equity-based payment awards, including: (a)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(b) classification of the awards as either equity or liabilities, (c) classification on the statement of cash flows and (d) accounting for forfeitures as they occur. ASU 2016-09 is effective for final financial statement periods beginning after December 15, 2017. The Company adopted this guidance during the year ended December 31, 2018. The adoption of this guidance did not materially impact the financial statements (Note 11).</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65" w:lineRule="exact"/>
        <w:rPr>
          <w:sz w:val="20"/>
          <w:szCs w:val="20"/>
          <w:color w:val="auto"/>
        </w:rPr>
      </w:pPr>
    </w:p>
    <w:p>
      <w:pPr>
        <w:jc w:val="both"/>
        <w:ind w:firstLine="309"/>
        <w:spacing w:after="0" w:line="257"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this ASU supersedes the leasing guidance in Topic 840, </w:t>
      </w:r>
      <w:r>
        <w:rPr>
          <w:rFonts w:ascii="Arial" w:cs="Arial" w:eastAsia="Arial" w:hAnsi="Arial"/>
          <w:sz w:val="17"/>
          <w:szCs w:val="17"/>
          <w:i w:val="1"/>
          <w:iCs w:val="1"/>
          <w:color w:val="auto"/>
        </w:rPr>
        <w:t>Leases</w:t>
      </w:r>
      <w:r>
        <w:rPr>
          <w:rFonts w:ascii="Arial" w:cs="Arial" w:eastAsia="Arial" w:hAnsi="Arial"/>
          <w:sz w:val="17"/>
          <w:szCs w:val="17"/>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2020,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did not evaluate the impact of adopting the guidance due to the sale of the Company as disclosed within Note 15.</w:t>
      </w:r>
    </w:p>
    <w:p>
      <w:pPr>
        <w:spacing w:after="0" w:line="13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(Topic 350), which eliminates the requirement to compare the implied fair value of reporting unit goodwill with the carrying amount of that goodwill (commonly referred to as Step 2) from the goodwill impairment test. The new standard does not change how a goodwill impairment is identified. The Company will continue to perform quantitative and qualitative goodwill impairment test by comparing the fair value of each reporting unit to its carrying amount, but if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09" w:name="page310"/>
    <w:bookmarkEnd w:id="309"/>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Company is required to recognize a goodwill impairment charge, under the new standard the amount of the charge will be calculated by subtracting the reporting unit’s fair value from its carrying amount. Under the prior standard, if the Company were required to recognize a goodwill impairment charge, Step 2 required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 The new standard is effective for annual reporting periods beginning after December 15, 2021, with early adoption permitted, and should be applied prospectively from the date of adoption. The Company did not evaluate the impact of adopting the guidance due to the sale of the Company as disclosed within Note 15.</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1"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 xml:space="preserve">On January 1, 2019,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utilizing the modified retrospective method applied to those contracts that were not completed as of December 31, 2018. Results for the period from January 1, 2019 through January 31, 2019 are presented under Topic 606, while prior period amounts are not adjusted and continue to be reported under accounting standards in effect for the prior period. The Company recorded a net decrease to beginning accumulated deficit of $2,088,212 on January 1, 2019. The net decrease to beginning accumulated deficit is due to an adjustment for capitalized commissions of $3,280,346 which was offset by a $435,912 adjustment to deferred revenue and a $756,222 reduction to the income tax benefit. The adjustment to deferred revenue is the result of the Company recording variable consideration.</w:t>
      </w:r>
    </w:p>
    <w:p>
      <w:pPr>
        <w:spacing w:after="0" w:line="11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impact of adopting ASC 606 and ASC 340-40 during the period from January 1, 2019 through January 31, 2019 on the consolidated statement of operations is outlined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Under ASC 605</w:t>
            </w:r>
          </w:p>
        </w:tc>
        <w:tc>
          <w:tcPr>
            <w:tcW w:w="160" w:type="dxa"/>
            <w:vAlign w:val="bottom"/>
          </w:tcPr>
          <w:p>
            <w:pPr>
              <w:spacing w:after="0"/>
              <w:rPr>
                <w:sz w:val="16"/>
                <w:szCs w:val="16"/>
                <w:color w:val="auto"/>
              </w:rPr>
            </w:pPr>
          </w:p>
        </w:tc>
        <w:tc>
          <w:tcPr>
            <w:tcW w:w="14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Impact of ASC 606</w:t>
            </w:r>
          </w:p>
        </w:tc>
        <w:tc>
          <w:tcPr>
            <w:tcW w:w="0" w:type="dxa"/>
            <w:vAlign w:val="bottom"/>
          </w:tcPr>
          <w:p>
            <w:pPr>
              <w:spacing w:after="0"/>
              <w:rPr>
                <w:sz w:val="1"/>
                <w:szCs w:val="1"/>
                <w:color w:val="auto"/>
              </w:rPr>
            </w:pPr>
          </w:p>
        </w:tc>
      </w:tr>
      <w:tr>
        <w:trPr>
          <w:trHeight w:val="218"/>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9,693,329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9,791,329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(98,000)</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8,042,952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8,347,737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(304,785)</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1,650,377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1,443,592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206,785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Loss before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260" w:type="dxa"/>
            <w:vAlign w:val="bottom"/>
          </w:tcPr>
          <w:p>
            <w:pPr>
              <w:jc w:val="right"/>
              <w:ind w:right="74"/>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645,059</w:t>
            </w:r>
          </w:p>
        </w:tc>
        <w:tc>
          <w:tcPr>
            <w:tcW w:w="100" w:type="dxa"/>
            <w:vAlign w:val="bottom"/>
          </w:tcPr>
          <w:p>
            <w:pPr>
              <w:spacing w:after="0"/>
              <w:rPr>
                <w:sz w:val="16"/>
                <w:szCs w:val="16"/>
                <w:color w:val="auto"/>
              </w:rPr>
            </w:pPr>
          </w:p>
        </w:tc>
        <w:tc>
          <w:tcPr>
            <w:tcW w:w="200" w:type="dxa"/>
            <w:vAlign w:val="bottom"/>
          </w:tcPr>
          <w:p>
            <w:pPr>
              <w:jc w:val="right"/>
              <w:ind w:right="14"/>
              <w:spacing w:after="0" w:line="189"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438,274</w:t>
            </w:r>
          </w:p>
        </w:tc>
        <w:tc>
          <w:tcPr>
            <w:tcW w:w="1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206,785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(provision)</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619,994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(756,222)</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781,287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(181,720)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963,007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Revenue by geography is determined by the domicile of the Company’s contracting entity. All customer contracts are with the Company’s U.S. entity, therefore 100% of the Company’s revenue is designated as U.S. revenue. Due to the SaaS based nature of the Company’s service, it is possible that some of our customers use the service outside of the 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80" w:type="dxa"/>
            <w:vAlign w:val="bottom"/>
          </w:tcPr>
          <w:p>
            <w:pPr>
              <w:ind w:left="320"/>
              <w:spacing w:after="0"/>
              <w:rPr>
                <w:sz w:val="20"/>
                <w:szCs w:val="20"/>
                <w:color w:val="auto"/>
              </w:rPr>
            </w:pPr>
            <w:r>
              <w:rPr>
                <w:rFonts w:ascii="Arial" w:cs="Arial" w:eastAsia="Arial" w:hAnsi="Arial"/>
                <w:sz w:val="17"/>
                <w:szCs w:val="17"/>
                <w:color w:val="auto"/>
              </w:rPr>
              <w:t>All of the Company’s revenue is recognized over time based on the contractual term of the SaaS offering.</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61"/>
        </w:trPr>
        <w:tc>
          <w:tcPr>
            <w:tcW w:w="9680" w:type="dxa"/>
            <w:vAlign w:val="bottom"/>
          </w:tcPr>
          <w:p>
            <w:pPr>
              <w:ind w:left="320"/>
              <w:spacing w:after="0"/>
              <w:rPr>
                <w:sz w:val="20"/>
                <w:szCs w:val="20"/>
                <w:color w:val="auto"/>
              </w:rPr>
            </w:pPr>
            <w:r>
              <w:rPr>
                <w:rFonts w:ascii="Arial" w:cs="Arial" w:eastAsia="Arial" w:hAnsi="Arial"/>
                <w:sz w:val="17"/>
                <w:szCs w:val="17"/>
                <w:color w:val="auto"/>
              </w:rPr>
              <w:t>Changes in deferred revenue during the period from January 1, 2019 through January 31, 2019 were as follows: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9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as of January 1, 2019</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67,535,004</w:t>
            </w:r>
          </w:p>
        </w:tc>
      </w:tr>
      <w:tr>
        <w:trPr>
          <w:trHeight w:val="218"/>
        </w:trPr>
        <w:tc>
          <w:tcPr>
            <w:tcW w:w="9680" w:type="dxa"/>
            <w:vAlign w:val="bottom"/>
          </w:tcPr>
          <w:p>
            <w:pPr>
              <w:ind w:left="220"/>
              <w:spacing w:after="0"/>
              <w:rPr>
                <w:sz w:val="20"/>
                <w:szCs w:val="20"/>
                <w:color w:val="auto"/>
              </w:rPr>
            </w:pPr>
            <w:r>
              <w:rPr>
                <w:rFonts w:ascii="Arial" w:cs="Arial" w:eastAsia="Arial" w:hAnsi="Arial"/>
                <w:sz w:val="17"/>
                <w:szCs w:val="17"/>
                <w:color w:val="auto"/>
              </w:rPr>
              <w:t>ASC 606 adjustments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435,912</w:t>
            </w:r>
          </w:p>
        </w:tc>
      </w:tr>
      <w:tr>
        <w:trPr>
          <w:trHeight w:val="220"/>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Billings</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9,986,245</w:t>
            </w:r>
          </w:p>
        </w:tc>
      </w:tr>
      <w:tr>
        <w:trPr>
          <w:trHeight w:val="218"/>
        </w:trPr>
        <w:tc>
          <w:tcPr>
            <w:tcW w:w="9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Revenue recognized</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(9,693,329)</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revenue, January 31, 2019</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68,263,832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65"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6"/>
          <w:szCs w:val="16"/>
          <w:b w:val="1"/>
          <w:bCs w:val="1"/>
          <w:color w:val="auto"/>
        </w:rPr>
        <w:t xml:space="preserve">Yonatan Institute- </w:t>
      </w:r>
      <w:r>
        <w:rPr>
          <w:rFonts w:ascii="Arial" w:cs="Arial" w:eastAsia="Arial" w:hAnsi="Arial"/>
          <w:sz w:val="16"/>
          <w:szCs w:val="16"/>
          <w:color w:val="auto"/>
        </w:rPr>
        <w:t>On August 27, 2018, the Company acquired 100% of Yonatan Institute for Research Ltd. (Yonatan Institute), an affiliate not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the Company located in Israel. Yonatan Institute has provided services to the Company since 2012 and the seller is the founder and former Chief Executive of the Company. The Company paid $535,490 for all rights, title and interest as well as equitable shares in the subsidiary.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10" w:name="page311"/>
    <w:bookmarkEnd w:id="310"/>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consummation of the transaction, the Company changed the name of the Israel entity to Zoom Information Israel Ltd. and the former owner retained the naming rights of Yonatan Institute. The consideration consisted of a cash contribution of $203,841, net of cash acquired of $331,649.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80" w:type="dxa"/>
            <w:vAlign w:val="bottom"/>
          </w:tcPr>
          <w:p>
            <w:pPr>
              <w:ind w:left="320"/>
              <w:spacing w:after="0"/>
              <w:rPr>
                <w:sz w:val="20"/>
                <w:szCs w:val="20"/>
                <w:color w:val="auto"/>
              </w:rPr>
            </w:pPr>
            <w:r>
              <w:rPr>
                <w:rFonts w:ascii="Arial" w:cs="Arial" w:eastAsia="Arial" w:hAnsi="Arial"/>
                <w:sz w:val="17"/>
                <w:szCs w:val="17"/>
                <w:color w:val="auto"/>
              </w:rPr>
              <w:t>The following summarizes the estimated fair value of assets acquired and liabilities assumed: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2"/>
        </w:trPr>
        <w:tc>
          <w:tcPr>
            <w:tcW w:w="9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center"/>
              <w:ind w:left="314"/>
              <w:spacing w:after="0"/>
              <w:rPr>
                <w:sz w:val="20"/>
                <w:szCs w:val="20"/>
                <w:color w:val="auto"/>
              </w:rPr>
            </w:pPr>
            <w:r>
              <w:rPr>
                <w:rFonts w:ascii="Arial" w:cs="Arial" w:eastAsia="Arial" w:hAnsi="Arial"/>
                <w:sz w:val="17"/>
                <w:szCs w:val="17"/>
                <w:color w:val="auto"/>
                <w:w w:val="91"/>
              </w:rPr>
              <w:t>501,311</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480" w:type="dxa"/>
            <w:vAlign w:val="bottom"/>
          </w:tcPr>
          <w:p>
            <w:pPr>
              <w:spacing w:after="0"/>
              <w:rPr>
                <w:sz w:val="18"/>
                <w:szCs w:val="18"/>
                <w:color w:val="auto"/>
              </w:rPr>
            </w:pPr>
          </w:p>
        </w:tc>
        <w:tc>
          <w:tcPr>
            <w:tcW w:w="1080" w:type="dxa"/>
            <w:vAlign w:val="bottom"/>
          </w:tcPr>
          <w:p>
            <w:pPr>
              <w:jc w:val="center"/>
              <w:ind w:left="274"/>
              <w:spacing w:after="0"/>
              <w:rPr>
                <w:sz w:val="20"/>
                <w:szCs w:val="20"/>
                <w:color w:val="auto"/>
              </w:rPr>
            </w:pPr>
            <w:r>
              <w:rPr>
                <w:rFonts w:ascii="Arial" w:cs="Arial" w:eastAsia="Arial" w:hAnsi="Arial"/>
                <w:sz w:val="17"/>
                <w:szCs w:val="17"/>
                <w:color w:val="auto"/>
                <w:w w:val="93"/>
              </w:rPr>
              <w:t>(416,364)</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w:t>
            </w: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7"/>
                <w:szCs w:val="17"/>
                <w:color w:val="auto"/>
                <w:w w:val="91"/>
              </w:rPr>
              <w:t>118,894</w:t>
            </w:r>
          </w:p>
        </w:tc>
      </w:tr>
      <w:tr>
        <w:trPr>
          <w:trHeight w:val="213"/>
        </w:trPr>
        <w:tc>
          <w:tcPr>
            <w:tcW w:w="9680" w:type="dxa"/>
            <w:vAlign w:val="bottom"/>
          </w:tcPr>
          <w:p>
            <w:pPr>
              <w:ind w:left="220"/>
              <w:spacing w:after="0"/>
              <w:rPr>
                <w:sz w:val="20"/>
                <w:szCs w:val="20"/>
                <w:color w:val="auto"/>
              </w:rPr>
            </w:pPr>
            <w:r>
              <w:rPr>
                <w:rFonts w:ascii="Arial" w:cs="Arial" w:eastAsia="Arial" w:hAnsi="Arial"/>
                <w:sz w:val="17"/>
                <w:szCs w:val="17"/>
                <w:color w:val="auto"/>
              </w:rPr>
              <w:t>Fair value of assets acquired and liabilities assumed</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center"/>
              <w:ind w:left="314"/>
              <w:spacing w:after="0"/>
              <w:rPr>
                <w:sz w:val="20"/>
                <w:szCs w:val="20"/>
                <w:color w:val="auto"/>
              </w:rPr>
            </w:pPr>
            <w:r>
              <w:rPr>
                <w:rFonts w:ascii="Arial" w:cs="Arial" w:eastAsia="Arial" w:hAnsi="Arial"/>
                <w:sz w:val="17"/>
                <w:szCs w:val="17"/>
                <w:color w:val="auto"/>
                <w:w w:val="91"/>
              </w:rPr>
              <w:t>203,841</w:t>
            </w:r>
          </w:p>
        </w:tc>
      </w:tr>
      <w:tr>
        <w:trPr>
          <w:trHeight w:val="20"/>
        </w:trPr>
        <w:tc>
          <w:tcPr>
            <w:tcW w:w="9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Datanyze- </w:t>
      </w:r>
      <w:r>
        <w:rPr>
          <w:rFonts w:ascii="Arial" w:cs="Arial" w:eastAsia="Arial" w:hAnsi="Arial"/>
          <w:sz w:val="17"/>
          <w:szCs w:val="17"/>
          <w:color w:val="auto"/>
        </w:rPr>
        <w:t>On September 18, 2018, the Company entered into a share purchase agreement to acquire all of the issued and outstanding shares of Datanyze, Inc.</w:t>
      </w:r>
      <w:r>
        <w:rPr>
          <w:rFonts w:ascii="Arial" w:cs="Arial" w:eastAsia="Arial" w:hAnsi="Arial"/>
          <w:sz w:val="17"/>
          <w:szCs w:val="17"/>
          <w:b w:val="1"/>
          <w:bCs w:val="1"/>
          <w:color w:val="auto"/>
        </w:rPr>
        <w:t xml:space="preserve"> </w:t>
      </w:r>
      <w:r>
        <w:rPr>
          <w:rFonts w:ascii="Arial" w:cs="Arial" w:eastAsia="Arial" w:hAnsi="Arial"/>
          <w:sz w:val="17"/>
          <w:szCs w:val="17"/>
          <w:color w:val="auto"/>
        </w:rPr>
        <w:t>and Datanyze Rus, LLC (Datanyze) for a total purchase price of $14,471,955. The consideration consisted of a cash contribution totaling $1,863,878, net of cash acquired and proceeds from notes payable of $12,608,077 (Note 7). Datanyze is utilizing technographic data for sales and marketing efforts to provide customers with real-time insights of a company’s technology choices and buying signals.</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with the assistance of external valuation specialists, allocated the purchase price to its identifiable tangible and intangible assets and liabilities, with the remaining amount classified as goodwill.</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ind w:left="320"/>
              <w:spacing w:after="0"/>
              <w:rPr>
                <w:sz w:val="20"/>
                <w:szCs w:val="20"/>
                <w:color w:val="auto"/>
              </w:rPr>
            </w:pPr>
            <w:r>
              <w:rPr>
                <w:rFonts w:ascii="Arial" w:cs="Arial" w:eastAsia="Arial" w:hAnsi="Arial"/>
                <w:sz w:val="17"/>
                <w:szCs w:val="17"/>
                <w:color w:val="auto"/>
              </w:rPr>
              <w:t>The following summarizes the estimated fair value of assets acquired and liabilities assumed: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323,070</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194,104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Tradenames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430,000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1,260,000</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Non-competition agreements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220,000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(650,416)</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(127,365)</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13,742,562</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Fair value of assets acquired and liabilities assumed</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14,471,955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Note 5 - Property and Equipment</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020" w:type="dxa"/>
            <w:vAlign w:val="bottom"/>
          </w:tcPr>
          <w:p>
            <w:pPr>
              <w:ind w:left="320"/>
              <w:spacing w:after="0"/>
              <w:rPr>
                <w:sz w:val="20"/>
                <w:szCs w:val="20"/>
                <w:color w:val="auto"/>
              </w:rPr>
            </w:pPr>
            <w:r>
              <w:rPr>
                <w:rFonts w:ascii="Arial" w:cs="Arial" w:eastAsia="Arial" w:hAnsi="Arial"/>
                <w:sz w:val="17"/>
                <w:szCs w:val="17"/>
                <w:color w:val="auto"/>
              </w:rPr>
              <w:t>Property and equipment consists of the following as of January 31, 2019 and December 31, 2018:</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software and equipment</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1,766,809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1,398,137</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1,684,108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169,537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3,069,958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63,324</w:t>
            </w:r>
          </w:p>
        </w:tc>
        <w:tc>
          <w:tcPr>
            <w:tcW w:w="0" w:type="dxa"/>
            <w:vAlign w:val="bottom"/>
          </w:tcPr>
          <w:p>
            <w:pPr>
              <w:spacing w:after="0"/>
              <w:rPr>
                <w:sz w:val="1"/>
                <w:szCs w:val="1"/>
                <w:color w:val="auto"/>
              </w:rPr>
            </w:pPr>
          </w:p>
        </w:tc>
      </w:tr>
      <w:tr>
        <w:trPr>
          <w:trHeight w:val="212"/>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6,520,875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1,630,998</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(795,702)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(686,482)</w:t>
            </w:r>
          </w:p>
        </w:tc>
        <w:tc>
          <w:tcPr>
            <w:tcW w:w="0" w:type="dxa"/>
            <w:vAlign w:val="bottom"/>
          </w:tcPr>
          <w:p>
            <w:pPr>
              <w:spacing w:after="0"/>
              <w:rPr>
                <w:sz w:val="1"/>
                <w:szCs w:val="1"/>
                <w:color w:val="auto"/>
              </w:rPr>
            </w:pPr>
          </w:p>
        </w:tc>
      </w:tr>
      <w:tr>
        <w:trPr>
          <w:trHeight w:val="212"/>
        </w:trPr>
        <w:tc>
          <w:tcPr>
            <w:tcW w:w="80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5,725,173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944,516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Depreciation expense for the period from January 1, 2019 through January 31, 2019 and the year ended December 31, 2018 was $109,220 and $648,853, respectively. During the year ended December 31, 2018, the Company sold property and equipment for total proceeds of $130,000 and recorded a gain on the sale of $72,943.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11" w:name="page312"/>
    <w:bookmarkEnd w:id="311"/>
    <w:p>
      <w:pPr>
        <w:spacing w:after="0"/>
        <w:rPr>
          <w:sz w:val="20"/>
          <w:szCs w:val="20"/>
          <w:color w:val="auto"/>
        </w:rPr>
      </w:pPr>
      <w:r>
        <w:rPr>
          <w:rFonts w:ascii="Arial" w:cs="Arial" w:eastAsia="Arial" w:hAnsi="Arial"/>
          <w:sz w:val="17"/>
          <w:szCs w:val="17"/>
          <w:b w:val="1"/>
          <w:bCs w:val="1"/>
          <w:color w:val="auto"/>
        </w:rPr>
        <w:t>Note 6 - Intangible Assets and Goodwill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 of the following at January 31,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0"/>
              </w:rPr>
              <w:t>Amortization Period</w:t>
            </w:r>
          </w:p>
        </w:tc>
        <w:tc>
          <w:tcPr>
            <w:tcW w:w="100" w:type="dxa"/>
            <w:vAlign w:val="bottom"/>
            <w:vMerge w:val="restart"/>
          </w:tcPr>
          <w:p>
            <w:pPr>
              <w:spacing w:after="0"/>
              <w:rPr>
                <w:sz w:val="14"/>
                <w:szCs w:val="1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0"/>
              </w:rPr>
              <w:t>2-7 years</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7,114,000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5,617,585</w:t>
            </w:r>
          </w:p>
        </w:tc>
        <w:tc>
          <w:tcPr>
            <w:tcW w:w="0" w:type="dxa"/>
            <w:vAlign w:val="bottom"/>
          </w:tcPr>
          <w:p>
            <w:pPr>
              <w:spacing w:after="0"/>
              <w:rPr>
                <w:sz w:val="1"/>
                <w:szCs w:val="1"/>
                <w:color w:val="auto"/>
              </w:rPr>
            </w:pPr>
          </w:p>
        </w:tc>
      </w:tr>
      <w:tr>
        <w:trPr>
          <w:trHeight w:val="218"/>
        </w:trPr>
        <w:tc>
          <w:tcPr>
            <w:tcW w:w="4800" w:type="dxa"/>
            <w:vAlign w:val="bottom"/>
            <w:gridSpan w:val="2"/>
          </w:tcPr>
          <w:p>
            <w:pPr>
              <w:ind w:left="20"/>
              <w:spacing w:after="0"/>
              <w:rPr>
                <w:sz w:val="20"/>
                <w:szCs w:val="20"/>
                <w:color w:val="auto"/>
              </w:rPr>
            </w:pPr>
            <w:r>
              <w:rPr>
                <w:rFonts w:ascii="Arial" w:cs="Arial" w:eastAsia="Arial" w:hAnsi="Arial"/>
                <w:sz w:val="17"/>
                <w:szCs w:val="17"/>
                <w:color w:val="auto"/>
              </w:rPr>
              <w:t>Developed technology</w:t>
            </w: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4-7 years</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52,413,000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(10,990,951)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41,422,049</w:t>
            </w:r>
          </w:p>
        </w:tc>
        <w:tc>
          <w:tcPr>
            <w:tcW w:w="0" w:type="dxa"/>
            <w:vAlign w:val="bottom"/>
          </w:tcPr>
          <w:p>
            <w:pPr>
              <w:spacing w:after="0"/>
              <w:rPr>
                <w:sz w:val="1"/>
                <w:szCs w:val="1"/>
                <w:color w:val="auto"/>
              </w:rPr>
            </w:pPr>
          </w:p>
        </w:tc>
      </w:tr>
      <w:tr>
        <w:trPr>
          <w:trHeight w:val="22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0"/>
              </w:rPr>
              <w:t>5-9 years</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7,954,790</w:t>
            </w: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Non-competition agreements</w:t>
            </w:r>
          </w:p>
        </w:tc>
        <w:tc>
          <w:tcPr>
            <w:tcW w:w="156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7"/>
                <w:szCs w:val="17"/>
                <w:color w:val="auto"/>
                <w:w w:val="86"/>
              </w:rPr>
              <w:t>3 years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192,791</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intangibles</w:t>
            </w: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69,126,000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(13,938,785)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7"/>
                <w:szCs w:val="17"/>
                <w:color w:val="auto"/>
                <w:w w:val="92"/>
              </w:rPr>
              <w:t>Intangible assets consist of the following at December 31, 2018:</w:t>
            </w: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80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0"/>
              </w:rPr>
              <w:t>Amortization Period</w:t>
            </w:r>
          </w:p>
        </w:tc>
        <w:tc>
          <w:tcPr>
            <w:tcW w:w="100" w:type="dxa"/>
            <w:vAlign w:val="bottom"/>
            <w:vMerge w:val="restart"/>
          </w:tcPr>
          <w:p>
            <w:pPr>
              <w:spacing w:after="0"/>
              <w:rPr>
                <w:sz w:val="24"/>
                <w:szCs w:val="24"/>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Gross Carrying Amount</w:t>
            </w:r>
          </w:p>
        </w:tc>
        <w:tc>
          <w:tcPr>
            <w:tcW w:w="1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24"/>
                <w:szCs w:val="24"/>
                <w:color w:val="auto"/>
              </w:rPr>
            </w:pPr>
          </w:p>
        </w:tc>
        <w:tc>
          <w:tcPr>
            <w:tcW w:w="132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79"/>
        </w:trPr>
        <w:tc>
          <w:tcPr>
            <w:tcW w:w="47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0"/>
              </w:rPr>
              <w:t>2-7 years</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7,114,000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(1,409,343)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5,704,657</w:t>
            </w:r>
          </w:p>
        </w:tc>
        <w:tc>
          <w:tcPr>
            <w:tcW w:w="0" w:type="dxa"/>
            <w:vAlign w:val="bottom"/>
          </w:tcPr>
          <w:p>
            <w:pPr>
              <w:spacing w:after="0"/>
              <w:rPr>
                <w:sz w:val="1"/>
                <w:szCs w:val="1"/>
                <w:color w:val="auto"/>
              </w:rPr>
            </w:pPr>
          </w:p>
        </w:tc>
      </w:tr>
      <w:tr>
        <w:trPr>
          <w:trHeight w:val="218"/>
        </w:trPr>
        <w:tc>
          <w:tcPr>
            <w:tcW w:w="4800" w:type="dxa"/>
            <w:vAlign w:val="bottom"/>
            <w:gridSpan w:val="2"/>
          </w:tcPr>
          <w:p>
            <w:pPr>
              <w:ind w:left="20"/>
              <w:spacing w:after="0"/>
              <w:rPr>
                <w:sz w:val="20"/>
                <w:szCs w:val="20"/>
                <w:color w:val="auto"/>
              </w:rPr>
            </w:pPr>
            <w:r>
              <w:rPr>
                <w:rFonts w:ascii="Arial" w:cs="Arial" w:eastAsia="Arial" w:hAnsi="Arial"/>
                <w:sz w:val="17"/>
                <w:szCs w:val="17"/>
                <w:color w:val="auto"/>
              </w:rPr>
              <w:t>Developed technology</w:t>
            </w:r>
          </w:p>
        </w:tc>
        <w:tc>
          <w:tcPr>
            <w:tcW w:w="156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4-7 years</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52,413,000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(10,363,148)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42,049,852</w:t>
            </w:r>
          </w:p>
        </w:tc>
        <w:tc>
          <w:tcPr>
            <w:tcW w:w="0" w:type="dxa"/>
            <w:vAlign w:val="bottom"/>
          </w:tcPr>
          <w:p>
            <w:pPr>
              <w:spacing w:after="0"/>
              <w:rPr>
                <w:sz w:val="1"/>
                <w:szCs w:val="1"/>
                <w:color w:val="auto"/>
              </w:rPr>
            </w:pPr>
          </w:p>
        </w:tc>
      </w:tr>
      <w:tr>
        <w:trPr>
          <w:trHeight w:val="22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5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0"/>
              </w:rPr>
              <w:t>5-9 years</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9,379,000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8,050,966</w:t>
            </w: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Non-competition agreements</w:t>
            </w:r>
          </w:p>
        </w:tc>
        <w:tc>
          <w:tcPr>
            <w:tcW w:w="156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7"/>
                <w:szCs w:val="17"/>
                <w:color w:val="auto"/>
                <w:w w:val="86"/>
              </w:rPr>
              <w:t>3 years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198,902</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intangibles</w:t>
            </w: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69,126,000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(13,121,623)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Amortization expense for intangible assets was $817,162 and $9,467,672 for the period from January 1, 2019 through January 31, 2019 and the year ended December 31, 2018, respectively. Of this expense, $627,804 and $7,456,004 is included in cost of revenue for the period from January 1, 2019 through January 31, 2019 and the year ended December 31, 2018, respectively, with the remainder included within depreciation and amortization in the accompanying consolidated statements of operations.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Based on the current amount of intangible assets subject to amortization, the amortization expense for each of the succeeding years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8,988,782</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2020</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9,795,035</w:t>
            </w:r>
          </w:p>
        </w:tc>
        <w:tc>
          <w:tcPr>
            <w:tcW w:w="0" w:type="dxa"/>
            <w:vAlign w:val="bottom"/>
          </w:tcPr>
          <w:p>
            <w:pPr>
              <w:spacing w:after="0"/>
              <w:rPr>
                <w:sz w:val="1"/>
                <w:szCs w:val="1"/>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9,744,647</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9,662,750</w:t>
            </w:r>
          </w:p>
        </w:tc>
        <w:tc>
          <w:tcPr>
            <w:tcW w:w="0" w:type="dxa"/>
            <w:vAlign w:val="bottom"/>
          </w:tcPr>
          <w:p>
            <w:pPr>
              <w:spacing w:after="0"/>
              <w:rPr>
                <w:sz w:val="1"/>
                <w:szCs w:val="1"/>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9,512,618</w:t>
            </w:r>
          </w:p>
        </w:tc>
        <w:tc>
          <w:tcPr>
            <w:tcW w:w="0" w:type="dxa"/>
            <w:vAlign w:val="bottom"/>
          </w:tcPr>
          <w:p>
            <w:pPr>
              <w:spacing w:after="0"/>
              <w:rPr>
                <w:sz w:val="1"/>
                <w:szCs w:val="1"/>
                <w:color w:val="auto"/>
              </w:rPr>
            </w:pP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7,483,383</w:t>
            </w:r>
          </w:p>
        </w:tc>
        <w:tc>
          <w:tcPr>
            <w:tcW w:w="0" w:type="dxa"/>
            <w:vAlign w:val="bottom"/>
          </w:tcPr>
          <w:p>
            <w:pPr>
              <w:spacing w:after="0"/>
              <w:rPr>
                <w:sz w:val="1"/>
                <w:szCs w:val="1"/>
                <w:color w:val="auto"/>
              </w:rPr>
            </w:pPr>
          </w:p>
        </w:tc>
      </w:tr>
      <w:tr>
        <w:trPr>
          <w:trHeight w:val="237"/>
        </w:trPr>
        <w:tc>
          <w:tcPr>
            <w:tcW w:w="96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rPr>
              <w:t>The changes in intangible assets subject to amortization were as follows as of December 31, 2018 and January 31, 2019:</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2017</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63,482,049</w:t>
            </w:r>
          </w:p>
        </w:tc>
        <w:tc>
          <w:tcPr>
            <w:tcW w:w="0" w:type="dxa"/>
            <w:vAlign w:val="bottom"/>
          </w:tcPr>
          <w:p>
            <w:pPr>
              <w:spacing w:after="0"/>
              <w:rPr>
                <w:sz w:val="1"/>
                <w:szCs w:val="1"/>
                <w:color w:val="auto"/>
              </w:rPr>
            </w:pP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Addition of Datanyze intangible assets</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1,990,000</w:t>
            </w:r>
          </w:p>
        </w:tc>
        <w:tc>
          <w:tcPr>
            <w:tcW w:w="0" w:type="dxa"/>
            <w:vAlign w:val="bottom"/>
          </w:tcPr>
          <w:p>
            <w:pPr>
              <w:spacing w:after="0"/>
              <w:rPr>
                <w:sz w:val="1"/>
                <w:szCs w:val="1"/>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(9,467,672)</w:t>
            </w:r>
          </w:p>
        </w:tc>
        <w:tc>
          <w:tcPr>
            <w:tcW w:w="0" w:type="dxa"/>
            <w:vAlign w:val="bottom"/>
          </w:tcPr>
          <w:p>
            <w:pPr>
              <w:spacing w:after="0"/>
              <w:rPr>
                <w:sz w:val="1"/>
                <w:szCs w:val="1"/>
                <w:color w:val="auto"/>
              </w:rPr>
            </w:pPr>
          </w:p>
        </w:tc>
      </w:tr>
      <w:tr>
        <w:trPr>
          <w:trHeight w:val="211"/>
        </w:trPr>
        <w:tc>
          <w:tcPr>
            <w:tcW w:w="9680" w:type="dxa"/>
            <w:vAlign w:val="bottom"/>
          </w:tcPr>
          <w:p>
            <w:pPr>
              <w:ind w:left="220"/>
              <w:spacing w:after="0"/>
              <w:rPr>
                <w:sz w:val="20"/>
                <w:szCs w:val="20"/>
                <w:color w:val="auto"/>
              </w:rPr>
            </w:pPr>
            <w:r>
              <w:rPr>
                <w:rFonts w:ascii="Arial" w:cs="Arial" w:eastAsia="Arial" w:hAnsi="Arial"/>
                <w:sz w:val="17"/>
                <w:szCs w:val="17"/>
                <w:color w:val="auto"/>
              </w:rPr>
              <w:t>Balance as of December 31, 2018</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(817,162)</w:t>
            </w:r>
          </w:p>
        </w:tc>
        <w:tc>
          <w:tcPr>
            <w:tcW w:w="0" w:type="dxa"/>
            <w:vAlign w:val="bottom"/>
          </w:tcPr>
          <w:p>
            <w:pPr>
              <w:spacing w:after="0"/>
              <w:rPr>
                <w:sz w:val="1"/>
                <w:szCs w:val="1"/>
                <w:color w:val="auto"/>
              </w:rPr>
            </w:pPr>
          </w:p>
        </w:tc>
      </w:tr>
      <w:tr>
        <w:trPr>
          <w:trHeight w:val="213"/>
        </w:trPr>
        <w:tc>
          <w:tcPr>
            <w:tcW w:w="9680" w:type="dxa"/>
            <w:vAlign w:val="bottom"/>
          </w:tcPr>
          <w:p>
            <w:pPr>
              <w:ind w:left="220"/>
              <w:spacing w:after="0"/>
              <w:rPr>
                <w:sz w:val="20"/>
                <w:szCs w:val="20"/>
                <w:color w:val="auto"/>
              </w:rPr>
            </w:pPr>
            <w:r>
              <w:rPr>
                <w:rFonts w:ascii="Arial" w:cs="Arial" w:eastAsia="Arial" w:hAnsi="Arial"/>
                <w:sz w:val="17"/>
                <w:szCs w:val="17"/>
                <w:color w:val="auto"/>
              </w:rPr>
              <w:t>Balance as of January 31, 2019</w:t>
            </w: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138670" cy="165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23"/>
        </w:trPr>
        <w:tc>
          <w:tcPr>
            <w:tcW w:w="9680" w:type="dxa"/>
            <w:vAlign w:val="bottom"/>
          </w:tcPr>
          <w:p>
            <w:pPr>
              <w:spacing w:after="0"/>
              <w:rPr>
                <w:sz w:val="20"/>
                <w:szCs w:val="20"/>
                <w:color w:val="auto"/>
              </w:rPr>
            </w:pPr>
            <w:r>
              <w:rPr>
                <w:rFonts w:ascii="Arial" w:cs="Arial" w:eastAsia="Arial" w:hAnsi="Arial"/>
                <w:sz w:val="17"/>
                <w:szCs w:val="17"/>
                <w:b w:val="1"/>
                <w:bCs w:val="1"/>
                <w:color w:val="auto"/>
              </w:rPr>
              <w:t>Note 6 - Intangible Assets and Goodwill (continued)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86"/>
        </w:trPr>
        <w:tc>
          <w:tcPr>
            <w:tcW w:w="9680" w:type="dxa"/>
            <w:vAlign w:val="bottom"/>
          </w:tcPr>
          <w:p>
            <w:pPr>
              <w:ind w:left="320"/>
              <w:spacing w:after="0"/>
              <w:rPr>
                <w:sz w:val="20"/>
                <w:szCs w:val="20"/>
                <w:color w:val="auto"/>
              </w:rPr>
            </w:pPr>
            <w:r>
              <w:rPr>
                <w:rFonts w:ascii="Arial" w:cs="Arial" w:eastAsia="Arial" w:hAnsi="Arial"/>
                <w:sz w:val="17"/>
                <w:szCs w:val="17"/>
                <w:color w:val="auto"/>
              </w:rPr>
              <w:t>Goodwill consisted of the following as of December 31, 2018 and January 31, 2019:</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2"/>
        </w:trPr>
        <w:tc>
          <w:tcPr>
            <w:tcW w:w="9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2017</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155,173,906</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Acquisition of Datanyze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13,742,562</w:t>
            </w:r>
          </w:p>
        </w:tc>
      </w:tr>
      <w:tr>
        <w:trPr>
          <w:trHeight w:val="23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Balance as of December 31, 2018 and January 31, 2019</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168,916,468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Long-Term Debt</w:t>
      </w:r>
    </w:p>
    <w:p>
      <w:pPr>
        <w:spacing w:after="0" w:line="171" w:lineRule="exact"/>
        <w:rPr>
          <w:sz w:val="20"/>
          <w:szCs w:val="20"/>
          <w:color w:val="auto"/>
        </w:rPr>
      </w:pPr>
    </w:p>
    <w:p>
      <w:pPr>
        <w:jc w:val="both"/>
        <w:ind w:firstLine="309"/>
        <w:spacing w:after="0" w:line="272" w:lineRule="auto"/>
        <w:rPr>
          <w:sz w:val="20"/>
          <w:szCs w:val="20"/>
          <w:color w:val="auto"/>
        </w:rPr>
      </w:pPr>
      <w:r>
        <w:rPr>
          <w:rFonts w:ascii="Arial" w:cs="Arial" w:eastAsia="Arial" w:hAnsi="Arial"/>
          <w:sz w:val="16"/>
          <w:szCs w:val="16"/>
          <w:color w:val="auto"/>
        </w:rPr>
        <w:t>On August 11, 2017, the Company entered into a credit agreement (Credit Agreement) which consisted of a $80,000,000 term loan (Term Loan) and a $5,000,000 revolving commitment (Revolver). The maturity date of the Credit Agreement is August 10, 2022, and contains various covenants, restrictions and provisions. The interest rate per annum of the Term Loan is variable and based upon Base Rate Loans or LIBOR Loans. The applicable margin is 5% per annum on Base Rate Loans and 6% per annum on LIBOR Loans. The Base Rate refers to the greater of the Prime Rate; the sum of the Federal Funds Rate + .5%; 1-month LIBOR plus the difference of the applicable margin for LIBOR Loans (6%) and the applicable market for Base Loans (5%); and 2% per annum. The LIBOR rate refers to the greater of a rate equal to the offered rate for deposits for the applicable interest period as selected by the borrower and 1%. In the event of a default, the applicable margin shall be increased by 2%. The Revolver bears a commitment fee equal to 0.5% per annum calculated on 360 day year, for the balance upon which the revolving loan commitment exceeds the average daily revolving outstanding balance. The Credit Agreement requires quarterly principal payments on the Term Loan. Repayment of the Term Loan is at an aggregate principal amount equal to 0.25% of the principal on the close date, due and payable on the last business date of each calendar quarter, with payments commencing the last day of September 2017. Repayment of the Revolver is due in full on the termination date of the Revolver. The Company incurred origination costs of $1,987,500 which were recorded as a debt discount and are being expensed over the term of the Credit Agreement.</w:t>
      </w:r>
    </w:p>
    <w:p>
      <w:pPr>
        <w:spacing w:after="0" w:line="125"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 xml:space="preserve">On July 10, 2018, the Company amended its Credit Agreement (First Credit Amendment). The First Credit Amendment increased the outstanding Term Loan from $80,000,000 to $130,000,000. The proceeds from the First Credit Amendment were utilized for the settlement of the share redemption obligation (Note 2). The First Credit Amendment matures on August 10, 2022, requires quarterly payment of 0.25% of the aggregate principal outstanding and requires the Company to maintain various covenants, restrictions and provisions. The First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$1,085,000 which were recorded as a debt discount.</w:t>
      </w:r>
    </w:p>
    <w:p>
      <w:pPr>
        <w:spacing w:after="0" w:line="117" w:lineRule="exact"/>
        <w:rPr>
          <w:sz w:val="20"/>
          <w:szCs w:val="20"/>
          <w:color w:val="auto"/>
        </w:rPr>
      </w:pPr>
    </w:p>
    <w:p>
      <w:pPr>
        <w:jc w:val="both"/>
        <w:ind w:firstLine="309"/>
        <w:spacing w:after="0" w:line="277" w:lineRule="auto"/>
        <w:rPr>
          <w:sz w:val="20"/>
          <w:szCs w:val="20"/>
          <w:color w:val="auto"/>
        </w:rPr>
      </w:pPr>
      <w:r>
        <w:rPr>
          <w:rFonts w:ascii="Arial" w:cs="Arial" w:eastAsia="Arial" w:hAnsi="Arial"/>
          <w:sz w:val="16"/>
          <w:szCs w:val="16"/>
          <w:color w:val="auto"/>
        </w:rPr>
        <w:t xml:space="preserve">On September 19, 2018, the Company amended its Credit Agreement (Second Credit Amendment). The Second Credit Amendment increased the outstanding Term Loan from $130,000,000 to $143,100,000. The proceeds from the Second Credit Amendment were utilized to fund the Company’s acquisition of Datanyze (Note 4). The Second Credit Amendment matures on August 10, 2022, requires quarterly payment of 0.25% of the aggregate principal outstanding and requires the Company to maintain various covenants, restrictions and provisions. The Second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$491,923 which were recorded as a debt discount.</w:t>
      </w:r>
    </w:p>
    <w:p>
      <w:pPr>
        <w:spacing w:after="0" w:line="117"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At January 31, 2019 and December 31, 2018, the Company had $0 outstanding on the Revolver and $136,617,250 outstanding on the Term Loan. During the year ended December 31, 2018, the Company made an excess cash flow payment of $5,000,000 on the outstanding principal. No principal payments were made during the period from January 1, 2019 through January 31, 2019. The interest rate on the Term Loan as of January 31, 2019 was 8.80%.</w:t>
      </w:r>
    </w:p>
    <w:p>
      <w:pPr>
        <w:spacing w:after="0" w:line="106"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During the period from January 1, 2019 through January 31, 2019 and the year ended December 31, 2018, the Company recorded non-cash interest expense related to the amortization of the debt discount of $65,565 and $537,814,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13" w:name="page314"/>
    <w:bookmarkEnd w:id="313"/>
    <w:p>
      <w:pPr>
        <w:spacing w:after="0"/>
        <w:rPr>
          <w:sz w:val="20"/>
          <w:szCs w:val="20"/>
          <w:color w:val="auto"/>
        </w:rPr>
      </w:pPr>
      <w:r>
        <w:rPr>
          <w:rFonts w:ascii="Arial" w:cs="Arial" w:eastAsia="Arial" w:hAnsi="Arial"/>
          <w:sz w:val="17"/>
          <w:szCs w:val="17"/>
          <w:b w:val="1"/>
          <w:bCs w:val="1"/>
          <w:color w:val="auto"/>
        </w:rPr>
        <w:t>Note 7 - Long-Term Debt (continued)</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contractual principal payment obligations due per the Company’s credit agreements are as follows as of January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80" w:type="dxa"/>
            <w:vAlign w:val="bottom"/>
          </w:tcPr>
          <w:p>
            <w:pPr>
              <w:ind w:left="20"/>
              <w:spacing w:after="0"/>
              <w:rPr>
                <w:sz w:val="20"/>
                <w:szCs w:val="20"/>
                <w:color w:val="auto"/>
              </w:rPr>
            </w:pPr>
            <w:r>
              <w:rPr>
                <w:rFonts w:ascii="Arial" w:cs="Arial" w:eastAsia="Arial" w:hAnsi="Arial"/>
                <w:sz w:val="17"/>
                <w:szCs w:val="17"/>
                <w:b w:val="1"/>
                <w:bCs w:val="1"/>
                <w:color w:val="auto"/>
              </w:rPr>
              <w:t>Years Ending December 31,</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1,431,000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2020</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1,431,000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1,431,000</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2022</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132,324,250</w:t>
            </w: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136,617,250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Less: current portion of notes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(1,431,000)</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unamortized debt discount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(2,797,016)</w:t>
            </w:r>
          </w:p>
        </w:tc>
      </w:tr>
      <w:tr>
        <w:trPr>
          <w:trHeight w:val="213"/>
        </w:trPr>
        <w:tc>
          <w:tcPr>
            <w:tcW w:w="9680" w:type="dxa"/>
            <w:vAlign w:val="bottom"/>
          </w:tcPr>
          <w:p>
            <w:pPr>
              <w:ind w:left="220"/>
              <w:spacing w:after="0"/>
              <w:rPr>
                <w:sz w:val="20"/>
                <w:szCs w:val="20"/>
                <w:color w:val="auto"/>
              </w:rPr>
            </w:pPr>
            <w:r>
              <w:rPr>
                <w:rFonts w:ascii="Arial" w:cs="Arial" w:eastAsia="Arial" w:hAnsi="Arial"/>
                <w:sz w:val="17"/>
                <w:szCs w:val="17"/>
                <w:color w:val="auto"/>
              </w:rPr>
              <w:t>Notes payable, net of current portion</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132,389,234</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Related Party Transactions</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During the year ended December 31, 2018, the Company paid a $50,000 management fee to certain holders of Preferred Stock. No management fees were paid during the period from January 1, 2019 through January 31, 2019. Prior to the acquisition of Yonatan Institute (Note 4), the Company paid $3,131,691 during the year ended December 31, 2018 for consulting and management services to Yonatan Institute which was owned by an entity that owned 12% of the Company’s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Preferred Stock</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As of January 31, 2019, the Company had 28,333,340 shares of $0.02 par value Series C Convertible Preferred Stock (Series C Preferred), 8,533,320 shares of $0.02 par value Series A Convertible Preferred Stock (Series A Preferred) and 80,000,000 shares of $0.02 par value Series 1 Convertible Preferred Stock (Series 1 Preferred) authorized for issuance. The Company has 53,944,487 shares of Series 1 Preferred Stock outstanding and no shares of Series C Preferred or Series A Preferred outstanding as of January 31, 2019 and December 31, 2018,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Rights, preferences and privileges of the Series 1 Preferred, Series C Preferred and the Series A Preferred (collectively, the Preferred Stock) are as follows:</w:t>
      </w:r>
    </w:p>
    <w:p>
      <w:pPr>
        <w:spacing w:after="0" w:line="182"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The holders of Preferred Stock are entitled to such number of votes per share as is equal to the number of shares of common stock into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each share of such Preferred Stock could be converted.</w:t>
      </w:r>
    </w:p>
    <w:p>
      <w:pPr>
        <w:spacing w:after="0" w:line="101"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The Series 1 Preferred Stock accrues dividends at a rate of 8% of the original issue price, plus previously accrued dividends, compounded</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whether or not declared by the Board of Directors. Accrued dividends are payable only when and if declared by the Board of Directors. At January 31, 2019, accumulated (but undeclared) dividends amounted to $9,719,735. No dividends were declared or paid by the Company during the period from January 1, 2019 through January 31, 2019 or the year ended December 31, 2018.</w:t>
      </w:r>
    </w:p>
    <w:p>
      <w:pPr>
        <w:spacing w:after="0" w:line="119" w:lineRule="exact"/>
        <w:rPr>
          <w:sz w:val="20"/>
          <w:szCs w:val="20"/>
          <w:color w:val="auto"/>
        </w:rPr>
      </w:pPr>
    </w:p>
    <w:p>
      <w:pPr>
        <w:jc w:val="both"/>
        <w:ind w:firstLine="309"/>
        <w:spacing w:after="0" w:line="294" w:lineRule="auto"/>
        <w:rPr>
          <w:sz w:val="20"/>
          <w:szCs w:val="20"/>
          <w:color w:val="auto"/>
        </w:rPr>
      </w:pPr>
      <w:r>
        <w:rPr>
          <w:rFonts w:ascii="Arial" w:cs="Arial" w:eastAsia="Arial" w:hAnsi="Arial"/>
          <w:sz w:val="16"/>
          <w:szCs w:val="16"/>
          <w:b w:val="1"/>
          <w:bCs w:val="1"/>
          <w:color w:val="auto"/>
        </w:rPr>
        <w:t xml:space="preserve">Conversion: </w:t>
      </w:r>
      <w:r>
        <w:rPr>
          <w:rFonts w:ascii="Arial" w:cs="Arial" w:eastAsia="Arial" w:hAnsi="Arial"/>
          <w:sz w:val="16"/>
          <w:szCs w:val="16"/>
          <w:color w:val="auto"/>
        </w:rPr>
        <w:t>Each outstanding share of Preferred Stock will convert into one share of Series V Common Stock concurrently with the closing of the earlier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sale of all or substantially all assets of the Company, the acquisition of the Company by another entity by way of merger or consolidation such that the Company is public offering of the Company’s Common Stock in which the gross proceeds to the Company are no less than $25,000,000.</w:t>
      </w:r>
    </w:p>
    <w:p>
      <w:pPr>
        <w:spacing w:after="0" w:line="10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Additionally, each share of Series A Preferred is convertible into Series V Common Stock, at the option of the holder at any time upon notice to the Company. Each share of Series C Preferred and Series 1 Preferred are convertible, at the option of the holder at any time upon notice to the Company, into such number of fully paid and nonassessable shares of Series V Common Stock as is determined by dividing the base price by the respective series conversion price in effect at the time of conversion.</w:t>
      </w:r>
    </w:p>
    <w:p>
      <w:pPr>
        <w:spacing w:after="0" w:line="122"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Liquidation: </w:t>
      </w:r>
      <w:r>
        <w:rPr>
          <w:rFonts w:ascii="Arial" w:cs="Arial" w:eastAsia="Arial" w:hAnsi="Arial"/>
          <w:sz w:val="17"/>
          <w:szCs w:val="17"/>
          <w:color w:val="auto"/>
        </w:rPr>
        <w:t>Upon the liquidation, dissolution, or winding up of the Company holders of shares of Preferred Stock are entitled on a pari passu basis to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out of the assets of the Corporation available for distribution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14" w:name="page315"/>
    <w:bookmarkEnd w:id="314"/>
    <w:p>
      <w:pPr>
        <w:spacing w:after="0"/>
        <w:rPr>
          <w:sz w:val="20"/>
          <w:szCs w:val="20"/>
          <w:color w:val="auto"/>
        </w:rPr>
      </w:pPr>
      <w:r>
        <w:rPr>
          <w:rFonts w:ascii="Arial" w:cs="Arial" w:eastAsia="Arial" w:hAnsi="Arial"/>
          <w:sz w:val="17"/>
          <w:szCs w:val="17"/>
          <w:b w:val="1"/>
          <w:bCs w:val="1"/>
          <w:color w:val="auto"/>
        </w:rPr>
        <w:t>Note 9 - Preferred Stock (continued)</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before any payment shall be made to Common Stock. Payable in an amount per share equal to the greater of (i) the applicable Original Issue Price for such series, plus any Accruing Dividends, regardless of whether they have been declared, plus any other dividends declared and unpaid, and (ii) such amount per share as would have been payable had all shares of the series of Preferred Stock been converted into Series V Common Stock at the applicable conversation rate immediately prior to the liquidation. All outstanding shares of Series A Preferred shall automatically convert to shares of Common Stock based on a deemed liquidation event as defined within the Articles of Incorporation. The Preferred Stock is classified outside of permanent equity because the underlying agreement includes a deemed liquidation provision.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Common Stock</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As of January 31, 2019 the Company had 37,763,000 shares of $0.02 par value Series A Common Stock (Series A Common), 54,959,650 shares of $0.01 par value Series B Common Stock (Series B Common) and 237,723,310 shares of $0.02 par value Series V Common Stock (Series V Common) authorized, respectively.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rights, preferences, and privileges of the Series A Common, Series B Common and Series V Common (collectively the Common Stock) are as follows:</w:t>
      </w:r>
    </w:p>
    <w:p>
      <w:pPr>
        <w:spacing w:after="0" w:line="182"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The holders of Series A Common and Series V Common are entitled to one vote for each share held. The Series B Common is nonvoting</w:t>
      </w:r>
      <w:r>
        <w:rPr>
          <w:rFonts w:ascii="Arial" w:cs="Arial" w:eastAsia="Arial" w:hAnsi="Arial"/>
          <w:sz w:val="17"/>
          <w:szCs w:val="17"/>
          <w:b w:val="1"/>
          <w:bCs w:val="1"/>
          <w:color w:val="auto"/>
        </w:rPr>
        <w:t xml:space="preserve"> </w:t>
      </w:r>
      <w:r>
        <w:rPr>
          <w:rFonts w:ascii="Arial" w:cs="Arial" w:eastAsia="Arial" w:hAnsi="Arial"/>
          <w:sz w:val="17"/>
          <w:szCs w:val="17"/>
          <w:color w:val="auto"/>
        </w:rPr>
        <w:t>stock. Additionally, the affirmative vote of at least a majority of the outstanding shares of Series A Preferred Stock, Series C Preferred Stock and Series V Common Stock, counted together as one class, and, separately, a majority of Series A Common Stock, voting as a class, is required for certain stockholder actions to carry.</w:t>
      </w:r>
    </w:p>
    <w:p>
      <w:pPr>
        <w:spacing w:after="0" w:line="119" w:lineRule="exact"/>
        <w:rPr>
          <w:sz w:val="20"/>
          <w:szCs w:val="20"/>
          <w:color w:val="auto"/>
        </w:rPr>
      </w:pPr>
    </w:p>
    <w:p>
      <w:pPr>
        <w:jc w:val="both"/>
        <w:ind w:firstLine="309"/>
        <w:spacing w:after="0" w:line="264" w:lineRule="auto"/>
        <w:rPr>
          <w:sz w:val="20"/>
          <w:szCs w:val="20"/>
          <w:color w:val="auto"/>
        </w:rPr>
      </w:pPr>
      <w:r>
        <w:rPr>
          <w:rFonts w:ascii="Arial" w:cs="Arial" w:eastAsia="Arial" w:hAnsi="Arial"/>
          <w:sz w:val="17"/>
          <w:szCs w:val="17"/>
          <w:b w:val="1"/>
          <w:bCs w:val="1"/>
          <w:color w:val="auto"/>
        </w:rPr>
        <w:t xml:space="preserve">Conversion: </w:t>
      </w:r>
      <w:r>
        <w:rPr>
          <w:rFonts w:ascii="Arial" w:cs="Arial" w:eastAsia="Arial" w:hAnsi="Arial"/>
          <w:sz w:val="17"/>
          <w:szCs w:val="17"/>
          <w:color w:val="auto"/>
        </w:rPr>
        <w:t>Each outstanding share of Series A Common and Series B Common will automatically convert into one share of Series V Common concurrently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closing of the earlier of the sale of all or substantially all assets of the Company, the acquisition of the Company by another entity by way of merger or consolidation such that the Company is not the surviving entity, or the first underwritten public offering of the Company's Common Stock, in which the gross proceeds to the Company are no less than $25 million.</w:t>
      </w:r>
    </w:p>
    <w:p>
      <w:pPr>
        <w:spacing w:after="0" w:line="125"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Additionally, each outstanding share of Series A Common is convertible into Series V Common, at the option of the holder, at any time upon notice to the Company.</w:t>
      </w:r>
    </w:p>
    <w:p>
      <w:pPr>
        <w:spacing w:after="0" w:line="106" w:lineRule="exact"/>
        <w:rPr>
          <w:sz w:val="20"/>
          <w:szCs w:val="20"/>
          <w:color w:val="auto"/>
        </w:rPr>
      </w:pPr>
    </w:p>
    <w:p>
      <w:pPr>
        <w:jc w:val="both"/>
        <w:ind w:firstLine="309"/>
        <w:spacing w:after="0" w:line="356" w:lineRule="auto"/>
        <w:rPr>
          <w:sz w:val="20"/>
          <w:szCs w:val="20"/>
          <w:color w:val="auto"/>
        </w:rPr>
      </w:pPr>
      <w:r>
        <w:rPr>
          <w:rFonts w:ascii="Arial" w:cs="Arial" w:eastAsia="Arial" w:hAnsi="Arial"/>
          <w:sz w:val="15"/>
          <w:szCs w:val="15"/>
          <w:b w:val="1"/>
          <w:bCs w:val="1"/>
          <w:color w:val="auto"/>
        </w:rPr>
        <w:t xml:space="preserve">Dividends: </w:t>
      </w:r>
      <w:r>
        <w:rPr>
          <w:rFonts w:ascii="Arial" w:cs="Arial" w:eastAsia="Arial" w:hAnsi="Arial"/>
          <w:sz w:val="15"/>
          <w:szCs w:val="15"/>
          <w:color w:val="auto"/>
        </w:rPr>
        <w:t>Dividends may be declared and paid on the Common Stock if and when determined by the Board of Directors. No such dividends were declared</w:t>
      </w:r>
      <w:r>
        <w:rPr>
          <w:rFonts w:ascii="Arial" w:cs="Arial" w:eastAsia="Arial" w:hAnsi="Arial"/>
          <w:sz w:val="15"/>
          <w:szCs w:val="15"/>
          <w:b w:val="1"/>
          <w:bCs w:val="1"/>
          <w:color w:val="auto"/>
        </w:rPr>
        <w:t xml:space="preserve"> </w:t>
      </w:r>
      <w:r>
        <w:rPr>
          <w:rFonts w:ascii="Arial" w:cs="Arial" w:eastAsia="Arial" w:hAnsi="Arial"/>
          <w:sz w:val="15"/>
          <w:szCs w:val="15"/>
          <w:color w:val="auto"/>
        </w:rPr>
        <w:t>or paid during the period from January 1, 2019 through January 31, 2019 or the year ended December 31, 2018. Dividends are not cumulative and do not accrue.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Stock Compensation Plan</w:t>
      </w:r>
    </w:p>
    <w:p>
      <w:pPr>
        <w:spacing w:after="0" w:line="171" w:lineRule="exact"/>
        <w:rPr>
          <w:sz w:val="20"/>
          <w:szCs w:val="20"/>
          <w:color w:val="auto"/>
        </w:rPr>
      </w:pPr>
    </w:p>
    <w:p>
      <w:pPr>
        <w:jc w:val="both"/>
        <w:ind w:firstLine="309"/>
        <w:spacing w:after="0" w:line="283" w:lineRule="auto"/>
        <w:rPr>
          <w:sz w:val="20"/>
          <w:szCs w:val="20"/>
          <w:color w:val="auto"/>
        </w:rPr>
      </w:pPr>
      <w:r>
        <w:rPr>
          <w:rFonts w:ascii="Arial" w:cs="Arial" w:eastAsia="Arial" w:hAnsi="Arial"/>
          <w:sz w:val="16"/>
          <w:szCs w:val="16"/>
          <w:color w:val="auto"/>
        </w:rPr>
        <w:t>During 2017, the Company adopted the 2017 Stock Plan (the “2017 Plan”). The 2017 Plan permits the grant of incentive and non-statutory stock options, for the purchase of up to an aggregate of 8,700,000 shares of Series B common stock to employees, directors, and consultants. During 2018, the Company increased the aggregate number of Series B common stock available for issuance to 11,300,000 shares. As of January 31, 2019, 828,240 shares were available for grant under the 2017 Plan. The Board of Directors may at any time, amend, alter, suspend or terminate the 2017 Plan.</w:t>
      </w:r>
    </w:p>
    <w:p>
      <w:pPr>
        <w:spacing w:after="0" w:line="11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per share exercise price for the shares to be issued pursuant to the exercise of an option will be determined by the Board of Directors, but will be no less than 100% of the fair market value per share on the date of the grant. Stock options generally vest ratably over four years and expire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15" w:name="page316"/>
    <w:bookmarkEnd w:id="315"/>
    <w:p>
      <w:pPr>
        <w:spacing w:after="0"/>
        <w:rPr>
          <w:sz w:val="20"/>
          <w:szCs w:val="20"/>
          <w:color w:val="auto"/>
        </w:rPr>
      </w:pPr>
      <w:r>
        <w:rPr>
          <w:rFonts w:ascii="Arial" w:cs="Arial" w:eastAsia="Arial" w:hAnsi="Arial"/>
          <w:sz w:val="17"/>
          <w:szCs w:val="17"/>
          <w:b w:val="1"/>
          <w:bCs w:val="1"/>
          <w:color w:val="auto"/>
        </w:rPr>
        <w:t>Note 11 - Stock Compensation Plan (continued)</w:t>
      </w:r>
    </w:p>
    <w:p>
      <w:pPr>
        <w:spacing w:after="0" w:line="197"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All options granted to date are exercisable into Class B common stock. The following table summarizes option activity under the 2017 Plan for the period from January 1, 2019 through January 31, 2019 and the year ended December 31, 2018: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4"/>
                <w:szCs w:val="14"/>
                <w:color w:val="auto"/>
              </w:rPr>
            </w:pPr>
          </w:p>
        </w:tc>
        <w:tc>
          <w:tcPr>
            <w:tcW w:w="1380" w:type="dxa"/>
            <w:vAlign w:val="bottom"/>
          </w:tcPr>
          <w:p>
            <w:pPr>
              <w:jc w:val="right"/>
              <w:ind w:right="158"/>
              <w:spacing w:after="0"/>
              <w:rPr>
                <w:sz w:val="20"/>
                <w:szCs w:val="20"/>
                <w:color w:val="auto"/>
              </w:rPr>
            </w:pPr>
            <w:r>
              <w:rPr>
                <w:rFonts w:ascii="Arial" w:cs="Arial" w:eastAsia="Arial" w:hAnsi="Arial"/>
                <w:sz w:val="14"/>
                <w:szCs w:val="14"/>
                <w:b w:val="1"/>
                <w:bCs w:val="1"/>
                <w:color w:val="auto"/>
                <w:w w:val="91"/>
              </w:rPr>
              <w:t>Weighted Average</w:t>
            </w:r>
          </w:p>
        </w:tc>
      </w:tr>
      <w:tr>
        <w:trPr>
          <w:trHeight w:val="179"/>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5"/>
                <w:szCs w:val="15"/>
                <w:color w:val="auto"/>
              </w:rPr>
            </w:pPr>
          </w:p>
        </w:tc>
        <w:tc>
          <w:tcPr>
            <w:tcW w:w="1380" w:type="dxa"/>
            <w:vAlign w:val="bottom"/>
          </w:tcPr>
          <w:p>
            <w:pPr>
              <w:jc w:val="right"/>
              <w:ind w:right="278"/>
              <w:spacing w:after="0"/>
              <w:rPr>
                <w:sz w:val="20"/>
                <w:szCs w:val="20"/>
                <w:color w:val="auto"/>
              </w:rPr>
            </w:pPr>
            <w:r>
              <w:rPr>
                <w:rFonts w:ascii="Arial" w:cs="Arial" w:eastAsia="Arial" w:hAnsi="Arial"/>
                <w:sz w:val="14"/>
                <w:szCs w:val="14"/>
                <w:b w:val="1"/>
                <w:bCs w:val="1"/>
                <w:color w:val="auto"/>
              </w:rPr>
              <w:t>Exercise Price</w:t>
            </w:r>
          </w:p>
        </w:tc>
      </w:tr>
      <w:tr>
        <w:trPr>
          <w:trHeight w:val="20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2017</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Granted</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10,967,000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Canceled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(302,580)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2018</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10,502,180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Granted</w:t>
            </w:r>
          </w:p>
        </w:tc>
        <w:tc>
          <w:tcPr>
            <w:tcW w:w="2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1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Canceled</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0.58</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January 31, 2019</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10,484,060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302" w:lineRule="auto"/>
        <w:rPr>
          <w:sz w:val="20"/>
          <w:szCs w:val="20"/>
          <w:color w:val="auto"/>
        </w:rPr>
      </w:pPr>
      <w:r>
        <w:rPr>
          <w:rFonts w:ascii="Arial" w:cs="Arial" w:eastAsia="Arial" w:hAnsi="Arial"/>
          <w:sz w:val="15"/>
          <w:szCs w:val="15"/>
          <w:color w:val="auto"/>
        </w:rPr>
        <w:t>The determination of the fair value of stock-based payment awards utilizing the Black-Scholes model is affected by the stock price and a number of assumptions, including expected volatility, expected term, risk-free interest rate and expected dividends. The Company does not have a history of market prices of its common stock as it is not a public company, and as such volatility is estimated using historical volatilities of similar public entities. The expected life of the awards is estimated based on the estimated time until a distributable event. The risk free interest rate assumption is based on observed interest rates appropriate for the terms of the awards. The dividend yield assumption is based on the history and expectation of paying no dividends. Forfeitures are accounted for as they occur.</w:t>
      </w:r>
    </w:p>
    <w:p>
      <w:pPr>
        <w:spacing w:after="0" w:line="100"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weighted-average fair value of stock options granted during the year ended December 31, 2018, under the Black-Scholes option pricing model were $0.17 per share. There were no options granted during the period from January 1, 2019 through January 31, 2019. The fair value of stock options issued to employees was calculated with the following 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8"/>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2.27-3.05%</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7"/>
                <w:szCs w:val="17"/>
                <w:color w:val="auto"/>
                <w:w w:val="97"/>
              </w:rPr>
              <w:t>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of option</w:t>
            </w:r>
          </w:p>
        </w:tc>
        <w:tc>
          <w:tcPr>
            <w:tcW w:w="15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5-6.08 years</w:t>
            </w:r>
          </w:p>
        </w:tc>
      </w:tr>
      <w:tr>
        <w:trPr>
          <w:trHeight w:val="217"/>
        </w:trPr>
        <w:tc>
          <w:tcPr>
            <w:tcW w:w="9680" w:type="dxa"/>
            <w:vAlign w:val="bottom"/>
          </w:tcPr>
          <w:p>
            <w:pPr>
              <w:ind w:left="20"/>
              <w:spacing w:after="0"/>
              <w:rPr>
                <w:sz w:val="20"/>
                <w:szCs w:val="20"/>
                <w:color w:val="auto"/>
              </w:rPr>
            </w:pPr>
            <w:r>
              <w:rPr>
                <w:rFonts w:ascii="Arial" w:cs="Arial" w:eastAsia="Arial" w:hAnsi="Arial"/>
                <w:sz w:val="17"/>
                <w:szCs w:val="17"/>
                <w:color w:val="auto"/>
              </w:rPr>
              <w:t>Volatility factor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39-41%</w:t>
            </w:r>
          </w:p>
        </w:tc>
      </w:tr>
    </w:tbl>
    <w:p>
      <w:pPr>
        <w:spacing w:after="0" w:line="144"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The Company recorded stock-based compensation expense in connection with option awards of $45,351 and $568,185 for the period from January 1, 2019 through January 31, 2019 and the year ended December 31, 2018, respectively. As of January 31, 2019, there was $1,217,462 of unrecognized compensation expense related to unvested option awards that is expected to be recognized over a weighted average period of 2.72 years.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Income Taxes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the assets and liabilities for financial reporting purposes and the amounts used for income tax purposes and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16" w:name="page317"/>
    <w:bookmarkEnd w:id="316"/>
    <w:p>
      <w:pPr>
        <w:spacing w:after="0"/>
        <w:rPr>
          <w:sz w:val="20"/>
          <w:szCs w:val="20"/>
          <w:color w:val="auto"/>
        </w:rPr>
      </w:pPr>
      <w:r>
        <w:rPr>
          <w:rFonts w:ascii="Arial" w:cs="Arial" w:eastAsia="Arial" w:hAnsi="Arial"/>
          <w:sz w:val="17"/>
          <w:szCs w:val="17"/>
          <w:b w:val="1"/>
          <w:bCs w:val="1"/>
          <w:color w:val="auto"/>
        </w:rPr>
        <w:t>Note 12 - Income Taxes (continued)</w:t>
      </w:r>
    </w:p>
    <w:p>
      <w:pPr>
        <w:spacing w:after="0" w:line="200" w:lineRule="exact"/>
        <w:rPr>
          <w:sz w:val="20"/>
          <w:szCs w:val="20"/>
          <w:color w:val="auto"/>
        </w:rPr>
      </w:pPr>
    </w:p>
    <w:p>
      <w:pPr>
        <w:spacing w:after="0" w:line="22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federal and state income tax provision (benefit) for the period from January 1, 2019 through January 31, 2019 and the year ended December 31, 2018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5"/>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tax expense: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22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72,682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257,276</w:t>
            </w:r>
          </w:p>
        </w:tc>
        <w:tc>
          <w:tcPr>
            <w:tcW w:w="0" w:type="dxa"/>
            <w:vAlign w:val="bottom"/>
          </w:tcPr>
          <w:p>
            <w:pPr>
              <w:spacing w:after="0"/>
              <w:rPr>
                <w:sz w:val="1"/>
                <w:szCs w:val="1"/>
                <w:color w:val="auto"/>
              </w:rPr>
            </w:pPr>
          </w:p>
        </w:tc>
      </w:tr>
      <w:tr>
        <w:trPr>
          <w:trHeight w:val="212"/>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257,276</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benefit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20" w:type="dxa"/>
            <w:vAlign w:val="bottom"/>
          </w:tcPr>
          <w:p>
            <w:pPr>
              <w:ind w:left="220"/>
              <w:spacing w:after="0"/>
              <w:rPr>
                <w:sz w:val="20"/>
                <w:szCs w:val="20"/>
                <w:color w:val="auto"/>
              </w:rPr>
            </w:pPr>
            <w:r>
              <w:rPr>
                <w:rFonts w:ascii="Arial" w:cs="Arial" w:eastAsia="Arial" w:hAnsi="Arial"/>
                <w:sz w:val="17"/>
                <w:szCs w:val="17"/>
                <w:color w:val="auto"/>
              </w:rPr>
              <w:t>Federal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(453,891)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(2,922,971)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(2,246,930)</w:t>
            </w:r>
          </w:p>
        </w:tc>
        <w:tc>
          <w:tcPr>
            <w:tcW w:w="0" w:type="dxa"/>
            <w:vAlign w:val="bottom"/>
          </w:tcPr>
          <w:p>
            <w:pPr>
              <w:spacing w:after="0"/>
              <w:rPr>
                <w:sz w:val="1"/>
                <w:szCs w:val="1"/>
                <w:color w:val="auto"/>
              </w:rPr>
            </w:pPr>
          </w:p>
        </w:tc>
      </w:tr>
      <w:tr>
        <w:trPr>
          <w:trHeight w:val="212"/>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(208,910)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(5,169,901)</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(4,912,625)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w w:val="99"/>
              </w:rPr>
              <w:t>Deferred tax assets and liabilities consist of the following at January 31, 2019 and December 31, 2018:</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80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operating loss carryforwards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472,081</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Research and development tax credit carryforwards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2,101,617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1,702,844</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(988,311)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(49,140)</w:t>
            </w: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Arial" w:cs="Arial" w:eastAsia="Arial" w:hAnsi="Arial"/>
                <w:sz w:val="17"/>
                <w:szCs w:val="17"/>
                <w:color w:val="auto"/>
              </w:rPr>
              <w:t>Other temporary differences</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(20,552)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(37,942)</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(12,500,882)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(12,690,821)</w:t>
            </w: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Arial" w:cs="Arial" w:eastAsia="Arial" w:hAnsi="Arial"/>
                <w:sz w:val="17"/>
                <w:szCs w:val="17"/>
                <w:color w:val="auto"/>
              </w:rPr>
              <w:t>Interest limitation</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1,037,671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896,713</w:t>
            </w:r>
          </w:p>
        </w:tc>
        <w:tc>
          <w:tcPr>
            <w:tcW w:w="0" w:type="dxa"/>
            <w:vAlign w:val="bottom"/>
          </w:tcPr>
          <w:p>
            <w:pPr>
              <w:spacing w:after="0"/>
              <w:rPr>
                <w:sz w:val="1"/>
                <w:szCs w:val="1"/>
                <w:color w:val="auto"/>
              </w:rPr>
            </w:pPr>
          </w:p>
        </w:tc>
      </w:tr>
      <w:tr>
        <w:trPr>
          <w:trHeight w:val="258"/>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679,264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784,277</w:t>
            </w:r>
          </w:p>
        </w:tc>
        <w:tc>
          <w:tcPr>
            <w:tcW w:w="0" w:type="dxa"/>
            <w:vAlign w:val="bottom"/>
          </w:tcPr>
          <w:p>
            <w:pPr>
              <w:spacing w:after="0"/>
              <w:rPr>
                <w:sz w:val="1"/>
                <w:szCs w:val="1"/>
                <w:color w:val="auto"/>
              </w:rPr>
            </w:pPr>
          </w:p>
        </w:tc>
      </w:tr>
      <w:tr>
        <w:trPr>
          <w:trHeight w:val="211"/>
        </w:trPr>
        <w:tc>
          <w:tcPr>
            <w:tcW w:w="8020" w:type="dxa"/>
            <w:vAlign w:val="bottom"/>
          </w:tcPr>
          <w:p>
            <w:pPr>
              <w:ind w:left="220"/>
              <w:spacing w:after="0"/>
              <w:rPr>
                <w:sz w:val="20"/>
                <w:szCs w:val="20"/>
                <w:color w:val="auto"/>
              </w:rPr>
            </w:pPr>
            <w:r>
              <w:rPr>
                <w:rFonts w:ascii="Arial" w:cs="Arial" w:eastAsia="Arial" w:hAnsi="Arial"/>
                <w:sz w:val="17"/>
                <w:szCs w:val="17"/>
                <w:color w:val="auto"/>
              </w:rPr>
              <w:t>Net deferred tax liability</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(9,469,299)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(8,921,988)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of January 31, 2019, the Company had federal and state net operating loss carryforwards of $115,071 and $106,793, respectively. The Company has federal and state research and development credit carryforwards of $1,268,642 and $832,975, respectively, which expire at various dates through 2028.</w:t>
      </w:r>
    </w:p>
    <w:p>
      <w:pPr>
        <w:spacing w:after="0" w:line="90" w:lineRule="exact"/>
        <w:rPr>
          <w:sz w:val="20"/>
          <w:szCs w:val="20"/>
          <w:color w:val="auto"/>
        </w:rPr>
      </w:pPr>
    </w:p>
    <w:p>
      <w:pPr>
        <w:jc w:val="both"/>
        <w:ind w:firstLine="309"/>
        <w:spacing w:after="0" w:line="311" w:lineRule="auto"/>
        <w:rPr>
          <w:sz w:val="20"/>
          <w:szCs w:val="20"/>
          <w:color w:val="auto"/>
        </w:rPr>
      </w:pPr>
      <w:r>
        <w:rPr>
          <w:rFonts w:ascii="Arial" w:cs="Arial" w:eastAsia="Arial" w:hAnsi="Arial"/>
          <w:sz w:val="16"/>
          <w:szCs w:val="16"/>
          <w:color w:val="auto"/>
        </w:rPr>
        <w:t>As of December 31, 2018, the Company had federal and state net operating loss carryforwards of $318,393 and $153,688, respectively. The Company has federal and state research and development credit carryforwards of $869,869 and $832,975, respectively, which expire at various dates through 2028.</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Employee Benefit Plan</w:t>
      </w:r>
    </w:p>
    <w:p>
      <w:pPr>
        <w:spacing w:after="0" w:line="171"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substantially all U.S. employees who meet minimum age and service requirements and allows participants to defer a portion of their annual compensation on a pre-tax basis. Company contributions to the plan are discretionary and no such contributions were made during the period from January 1, 2019 through January 31, 2019 or the year ended December 31, 2018.</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During the year ended December 31, 2018, the Company accrued for distributions totaling $2,785,522 to eligible employees in accordance with the Profit Sharing Plan which were paid during the period from January 1, 2019 through January 31, 2019. During the period from January 1, 2019 through January 31, 2019, the Company accrued for bonuses of $233,000 as the Profit Sharing Plan was terminated as a result of the acquisition by DiscoverOrg Holdings, LLC (Note 15).</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Commitments and Contingencies</w:t>
      </w:r>
    </w:p>
    <w:p>
      <w:pPr>
        <w:spacing w:after="0" w:line="165"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The Company leases office space under a non-cancelable operating lease for its headquarters in Waltham, Massachusetts. The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on August 31, 2017 provides for total monthly payments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317" w:name="page318"/>
    <w:bookmarkEnd w:id="317"/>
    <w:p>
      <w:pPr>
        <w:spacing w:after="0"/>
        <w:rPr>
          <w:sz w:val="20"/>
          <w:szCs w:val="20"/>
          <w:color w:val="auto"/>
        </w:rPr>
      </w:pPr>
      <w:r>
        <w:rPr>
          <w:rFonts w:ascii="Arial" w:cs="Arial" w:eastAsia="Arial" w:hAnsi="Arial"/>
          <w:sz w:val="17"/>
          <w:szCs w:val="17"/>
          <w:b w:val="1"/>
          <w:bCs w:val="1"/>
          <w:color w:val="auto"/>
        </w:rPr>
        <w:t>Note 14 - Commitments and Contingencies (continued)</w:t>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of $83,110. The August 31, 2017 amendment extended the term of the lease agreement through June 30, 2023. The Company leases office space under a non-cancelable operating lease for its satellite office in Grand Rapids, Michigan. Total monthly rent is $2,900 for the term of the lease. The Company has tenant at will arrangements for its facilities in Israel and Russia.</w:t>
      </w:r>
    </w:p>
    <w:p>
      <w:pPr>
        <w:spacing w:after="0" w:line="123" w:lineRule="exact"/>
        <w:rPr>
          <w:sz w:val="20"/>
          <w:szCs w:val="20"/>
          <w:color w:val="auto"/>
        </w:rPr>
      </w:pPr>
    </w:p>
    <w:p>
      <w:pPr>
        <w:jc w:val="both"/>
        <w:ind w:firstLine="309"/>
        <w:spacing w:after="0" w:line="317" w:lineRule="auto"/>
        <w:rPr>
          <w:sz w:val="20"/>
          <w:szCs w:val="20"/>
          <w:color w:val="auto"/>
        </w:rPr>
      </w:pPr>
      <w:r>
        <w:rPr>
          <w:rFonts w:ascii="Arial" w:cs="Arial" w:eastAsia="Arial" w:hAnsi="Arial"/>
          <w:sz w:val="15"/>
          <w:szCs w:val="15"/>
          <w:color w:val="auto"/>
        </w:rPr>
        <w:t>On January 7, 2019, the Company entered into a non-cancelable operating lease for its headquarters in Waltham, Massachusetts. The Company moved their corporate headquarters from the Waltham, MA space noted above. The lease ends on January 31, 2031 and includes a free rent period of thirteen months with monthly rent of $265,560 thereafter. The future minimum lease payment schedule below has been updated to include the future commitments under the new lease.</w:t>
      </w:r>
    </w:p>
    <w:p>
      <w:pPr>
        <w:spacing w:after="0" w:line="89"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Rent expense, including operating costs, for the period from January 1, 2019 through January 31, 2019 and the year December 31, 2018 totaled $148,093 and $1,372,168,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80" w:type="dxa"/>
            <w:vAlign w:val="bottom"/>
          </w:tcPr>
          <w:p>
            <w:pPr>
              <w:ind w:left="320"/>
              <w:spacing w:after="0"/>
              <w:rPr>
                <w:sz w:val="20"/>
                <w:szCs w:val="20"/>
                <w:color w:val="auto"/>
              </w:rPr>
            </w:pPr>
            <w:r>
              <w:rPr>
                <w:rFonts w:ascii="Arial" w:cs="Arial" w:eastAsia="Arial" w:hAnsi="Arial"/>
                <w:sz w:val="17"/>
                <w:szCs w:val="17"/>
                <w:color w:val="auto"/>
              </w:rPr>
              <w:t>Future minimum lease payments due under this non-cancelable lease agreement are as follows as of January 31, 2019:</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2"/>
        </w:trPr>
        <w:tc>
          <w:tcPr>
            <w:tcW w:w="9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1,360,566</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2020</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3,043,396</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3,186,723</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3,186,723</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3,186,723</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22,572,621</w:t>
            </w:r>
          </w:p>
        </w:tc>
      </w:tr>
      <w:tr>
        <w:trPr>
          <w:trHeight w:val="237"/>
        </w:trPr>
        <w:tc>
          <w:tcPr>
            <w:tcW w:w="96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36,536,752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jc w:val="both"/>
        <w:ind w:firstLine="309"/>
        <w:spacing w:after="0" w:line="286"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From time to time, the Company may become involved in various legal matters arising in the ordinary course of business. Management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unaware of any matters requiring accrual or disclosure for related losses in the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Subsequent Events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Company has evaluated subsequent events through November 22, 2019, which is the date the consolidated financial statements were available to be issued. The Company determined the following item was required to be disclosed in these consolidated financial statements.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February 1, 2019, 100% of the outstanding shares of the Company was acquired by DiscoverOrg Holdings, LLC.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18" w:name="page319"/>
    <w:bookmarkEnd w:id="3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309880</wp:posOffset>
            </wp:positionV>
            <wp:extent cx="7138670" cy="8642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8670" cy="8642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ind w:left="5320"/>
        <w:spacing w:after="0"/>
        <w:rPr>
          <w:sz w:val="20"/>
          <w:szCs w:val="20"/>
          <w:color w:val="auto"/>
        </w:rPr>
      </w:pPr>
      <w:r>
        <w:rPr>
          <w:rFonts w:ascii="Arial" w:cs="Arial" w:eastAsia="Arial" w:hAnsi="Arial"/>
          <w:sz w:val="17"/>
          <w:szCs w:val="17"/>
          <w:b w:val="1"/>
          <w:bCs w:val="1"/>
          <w:color w:val="auto"/>
        </w:rPr>
        <w:t>PART II</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71"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following table sets forth the expenses payable by the Registrant expected to be incurred in connection with the issuance and distribution of the shares of Class A common stock being registered hereby (other than the underwriting discount). All of such expenses are estimates, other than the filing fees payable to the Securities and Exchange Commission and the Financial Industry Regulatory Authority, Inc.</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Filing Fee—Securities and Exchange Commission</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78,275</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Fee—Financial Industry Regulatory Authority, Inc.</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108,119</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Fees of Transfer Agent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Fees and Expenses of Counsel</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1,040,000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Fees and Expenses of Accountants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r>
      <w:tr>
        <w:trPr>
          <w:trHeight w:val="218"/>
        </w:trPr>
        <w:tc>
          <w:tcPr>
            <w:tcW w:w="9680" w:type="dxa"/>
            <w:vAlign w:val="bottom"/>
          </w:tcPr>
          <w:p>
            <w:pPr>
              <w:ind w:left="20"/>
              <w:spacing w:after="0"/>
              <w:rPr>
                <w:sz w:val="20"/>
                <w:szCs w:val="20"/>
                <w:color w:val="auto"/>
              </w:rPr>
            </w:pPr>
            <w:r>
              <w:rPr>
                <w:rFonts w:ascii="Arial" w:cs="Arial" w:eastAsia="Arial" w:hAnsi="Arial"/>
                <w:sz w:val="17"/>
                <w:szCs w:val="17"/>
                <w:color w:val="auto"/>
              </w:rPr>
              <w:t>Printing Expenses</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100,000</w:t>
            </w: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Miscellaneous Expenses</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550,000</w:t>
            </w:r>
          </w:p>
        </w:tc>
      </w:tr>
      <w:tr>
        <w:trPr>
          <w:trHeight w:val="211"/>
        </w:trPr>
        <w:tc>
          <w:tcPr>
            <w:tcW w:w="9680" w:type="dxa"/>
            <w:vAlign w:val="bottom"/>
          </w:tcPr>
          <w:p>
            <w:pPr>
              <w:ind w:left="44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2,061,394</w:t>
            </w:r>
          </w:p>
        </w:tc>
      </w:tr>
      <w:tr>
        <w:trPr>
          <w:trHeight w:val="20"/>
        </w:trPr>
        <w:tc>
          <w:tcPr>
            <w:tcW w:w="9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71"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for this limitation of liability.</w:t>
      </w:r>
    </w:p>
    <w:p>
      <w:pPr>
        <w:spacing w:after="0" w:line="130"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Section 145 of the DGCL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such officer or director has actually and reasonably incurred.</w:t>
      </w:r>
    </w:p>
    <w:p>
      <w:pPr>
        <w:spacing w:after="0" w:line="114" w:lineRule="exact"/>
        <w:rPr>
          <w:sz w:val="20"/>
          <w:szCs w:val="20"/>
          <w:color w:val="auto"/>
        </w:rPr>
      </w:pPr>
    </w:p>
    <w:p>
      <w:pPr>
        <w:jc w:val="both"/>
        <w:ind w:firstLine="309"/>
        <w:spacing w:after="0" w:line="290" w:lineRule="auto"/>
        <w:rPr>
          <w:sz w:val="20"/>
          <w:szCs w:val="20"/>
          <w:color w:val="auto"/>
        </w:rPr>
      </w:pPr>
      <w:r>
        <w:rPr>
          <w:rFonts w:ascii="Arial" w:cs="Arial" w:eastAsia="Arial" w:hAnsi="Arial"/>
          <w:sz w:val="16"/>
          <w:szCs w:val="16"/>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w:t>
      </w: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320" w:name="page321"/>
    <w:bookmarkEnd w:id="320"/>
    <w:p>
      <w:pPr>
        <w:jc w:val="both"/>
        <w:spacing w:after="0" w:line="279" w:lineRule="auto"/>
        <w:rPr>
          <w:sz w:val="20"/>
          <w:szCs w:val="20"/>
          <w:color w:val="auto"/>
        </w:rPr>
      </w:pPr>
      <w:r>
        <w:rPr>
          <w:rFonts w:ascii="Arial" w:cs="Arial" w:eastAsia="Arial" w:hAnsi="Arial"/>
          <w:sz w:val="17"/>
          <w:szCs w:val="17"/>
          <w:color w:val="auto"/>
        </w:rPr>
        <w:t>undertaking by or on behalf of such officer or director to repay the amount so advanced if it shall be ultimately determined that such person is not entitled to be indemnified.</w:t>
      </w:r>
    </w:p>
    <w:p>
      <w:pPr>
        <w:spacing w:after="0" w:line="112"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him or her under Section 145.</w:t>
      </w:r>
    </w:p>
    <w:p>
      <w:pPr>
        <w:spacing w:after="0" w:line="128"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28"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provision of our amended and restated certificate of incorporation, provision of our amended and restated bylaws, agreement, vote of stockholders or disinterested directors, or otherwise.</w:t>
      </w:r>
    </w:p>
    <w:p>
      <w:pPr>
        <w:spacing w:after="0" w:line="123"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We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12"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We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30"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The proposed form of Underwriting Agreement to be filed as Exhibit 1.1 to this Registration Statement provides for indemnification of our directors and officers signing this Registration Statement by the underwriters against certain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71" w:lineRule="exact"/>
        <w:rPr>
          <w:sz w:val="20"/>
          <w:szCs w:val="20"/>
          <w:color w:val="auto"/>
        </w:rPr>
      </w:pPr>
    </w:p>
    <w:p>
      <w:pPr>
        <w:jc w:val="both"/>
        <w:ind w:firstLine="309"/>
        <w:spacing w:after="0" w:line="291" w:lineRule="auto"/>
        <w:rPr>
          <w:sz w:val="20"/>
          <w:szCs w:val="20"/>
          <w:color w:val="auto"/>
        </w:rPr>
      </w:pPr>
      <w:r>
        <w:rPr>
          <w:rFonts w:ascii="Arial" w:cs="Arial" w:eastAsia="Arial" w:hAnsi="Arial"/>
          <w:sz w:val="15"/>
          <w:szCs w:val="15"/>
          <w:color w:val="auto"/>
        </w:rPr>
        <w:t>On November 14, 2019, the Registrant issued 100 shares of the Registrant’s Class B common stock, par value $0.01 per share (“Class B Common Stock”), to ZoomInfo Holdings LLC (formerly DiscoverOrg Holdings, LLC), for $1.00. The issuance of such shares of Class B Common Stock was not registered under the Securities Act, because the shares were offered and sold in a transaction by the issuer not involving any public offering exempt from registration under Section 4(a)</w:t>
      </w:r>
    </w:p>
    <w:p>
      <w:pPr>
        <w:spacing w:after="0" w:line="2" w:lineRule="exact"/>
        <w:rPr>
          <w:sz w:val="20"/>
          <w:szCs w:val="20"/>
          <w:color w:val="auto"/>
        </w:rPr>
      </w:pPr>
    </w:p>
    <w:p>
      <w:pPr>
        <w:jc w:val="both"/>
        <w:ind w:firstLine="3"/>
        <w:spacing w:after="0" w:line="278" w:lineRule="auto"/>
        <w:tabs>
          <w:tab w:leader="none" w:pos="24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of the Securities Act. In connection with the Registrant’s initial public offering, the Registrant effected a series of transactions occurring at various times prior to and/or concurrently with the closing of the Registrant’s initial public offering that resulted in a reorganization of its business (the “Reorganization Transactions”). In connection with the Reorganization Transactions, on June 3, 2020, such shares of Class B Common Stock were split into 242,414,027 shares of Class B Common Stock and distributed to existing members of ZoomInfo Holdings LLC in a pro rata distribution by ZoomInfo Holdings LLC.</w:t>
      </w:r>
    </w:p>
    <w:p>
      <w:pPr>
        <w:spacing w:after="0" w:line="115" w:lineRule="exact"/>
        <w:rPr>
          <w:sz w:val="20"/>
          <w:szCs w:val="20"/>
          <w:color w:val="auto"/>
        </w:rPr>
      </w:pPr>
    </w:p>
    <w:p>
      <w:pPr>
        <w:jc w:val="both"/>
        <w:ind w:firstLine="309"/>
        <w:spacing w:after="0" w:line="261" w:lineRule="auto"/>
        <w:rPr>
          <w:sz w:val="20"/>
          <w:szCs w:val="20"/>
          <w:color w:val="auto"/>
        </w:rPr>
      </w:pPr>
      <w:r>
        <w:rPr>
          <w:rFonts w:ascii="Arial" w:cs="Arial" w:eastAsia="Arial" w:hAnsi="Arial"/>
          <w:sz w:val="17"/>
          <w:szCs w:val="17"/>
          <w:color w:val="auto"/>
        </w:rPr>
        <w:t>In connection with the Reorganization Transactions, on June 3, 2020, the Registrant issued 98,106,387 shares of its Class C common stock, par value $0.01 per share (“Class C Common Stock”), to affiliates of TA Associates, The Carlyle Group, and 22C Capital. The shares of Class C Common Stock were issued pursuant to Section 4(a)(2) of the Securities Act. For a description of the transactions pursuant to which the shares were issued, see the information under the heading “Organizational Structure” in the form of prospectus included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21" w:name="page322"/>
    <w:bookmarkEnd w:id="321"/>
    <w:p>
      <w:pPr>
        <w:jc w:val="both"/>
        <w:ind w:firstLine="309"/>
        <w:spacing w:after="0" w:line="266" w:lineRule="auto"/>
        <w:rPr>
          <w:sz w:val="20"/>
          <w:szCs w:val="20"/>
          <w:color w:val="auto"/>
        </w:rPr>
      </w:pPr>
      <w:r>
        <w:rPr>
          <w:rFonts w:ascii="Arial" w:cs="Arial" w:eastAsia="Arial" w:hAnsi="Arial"/>
          <w:sz w:val="17"/>
          <w:szCs w:val="17"/>
          <w:color w:val="auto"/>
        </w:rPr>
        <w:t>On October 14, 2020, in connection with the Registrant’s acquisition of substantially all of the assets, and certain liabilities, of Clickagy, LLC, the Registrant issued 67,075 shares of the Registrant’s Class A common stock to Clickagy, LLC in a transaction not involving any public offering and exempt from registration under Section 4(a)(2) of the Securities Act.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71" w:lineRule="exact"/>
        <w:rPr>
          <w:sz w:val="20"/>
          <w:szCs w:val="20"/>
          <w:color w:val="auto"/>
        </w:rPr>
      </w:pPr>
    </w:p>
    <w:p>
      <w:pPr>
        <w:ind w:left="680" w:hanging="368"/>
        <w:spacing w:after="0"/>
        <w:tabs>
          <w:tab w:leader="none" w:pos="680" w:val="left"/>
        </w:tabs>
        <w:numPr>
          <w:ilvl w:val="0"/>
          <w:numId w:val="1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Exhibits. </w:t>
      </w:r>
      <w:r>
        <w:rPr>
          <w:rFonts w:ascii="Arial" w:cs="Arial" w:eastAsia="Arial" w:hAnsi="Arial"/>
          <w:sz w:val="16"/>
          <w:szCs w:val="16"/>
          <w:color w:val="auto"/>
        </w:rPr>
        <w:t>See the Exhibit Index immediately preceding the signature pages hereto, which is incorporated by reference as if fully set forth herein.</w:t>
      </w:r>
    </w:p>
    <w:p>
      <w:pPr>
        <w:spacing w:after="0" w:line="176" w:lineRule="exact"/>
        <w:rPr>
          <w:rFonts w:ascii="Arial" w:cs="Arial" w:eastAsia="Arial" w:hAnsi="Arial"/>
          <w:sz w:val="16"/>
          <w:szCs w:val="16"/>
          <w:b w:val="1"/>
          <w:bCs w:val="1"/>
          <w:i w:val="1"/>
          <w:iCs w:val="1"/>
          <w:color w:val="auto"/>
        </w:rPr>
      </w:pPr>
    </w:p>
    <w:p>
      <w:pPr>
        <w:ind w:left="680" w:hanging="368"/>
        <w:spacing w:after="0"/>
        <w:tabs>
          <w:tab w:leader="none" w:pos="680" w:val="left"/>
        </w:tabs>
        <w:numPr>
          <w:ilvl w:val="0"/>
          <w:numId w:val="15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Financial Statement Schedules. </w:t>
      </w:r>
      <w:r>
        <w:rPr>
          <w:rFonts w:ascii="Arial" w:cs="Arial" w:eastAsia="Arial" w:hAnsi="Arial"/>
          <w:sz w:val="17"/>
          <w:szCs w:val="17"/>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171" w:lineRule="exact"/>
        <w:rPr>
          <w:sz w:val="20"/>
          <w:szCs w:val="20"/>
          <w:color w:val="auto"/>
        </w:rPr>
      </w:pPr>
    </w:p>
    <w:p>
      <w:pPr>
        <w:jc w:val="both"/>
        <w:ind w:left="620" w:hanging="308"/>
        <w:spacing w:after="0" w:line="274" w:lineRule="auto"/>
        <w:tabs>
          <w:tab w:leader="none" w:pos="61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22" w:lineRule="exact"/>
        <w:rPr>
          <w:rFonts w:ascii="Arial" w:cs="Arial" w:eastAsia="Arial" w:hAnsi="Arial"/>
          <w:sz w:val="16"/>
          <w:szCs w:val="16"/>
          <w:color w:val="auto"/>
        </w:rPr>
      </w:pPr>
    </w:p>
    <w:p>
      <w:pPr>
        <w:ind w:left="620" w:hanging="308"/>
        <w:spacing w:after="0"/>
        <w:tabs>
          <w:tab w:leader="none" w:pos="62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65" w:lineRule="exact"/>
        <w:rPr>
          <w:rFonts w:ascii="Arial" w:cs="Arial" w:eastAsia="Arial" w:hAnsi="Arial"/>
          <w:sz w:val="17"/>
          <w:szCs w:val="17"/>
          <w:color w:val="auto"/>
        </w:rPr>
      </w:pPr>
    </w:p>
    <w:p>
      <w:pPr>
        <w:jc w:val="both"/>
        <w:ind w:left="940" w:hanging="319"/>
        <w:spacing w:after="0" w:line="290" w:lineRule="auto"/>
        <w:tabs>
          <w:tab w:leader="none" w:pos="93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5" w:lineRule="exact"/>
        <w:rPr>
          <w:rFonts w:ascii="Arial" w:cs="Arial" w:eastAsia="Arial" w:hAnsi="Arial"/>
          <w:sz w:val="16"/>
          <w:szCs w:val="16"/>
          <w:color w:val="auto"/>
        </w:rPr>
      </w:pPr>
    </w:p>
    <w:p>
      <w:pPr>
        <w:jc w:val="both"/>
        <w:ind w:left="940" w:hanging="319"/>
        <w:spacing w:after="0" w:line="266" w:lineRule="auto"/>
        <w:tabs>
          <w:tab w:leader="none" w:pos="937" w:val="left"/>
        </w:tabs>
        <w:numPr>
          <w:ilvl w:val="1"/>
          <w:numId w:val="157"/>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60" w:type="dxa"/>
            <w:vAlign w:val="bottom"/>
            <w:gridSpan w:val="27"/>
          </w:tcPr>
          <w:p>
            <w:pPr>
              <w:ind w:left="780"/>
              <w:spacing w:after="0"/>
              <w:rPr>
                <w:sz w:val="20"/>
                <w:szCs w:val="20"/>
                <w:color w:val="auto"/>
              </w:rPr>
            </w:pPr>
            <w:r>
              <w:rPr>
                <w:rFonts w:ascii="Arial" w:cs="Arial" w:eastAsia="Arial" w:hAnsi="Arial"/>
                <w:sz w:val="17"/>
                <w:szCs w:val="17"/>
                <w:b w:val="1"/>
                <w:bCs w:val="1"/>
                <w:color w:val="auto"/>
              </w:rPr>
              <w:t>EXHIBIT INDEX</w:t>
            </w:r>
          </w:p>
        </w:tc>
      </w:tr>
      <w:tr>
        <w:trPr>
          <w:trHeight w:val="356"/>
        </w:trPr>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60" w:type="dxa"/>
            <w:vAlign w:val="bottom"/>
            <w:gridSpan w:val="27"/>
          </w:tcPr>
          <w:p>
            <w:pPr>
              <w:ind w:left="17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2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900" w:type="dxa"/>
            <w:vAlign w:val="bottom"/>
            <w:tcBorders>
              <w:top w:val="single" w:sz="8" w:color="auto"/>
            </w:tcBorders>
            <w:gridSpan w:val="32"/>
          </w:tcPr>
          <w:p>
            <w:pPr>
              <w:spacing w:after="0"/>
              <w:rPr>
                <w:rFonts w:ascii="Arial" w:cs="Arial" w:eastAsia="Arial" w:hAnsi="Arial"/>
                <w:sz w:val="17"/>
                <w:szCs w:val="17"/>
                <w:u w:val="single" w:color="auto"/>
                <w:color w:val="0000FF"/>
              </w:rPr>
            </w:pPr>
            <w:hyperlink w:anchor="page328">
              <w:r>
                <w:rPr>
                  <w:rFonts w:ascii="Arial" w:cs="Arial" w:eastAsia="Arial" w:hAnsi="Arial"/>
                  <w:sz w:val="17"/>
                  <w:szCs w:val="17"/>
                  <w:u w:val="single" w:color="auto"/>
                  <w:color w:val="0000FF"/>
                </w:rPr>
                <w:t>Form of Underwriting Agreement</w:t>
              </w:r>
            </w:hyperlink>
          </w:p>
        </w:tc>
      </w:tr>
      <w:tr>
        <w:trPr>
          <w:trHeight w:val="182"/>
        </w:trPr>
        <w:tc>
          <w:tcPr>
            <w:tcW w:w="1220" w:type="dxa"/>
            <w:vAlign w:val="bottom"/>
          </w:tcPr>
          <w:p>
            <w:pPr>
              <w:ind w:left="20"/>
              <w:spacing w:after="0" w:line="182"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32"/>
          </w:tcPr>
          <w:p>
            <w:pPr>
              <w:spacing w:after="0" w:line="182" w:lineRule="exact"/>
              <w:rPr>
                <w:rFonts w:ascii="Arial" w:cs="Arial" w:eastAsia="Arial" w:hAnsi="Arial"/>
                <w:sz w:val="17"/>
                <w:szCs w:val="17"/>
                <w:color w:val="0000FF"/>
                <w:w w:val="93"/>
              </w:rPr>
            </w:pPr>
            <w:hyperlink r:id="rId439">
              <w:r>
                <w:rPr>
                  <w:rFonts w:ascii="Arial" w:cs="Arial" w:eastAsia="Arial" w:hAnsi="Arial"/>
                  <w:sz w:val="17"/>
                  <w:szCs w:val="17"/>
                  <w:color w:val="0000FF"/>
                  <w:w w:val="93"/>
                </w:rPr>
                <w:t>Amended and Restated Certificate of Incorporation of ZoomInfo Technologies Inc. (incorporated by reference to Exhibit 3.1 to the Company’s</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80" w:type="dxa"/>
            <w:vAlign w:val="bottom"/>
            <w:tcBorders>
              <w:top w:val="single" w:sz="8" w:color="0000FF"/>
              <w:bottom w:val="single" w:sz="8" w:color="0000FF"/>
            </w:tcBorders>
            <w:gridSpan w:val="10"/>
          </w:tcPr>
          <w:p>
            <w:pPr>
              <w:spacing w:after="0" w:line="147" w:lineRule="exact"/>
              <w:rPr>
                <w:rFonts w:ascii="Arial" w:cs="Arial" w:eastAsia="Arial" w:hAnsi="Arial"/>
                <w:sz w:val="17"/>
                <w:szCs w:val="17"/>
                <w:color w:val="0000FF"/>
                <w:w w:val="92"/>
              </w:rPr>
            </w:pPr>
            <w:hyperlink r:id="rId439">
              <w:r>
                <w:rPr>
                  <w:rFonts w:ascii="Arial" w:cs="Arial" w:eastAsia="Arial" w:hAnsi="Arial"/>
                  <w:sz w:val="17"/>
                  <w:szCs w:val="17"/>
                  <w:color w:val="0000FF"/>
                  <w:w w:val="92"/>
                </w:rPr>
                <w:t>Current Report on Form 8-K (File No. 001-39310) filed with the SEC on June 8, 2020)</w:t>
              </w:r>
            </w:hyperlink>
          </w:p>
        </w:tc>
        <w:tc>
          <w:tcPr>
            <w:tcW w:w="388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rPr>
                <w:rFonts w:ascii="Arial" w:cs="Arial" w:eastAsia="Arial" w:hAnsi="Arial"/>
                <w:sz w:val="17"/>
                <w:szCs w:val="17"/>
                <w:color w:val="0000FF"/>
                <w:w w:val="93"/>
              </w:rPr>
            </w:pPr>
            <w:hyperlink r:id="rId440">
              <w:r>
                <w:rPr>
                  <w:rFonts w:ascii="Arial" w:cs="Arial" w:eastAsia="Arial" w:hAnsi="Arial"/>
                  <w:sz w:val="17"/>
                  <w:szCs w:val="17"/>
                  <w:color w:val="0000FF"/>
                  <w:w w:val="93"/>
                </w:rPr>
                <w:t>Amended and Restated Bylaws of ZoomInfo Technologies Inc. (incorporated by reference to Exhibit 3.2 to the Company’s Current Report on</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3"/>
          </w:tcPr>
          <w:p>
            <w:pPr>
              <w:spacing w:after="0" w:line="147" w:lineRule="exact"/>
              <w:rPr>
                <w:rFonts w:ascii="Arial" w:cs="Arial" w:eastAsia="Arial" w:hAnsi="Arial"/>
                <w:sz w:val="17"/>
                <w:szCs w:val="17"/>
                <w:color w:val="0000FF"/>
              </w:rPr>
            </w:pPr>
            <w:hyperlink r:id="rId440">
              <w:r>
                <w:rPr>
                  <w:rFonts w:ascii="Arial" w:cs="Arial" w:eastAsia="Arial" w:hAnsi="Arial"/>
                  <w:sz w:val="17"/>
                  <w:szCs w:val="17"/>
                  <w:color w:val="0000FF"/>
                </w:rPr>
                <w:t>Form 8-K (File No. 001-39310) filed with the SEC on June 8, 2020)</w:t>
              </w:r>
            </w:hyperlink>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36"/>
        </w:trPr>
        <w:tc>
          <w:tcPr>
            <w:tcW w:w="1220" w:type="dxa"/>
            <w:vAlign w:val="bottom"/>
          </w:tcPr>
          <w:p>
            <w:pPr>
              <w:ind w:left="2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tcBorders>
              <w:top w:val="single" w:sz="8" w:color="0000FF"/>
            </w:tcBorders>
            <w:gridSpan w:val="6"/>
          </w:tcPr>
          <w:p>
            <w:pPr>
              <w:spacing w:after="0"/>
              <w:rPr>
                <w:rFonts w:ascii="Arial" w:cs="Arial" w:eastAsia="Arial" w:hAnsi="Arial"/>
                <w:sz w:val="17"/>
                <w:szCs w:val="17"/>
                <w:u w:val="single" w:color="auto"/>
                <w:color w:val="0000FF"/>
              </w:rPr>
            </w:pPr>
            <w:hyperlink w:anchor="page390">
              <w:r>
                <w:rPr>
                  <w:rFonts w:ascii="Arial" w:cs="Arial" w:eastAsia="Arial" w:hAnsi="Arial"/>
                  <w:sz w:val="17"/>
                  <w:szCs w:val="17"/>
                  <w:u w:val="single" w:color="auto"/>
                  <w:color w:val="0000FF"/>
                </w:rPr>
                <w:t>Opinion of Simpson Thacher &amp; Bartlett LLP</w:t>
              </w:r>
            </w:hyperlink>
          </w:p>
        </w:tc>
        <w:tc>
          <w:tcPr>
            <w:tcW w:w="5220" w:type="dxa"/>
            <w:vAlign w:val="bottom"/>
            <w:gridSpan w:val="26"/>
          </w:tcPr>
          <w:p>
            <w:pPr>
              <w:spacing w:after="0"/>
              <w:rPr>
                <w:sz w:val="20"/>
                <w:szCs w:val="20"/>
                <w:color w:val="auto"/>
              </w:rPr>
            </w:pPr>
          </w:p>
        </w:tc>
      </w:tr>
      <w:tr>
        <w:trPr>
          <w:trHeight w:val="182"/>
        </w:trPr>
        <w:tc>
          <w:tcPr>
            <w:tcW w:w="1220" w:type="dxa"/>
            <w:vAlign w:val="bottom"/>
          </w:tcPr>
          <w:p>
            <w:pPr>
              <w:ind w:left="20"/>
              <w:spacing w:after="0" w:line="182" w:lineRule="exact"/>
              <w:rPr>
                <w:sz w:val="20"/>
                <w:szCs w:val="20"/>
                <w:color w:val="auto"/>
              </w:rPr>
            </w:pPr>
            <w:r>
              <w:rPr>
                <w:rFonts w:ascii="Arial" w:cs="Arial" w:eastAsia="Arial" w:hAnsi="Arial"/>
                <w:sz w:val="17"/>
                <w:szCs w:val="17"/>
                <w:color w:val="auto"/>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32"/>
          </w:tcPr>
          <w:p>
            <w:pPr>
              <w:spacing w:after="0" w:line="182" w:lineRule="exact"/>
              <w:rPr>
                <w:rFonts w:ascii="Arial" w:cs="Arial" w:eastAsia="Arial" w:hAnsi="Arial"/>
                <w:sz w:val="17"/>
                <w:szCs w:val="17"/>
                <w:color w:val="0000FF"/>
                <w:w w:val="96"/>
              </w:rPr>
            </w:pPr>
            <w:hyperlink r:id="rId441">
              <w:r>
                <w:rPr>
                  <w:rFonts w:ascii="Arial" w:cs="Arial" w:eastAsia="Arial" w:hAnsi="Arial"/>
                  <w:sz w:val="17"/>
                  <w:szCs w:val="17"/>
                  <w:color w:val="0000FF"/>
                  <w:w w:val="96"/>
                </w:rPr>
                <w:t>Fifth Amended and Restated Limited Liability Company Agreement of ZoomInfo Holdings LLC, dated as of June 3, 2020 (incorporated by</w:t>
              </w:r>
            </w:hyperlink>
          </w:p>
        </w:tc>
      </w:tr>
      <w:tr>
        <w:trPr>
          <w:trHeight w:val="186"/>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80" w:type="dxa"/>
            <w:vAlign w:val="bottom"/>
            <w:tcBorders>
              <w:top w:val="single" w:sz="8" w:color="0000FF"/>
            </w:tcBorders>
            <w:gridSpan w:val="15"/>
          </w:tcPr>
          <w:p>
            <w:pPr>
              <w:spacing w:after="0" w:line="186" w:lineRule="exact"/>
              <w:rPr>
                <w:rFonts w:ascii="Arial" w:cs="Arial" w:eastAsia="Arial" w:hAnsi="Arial"/>
                <w:sz w:val="17"/>
                <w:szCs w:val="17"/>
                <w:u w:val="single" w:color="auto"/>
                <w:color w:val="0000FF"/>
                <w:w w:val="98"/>
              </w:rPr>
            </w:pPr>
            <w:hyperlink r:id="rId441">
              <w:r>
                <w:rPr>
                  <w:rFonts w:ascii="Arial" w:cs="Arial" w:eastAsia="Arial" w:hAnsi="Arial"/>
                  <w:sz w:val="17"/>
                  <w:szCs w:val="17"/>
                  <w:u w:val="single" w:color="auto"/>
                  <w:color w:val="0000FF"/>
                  <w:w w:val="98"/>
                </w:rPr>
                <w:t>reference to Exhibit 10.1 to the Company’s Current Report on Form 8-K (File No. 001-39310) filed with the SEC on June 8, 2020)</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220" w:type="dxa"/>
            <w:vAlign w:val="bottom"/>
          </w:tcPr>
          <w:p>
            <w:pPr>
              <w:ind w:left="20"/>
              <w:spacing w:after="0" w:line="180"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32"/>
          </w:tcPr>
          <w:p>
            <w:pPr>
              <w:spacing w:after="0" w:line="180" w:lineRule="exact"/>
              <w:rPr>
                <w:rFonts w:ascii="Arial" w:cs="Arial" w:eastAsia="Arial" w:hAnsi="Arial"/>
                <w:sz w:val="17"/>
                <w:szCs w:val="17"/>
                <w:color w:val="0000FF"/>
              </w:rPr>
            </w:pPr>
            <w:hyperlink r:id="rId442">
              <w:r>
                <w:rPr>
                  <w:rFonts w:ascii="Arial" w:cs="Arial" w:eastAsia="Arial" w:hAnsi="Arial"/>
                  <w:sz w:val="17"/>
                  <w:szCs w:val="17"/>
                  <w:color w:val="0000FF"/>
                </w:rPr>
                <w:t>Amended and Restated Limited Liability Company Agreement of ZoomInfo Intermediate Holdings LLC, dated as of June 3, 2020</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tcBorders>
            <w:gridSpan w:val="12"/>
          </w:tcPr>
          <w:p>
            <w:pPr>
              <w:spacing w:after="0" w:line="147" w:lineRule="exact"/>
              <w:rPr>
                <w:rFonts w:ascii="Arial" w:cs="Arial" w:eastAsia="Arial" w:hAnsi="Arial"/>
                <w:sz w:val="17"/>
                <w:szCs w:val="17"/>
                <w:color w:val="0000FF"/>
                <w:w w:val="92"/>
              </w:rPr>
            </w:pPr>
            <w:hyperlink r:id="rId442">
              <w:r>
                <w:rPr>
                  <w:rFonts w:ascii="Arial" w:cs="Arial" w:eastAsia="Arial" w:hAnsi="Arial"/>
                  <w:sz w:val="17"/>
                  <w:szCs w:val="17"/>
                  <w:color w:val="0000FF"/>
                  <w:w w:val="92"/>
                </w:rPr>
                <w:t>(incorporated by reference to Exhibit 10.2 to the Company’s Current Report on Form 8-K (File No. 001-39310) filed with the SEC</w:t>
              </w:r>
            </w:hyperlink>
          </w:p>
        </w:tc>
        <w:tc>
          <w:tcPr>
            <w:tcW w:w="960" w:type="dxa"/>
            <w:vAlign w:val="bottom"/>
            <w:gridSpan w:val="20"/>
          </w:tcPr>
          <w:p>
            <w:pPr>
              <w:ind w:left="80"/>
              <w:spacing w:after="0" w:line="147" w:lineRule="exact"/>
              <w:rPr>
                <w:rFonts w:ascii="Arial" w:cs="Arial" w:eastAsia="Arial" w:hAnsi="Arial"/>
                <w:sz w:val="17"/>
                <w:szCs w:val="17"/>
                <w:color w:val="0000FF"/>
              </w:rPr>
            </w:pPr>
            <w:hyperlink r:id="rId442">
              <w:r>
                <w:rPr>
                  <w:rFonts w:ascii="Arial" w:cs="Arial" w:eastAsia="Arial" w:hAnsi="Arial"/>
                  <w:sz w:val="17"/>
                  <w:szCs w:val="17"/>
                  <w:color w:val="0000FF"/>
                </w:rPr>
                <w:t>on June 8,</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7" w:lineRule="exact"/>
              <w:rPr>
                <w:rFonts w:ascii="Arial" w:cs="Arial" w:eastAsia="Arial" w:hAnsi="Arial"/>
                <w:sz w:val="17"/>
                <w:szCs w:val="17"/>
                <w:color w:val="0000FF"/>
                <w:w w:val="87"/>
              </w:rPr>
            </w:pPr>
            <w:hyperlink r:id="rId442">
              <w:r>
                <w:rPr>
                  <w:rFonts w:ascii="Arial" w:cs="Arial" w:eastAsia="Arial" w:hAnsi="Arial"/>
                  <w:sz w:val="17"/>
                  <w:szCs w:val="17"/>
                  <w:color w:val="0000FF"/>
                  <w:w w:val="87"/>
                </w:rPr>
                <w:t>2020)</w:t>
              </w:r>
            </w:hyperlink>
          </w:p>
        </w:tc>
        <w:tc>
          <w:tcPr>
            <w:tcW w:w="5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198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rPr>
                <w:rFonts w:ascii="Arial" w:cs="Arial" w:eastAsia="Arial" w:hAnsi="Arial"/>
                <w:sz w:val="17"/>
                <w:szCs w:val="17"/>
                <w:color w:val="0000FF"/>
                <w:w w:val="91"/>
              </w:rPr>
            </w:pPr>
            <w:hyperlink r:id="rId443">
              <w:r>
                <w:rPr>
                  <w:rFonts w:ascii="Arial" w:cs="Arial" w:eastAsia="Arial" w:hAnsi="Arial"/>
                  <w:sz w:val="17"/>
                  <w:szCs w:val="17"/>
                  <w:color w:val="0000FF"/>
                  <w:w w:val="91"/>
                </w:rPr>
                <w:t>Exchange Tax Receivable Agreement, dated as of June 3, 2020, by and among the Company and each of the other persons from time to time a</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27"/>
          </w:tcPr>
          <w:p>
            <w:pPr>
              <w:spacing w:after="0" w:line="147" w:lineRule="exact"/>
              <w:rPr>
                <w:rFonts w:ascii="Arial" w:cs="Arial" w:eastAsia="Arial" w:hAnsi="Arial"/>
                <w:sz w:val="17"/>
                <w:szCs w:val="17"/>
                <w:color w:val="0000FF"/>
                <w:w w:val="95"/>
              </w:rPr>
            </w:pPr>
            <w:hyperlink r:id="rId443">
              <w:r>
                <w:rPr>
                  <w:rFonts w:ascii="Arial" w:cs="Arial" w:eastAsia="Arial" w:hAnsi="Arial"/>
                  <w:sz w:val="17"/>
                  <w:szCs w:val="17"/>
                  <w:color w:val="0000FF"/>
                  <w:w w:val="95"/>
                </w:rPr>
                <w:t>party thereto (incorporated by reference to Exhibit 10.3 to the Company’s Current Report on Form 8-K (File No. 001-39310) filed with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3"/>
          </w:tcPr>
          <w:p>
            <w:pPr>
              <w:spacing w:after="0" w:line="147" w:lineRule="exact"/>
              <w:rPr>
                <w:rFonts w:ascii="Arial" w:cs="Arial" w:eastAsia="Arial" w:hAnsi="Arial"/>
                <w:sz w:val="17"/>
                <w:szCs w:val="17"/>
                <w:color w:val="0000FF"/>
                <w:w w:val="88"/>
              </w:rPr>
            </w:pPr>
            <w:hyperlink r:id="rId443">
              <w:r>
                <w:rPr>
                  <w:rFonts w:ascii="Arial" w:cs="Arial" w:eastAsia="Arial" w:hAnsi="Arial"/>
                  <w:sz w:val="17"/>
                  <w:szCs w:val="17"/>
                  <w:color w:val="0000FF"/>
                  <w:w w:val="88"/>
                </w:rPr>
                <w:t>SEC on June 8, 2020)</w:t>
              </w:r>
            </w:hyperlink>
          </w:p>
        </w:tc>
        <w:tc>
          <w:tcPr>
            <w:tcW w:w="8040" w:type="dxa"/>
            <w:vAlign w:val="bottom"/>
            <w:tcBorders>
              <w:top w:val="single" w:sz="8" w:color="0000FF"/>
            </w:tcBorders>
            <w:gridSpan w:val="11"/>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19"/>
          </w:tcPr>
          <w:p>
            <w:pPr>
              <w:spacing w:after="0"/>
              <w:rPr>
                <w:rFonts w:ascii="Arial" w:cs="Arial" w:eastAsia="Arial" w:hAnsi="Arial"/>
                <w:sz w:val="17"/>
                <w:szCs w:val="17"/>
                <w:color w:val="0000FF"/>
                <w:w w:val="90"/>
              </w:rPr>
            </w:pPr>
            <w:hyperlink r:id="rId444">
              <w:r>
                <w:rPr>
                  <w:rFonts w:ascii="Arial" w:cs="Arial" w:eastAsia="Arial" w:hAnsi="Arial"/>
                  <w:sz w:val="17"/>
                  <w:szCs w:val="17"/>
                  <w:color w:val="0000FF"/>
                  <w:w w:val="90"/>
                </w:rPr>
                <w:t>Reorganization Tax Receivable Agreement, dated as of June 3, 2020, by and among the Company and each of the other persons from time to</w:t>
              </w:r>
            </w:hyperlink>
          </w:p>
        </w:tc>
        <w:tc>
          <w:tcPr>
            <w:tcW w:w="220" w:type="dxa"/>
            <w:vAlign w:val="bottom"/>
            <w:gridSpan w:val="13"/>
          </w:tcPr>
          <w:p>
            <w:pPr>
              <w:spacing w:after="0"/>
              <w:rPr>
                <w:sz w:val="17"/>
                <w:szCs w:val="17"/>
                <w:color w:val="auto"/>
              </w:rPr>
            </w:pPr>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gridSpan w:val="32"/>
          </w:tcPr>
          <w:p>
            <w:pPr>
              <w:spacing w:after="0" w:line="147" w:lineRule="exact"/>
              <w:rPr>
                <w:rFonts w:ascii="Arial" w:cs="Arial" w:eastAsia="Arial" w:hAnsi="Arial"/>
                <w:sz w:val="17"/>
                <w:szCs w:val="17"/>
                <w:color w:val="0000FF"/>
                <w:w w:val="94"/>
              </w:rPr>
            </w:pPr>
            <w:hyperlink r:id="rId444">
              <w:r>
                <w:rPr>
                  <w:rFonts w:ascii="Arial" w:cs="Arial" w:eastAsia="Arial" w:hAnsi="Arial"/>
                  <w:sz w:val="17"/>
                  <w:szCs w:val="17"/>
                  <w:color w:val="0000FF"/>
                  <w:w w:val="94"/>
                </w:rPr>
                <w:t>time a party thereto (incorporated by reference to Exhibit 10.4 to the Company’s Current Report on Form 8-K (File No. 001-39310) filed with</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4"/>
          </w:tcPr>
          <w:p>
            <w:pPr>
              <w:spacing w:after="0" w:line="147" w:lineRule="exact"/>
              <w:rPr>
                <w:rFonts w:ascii="Arial" w:cs="Arial" w:eastAsia="Arial" w:hAnsi="Arial"/>
                <w:sz w:val="17"/>
                <w:szCs w:val="17"/>
                <w:color w:val="0000FF"/>
              </w:rPr>
            </w:pPr>
            <w:hyperlink r:id="rId444">
              <w:r>
                <w:rPr>
                  <w:rFonts w:ascii="Arial" w:cs="Arial" w:eastAsia="Arial" w:hAnsi="Arial"/>
                  <w:sz w:val="17"/>
                  <w:szCs w:val="17"/>
                  <w:color w:val="0000FF"/>
                </w:rPr>
                <w:t>the SEC on June 8,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rPr>
                <w:rFonts w:ascii="Arial" w:cs="Arial" w:eastAsia="Arial" w:hAnsi="Arial"/>
                <w:sz w:val="17"/>
                <w:szCs w:val="17"/>
                <w:color w:val="0000FF"/>
                <w:w w:val="92"/>
              </w:rPr>
            </w:pPr>
            <w:hyperlink r:id="rId445">
              <w:r>
                <w:rPr>
                  <w:rFonts w:ascii="Arial" w:cs="Arial" w:eastAsia="Arial" w:hAnsi="Arial"/>
                  <w:sz w:val="17"/>
                  <w:szCs w:val="17"/>
                  <w:color w:val="0000FF"/>
                  <w:w w:val="92"/>
                </w:rPr>
                <w:t>Registration Rights Agreement, dated as of June 8, 2020, by and among the Company and each of the other persons from time to time a party</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bottom w:val="single" w:sz="8" w:color="0000FF"/>
            </w:tcBorders>
            <w:gridSpan w:val="20"/>
          </w:tcPr>
          <w:p>
            <w:pPr>
              <w:spacing w:after="0" w:line="147" w:lineRule="exact"/>
              <w:rPr>
                <w:rFonts w:ascii="Arial" w:cs="Arial" w:eastAsia="Arial" w:hAnsi="Arial"/>
                <w:sz w:val="17"/>
                <w:szCs w:val="17"/>
                <w:color w:val="0000FF"/>
                <w:w w:val="92"/>
              </w:rPr>
            </w:pPr>
            <w:hyperlink r:id="rId445">
              <w:r>
                <w:rPr>
                  <w:rFonts w:ascii="Arial" w:cs="Arial" w:eastAsia="Arial" w:hAnsi="Arial"/>
                  <w:sz w:val="17"/>
                  <w:szCs w:val="17"/>
                  <w:color w:val="0000FF"/>
                  <w:w w:val="92"/>
                </w:rPr>
                <w:t>thereto (incorporated by reference to Exhibit 10.5 to the Company’s Current Report on Form 8-K (File No. 001-39310) filed with the SEC on</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gridSpan w:val="21"/>
          </w:tcPr>
          <w:p>
            <w:pPr>
              <w:spacing w:after="0" w:line="147" w:lineRule="exact"/>
              <w:rPr>
                <w:rFonts w:ascii="Arial" w:cs="Arial" w:eastAsia="Arial" w:hAnsi="Arial"/>
                <w:sz w:val="17"/>
                <w:szCs w:val="17"/>
                <w:color w:val="0000FF"/>
              </w:rPr>
            </w:pPr>
            <w:hyperlink r:id="rId445">
              <w:r>
                <w:rPr>
                  <w:rFonts w:ascii="Arial" w:cs="Arial" w:eastAsia="Arial" w:hAnsi="Arial"/>
                  <w:sz w:val="17"/>
                  <w:szCs w:val="17"/>
                  <w:color w:val="0000FF"/>
                </w:rPr>
                <w:t>June 8, 2020)</w:t>
              </w:r>
            </w:hyperlink>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rPr>
                <w:rFonts w:ascii="Arial" w:cs="Arial" w:eastAsia="Arial" w:hAnsi="Arial"/>
                <w:sz w:val="17"/>
                <w:szCs w:val="17"/>
                <w:color w:val="0000FF"/>
                <w:w w:val="91"/>
              </w:rPr>
            </w:pPr>
            <w:hyperlink r:id="rId446">
              <w:r>
                <w:rPr>
                  <w:rFonts w:ascii="Arial" w:cs="Arial" w:eastAsia="Arial" w:hAnsi="Arial"/>
                  <w:sz w:val="17"/>
                  <w:szCs w:val="17"/>
                  <w:color w:val="0000FF"/>
                  <w:w w:val="91"/>
                </w:rPr>
                <w:t>Stockholders Agreement, dated as of June 3, 2020, by and among the Company and each of the other persons from time to time a party thereto</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9"/>
          </w:tcPr>
          <w:p>
            <w:pPr>
              <w:spacing w:after="0" w:line="147" w:lineRule="exact"/>
              <w:rPr>
                <w:rFonts w:ascii="Arial" w:cs="Arial" w:eastAsia="Arial" w:hAnsi="Arial"/>
                <w:sz w:val="17"/>
                <w:szCs w:val="17"/>
                <w:color w:val="0000FF"/>
                <w:w w:val="93"/>
              </w:rPr>
            </w:pPr>
            <w:hyperlink r:id="rId446">
              <w:r>
                <w:rPr>
                  <w:rFonts w:ascii="Arial" w:cs="Arial" w:eastAsia="Arial" w:hAnsi="Arial"/>
                  <w:sz w:val="17"/>
                  <w:szCs w:val="17"/>
                  <w:color w:val="0000FF"/>
                  <w:w w:val="93"/>
                </w:rPr>
                <w:t>(incorporated by reference to Exhibit 10.6 to the Company’s Current Report on Form 8-K (File No. 001-39310) filed with the SEC on June 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7" w:lineRule="exact"/>
              <w:rPr>
                <w:rFonts w:ascii="Arial" w:cs="Arial" w:eastAsia="Arial" w:hAnsi="Arial"/>
                <w:sz w:val="17"/>
                <w:szCs w:val="17"/>
                <w:color w:val="0000FF"/>
                <w:w w:val="87"/>
              </w:rPr>
            </w:pPr>
            <w:hyperlink r:id="rId446">
              <w:r>
                <w:rPr>
                  <w:rFonts w:ascii="Arial" w:cs="Arial" w:eastAsia="Arial" w:hAnsi="Arial"/>
                  <w:sz w:val="17"/>
                  <w:szCs w:val="17"/>
                  <w:color w:val="0000FF"/>
                  <w:w w:val="87"/>
                </w:rPr>
                <w:t>2020)</w:t>
              </w:r>
            </w:hyperlink>
          </w:p>
        </w:tc>
        <w:tc>
          <w:tcPr>
            <w:tcW w:w="5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198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rPr>
                <w:rFonts w:ascii="Arial" w:cs="Arial" w:eastAsia="Arial" w:hAnsi="Arial"/>
                <w:sz w:val="17"/>
                <w:szCs w:val="17"/>
                <w:color w:val="0000FF"/>
                <w:w w:val="95"/>
              </w:rPr>
            </w:pPr>
            <w:hyperlink r:id="rId447">
              <w:r>
                <w:rPr>
                  <w:rFonts w:ascii="Arial" w:cs="Arial" w:eastAsia="Arial" w:hAnsi="Arial"/>
                  <w:sz w:val="17"/>
                  <w:szCs w:val="17"/>
                  <w:color w:val="0000FF"/>
                  <w:w w:val="95"/>
                </w:rPr>
                <w:t>ZoomInfo Technologies Inc. 2020 Omnibus Incentive Plan (incorporated by reference to Exhibit 10.7 to the Company’s Current Report on</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7"/>
          </w:tcPr>
          <w:p>
            <w:pPr>
              <w:spacing w:after="0" w:line="147" w:lineRule="exact"/>
              <w:rPr>
                <w:rFonts w:ascii="Arial" w:cs="Arial" w:eastAsia="Arial" w:hAnsi="Arial"/>
                <w:sz w:val="17"/>
                <w:szCs w:val="17"/>
                <w:color w:val="0000FF"/>
                <w:w w:val="92"/>
              </w:rPr>
            </w:pPr>
            <w:hyperlink r:id="rId447">
              <w:r>
                <w:rPr>
                  <w:rFonts w:ascii="Arial" w:cs="Arial" w:eastAsia="Arial" w:hAnsi="Arial"/>
                  <w:sz w:val="17"/>
                  <w:szCs w:val="17"/>
                  <w:color w:val="0000FF"/>
                  <w:w w:val="92"/>
                </w:rPr>
                <w:t>Form 8-K (File No. 001-39310) filed with the SEC on June 8, 2020)†</w:t>
              </w:r>
            </w:hyperlink>
          </w:p>
        </w:tc>
        <w:tc>
          <w:tcPr>
            <w:tcW w:w="4740" w:type="dxa"/>
            <w:vAlign w:val="bottom"/>
            <w:tcBorders>
              <w:top w:val="single" w:sz="8" w:color="0000FF"/>
            </w:tcBorders>
            <w:gridSpan w:val="6"/>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rPr>
                <w:rFonts w:ascii="Arial" w:cs="Arial" w:eastAsia="Arial" w:hAnsi="Arial"/>
                <w:sz w:val="17"/>
                <w:szCs w:val="17"/>
                <w:color w:val="0000FF"/>
                <w:w w:val="94"/>
              </w:rPr>
            </w:pPr>
            <w:hyperlink r:id="rId448">
              <w:r>
                <w:rPr>
                  <w:rFonts w:ascii="Arial" w:cs="Arial" w:eastAsia="Arial" w:hAnsi="Arial"/>
                  <w:sz w:val="17"/>
                  <w:szCs w:val="17"/>
                  <w:color w:val="0000FF"/>
                  <w:w w:val="94"/>
                </w:rPr>
                <w:t>ZoomInfo Technologies Inc. Employee Stock Purchase Plan (incorporated by reference to Exhibit 10.8 to the Company’s Current Report on</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7"/>
          </w:tcPr>
          <w:p>
            <w:pPr>
              <w:spacing w:after="0" w:line="147" w:lineRule="exact"/>
              <w:rPr>
                <w:rFonts w:ascii="Arial" w:cs="Arial" w:eastAsia="Arial" w:hAnsi="Arial"/>
                <w:sz w:val="17"/>
                <w:szCs w:val="17"/>
                <w:color w:val="0000FF"/>
                <w:w w:val="92"/>
              </w:rPr>
            </w:pPr>
            <w:hyperlink r:id="rId448">
              <w:r>
                <w:rPr>
                  <w:rFonts w:ascii="Arial" w:cs="Arial" w:eastAsia="Arial" w:hAnsi="Arial"/>
                  <w:sz w:val="17"/>
                  <w:szCs w:val="17"/>
                  <w:color w:val="0000FF"/>
                  <w:w w:val="92"/>
                </w:rPr>
                <w:t>Form 8-K (File No. 001-39310) filed with the SEC on June 8, 2020)†</w:t>
              </w:r>
            </w:hyperlink>
          </w:p>
        </w:tc>
        <w:tc>
          <w:tcPr>
            <w:tcW w:w="482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rPr>
                <w:rFonts w:ascii="Arial" w:cs="Arial" w:eastAsia="Arial" w:hAnsi="Arial"/>
                <w:sz w:val="17"/>
                <w:szCs w:val="17"/>
                <w:color w:val="0000FF"/>
                <w:w w:val="93"/>
              </w:rPr>
            </w:pPr>
            <w:hyperlink r:id="rId449">
              <w:r>
                <w:rPr>
                  <w:rFonts w:ascii="Arial" w:cs="Arial" w:eastAsia="Arial" w:hAnsi="Arial"/>
                  <w:sz w:val="17"/>
                  <w:szCs w:val="17"/>
                  <w:color w:val="0000FF"/>
                  <w:w w:val="93"/>
                </w:rPr>
                <w:t>Form of Indemnification Agreement (incorporated by reference to Exhibit 10.9 to Amendment No. 3 to the Company’s Registration Statement</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8"/>
          </w:tcPr>
          <w:p>
            <w:pPr>
              <w:spacing w:after="0" w:line="147" w:lineRule="exact"/>
              <w:rPr>
                <w:rFonts w:ascii="Arial" w:cs="Arial" w:eastAsia="Arial" w:hAnsi="Arial"/>
                <w:sz w:val="17"/>
                <w:szCs w:val="17"/>
                <w:color w:val="0000FF"/>
              </w:rPr>
            </w:pPr>
            <w:hyperlink r:id="rId449">
              <w:r>
                <w:rPr>
                  <w:rFonts w:ascii="Arial" w:cs="Arial" w:eastAsia="Arial" w:hAnsi="Arial"/>
                  <w:sz w:val="17"/>
                  <w:szCs w:val="17"/>
                  <w:color w:val="0000FF"/>
                </w:rPr>
                <w:t>on Form S-1 (File No. 333-236674) filed with the SEC on May 27,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4"/>
          </w:tcPr>
          <w:p>
            <w:pPr>
              <w:spacing w:after="0"/>
              <w:rPr>
                <w:rFonts w:ascii="Arial" w:cs="Arial" w:eastAsia="Arial" w:hAnsi="Arial"/>
                <w:sz w:val="17"/>
                <w:szCs w:val="17"/>
                <w:color w:val="0000FF"/>
                <w:w w:val="92"/>
              </w:rPr>
            </w:pPr>
            <w:hyperlink r:id="rId450">
              <w:r>
                <w:rPr>
                  <w:rFonts w:ascii="Arial" w:cs="Arial" w:eastAsia="Arial" w:hAnsi="Arial"/>
                  <w:sz w:val="17"/>
                  <w:szCs w:val="17"/>
                  <w:color w:val="0000FF"/>
                  <w:w w:val="92"/>
                </w:rPr>
                <w:t>First Lien Credit Agreement, dated as of February 1, 2019, among DiscoverOrg, LLC, DiscoverOrg Midco, LLC, the guarantors party thereto</w:t>
              </w:r>
            </w:hyperlink>
          </w:p>
        </w:tc>
        <w:tc>
          <w:tcPr>
            <w:tcW w:w="160" w:type="dxa"/>
            <w:vAlign w:val="bottom"/>
            <w:gridSpan w:val="8"/>
          </w:tcPr>
          <w:p>
            <w:pPr>
              <w:spacing w:after="0"/>
              <w:rPr>
                <w:sz w:val="17"/>
                <w:szCs w:val="17"/>
                <w:color w:val="auto"/>
              </w:rPr>
            </w:pPr>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gridSpan w:val="32"/>
          </w:tcPr>
          <w:p>
            <w:pPr>
              <w:spacing w:after="0" w:line="147" w:lineRule="exact"/>
              <w:rPr>
                <w:rFonts w:ascii="Arial" w:cs="Arial" w:eastAsia="Arial" w:hAnsi="Arial"/>
                <w:sz w:val="17"/>
                <w:szCs w:val="17"/>
                <w:color w:val="0000FF"/>
                <w:w w:val="92"/>
              </w:rPr>
            </w:pPr>
            <w:hyperlink r:id="rId450">
              <w:r>
                <w:rPr>
                  <w:rFonts w:ascii="Arial" w:cs="Arial" w:eastAsia="Arial" w:hAnsi="Arial"/>
                  <w:sz w:val="17"/>
                  <w:szCs w:val="17"/>
                  <w:color w:val="0000FF"/>
                  <w:w w:val="92"/>
                </w:rPr>
                <w:t>from time to time, Morgan Stanley Senior Funding, Inc., as administrative agent, collateral agent and L/C issuer, and the other lenders and L/C</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1"/>
          </w:tcPr>
          <w:p>
            <w:pPr>
              <w:spacing w:after="0" w:line="147" w:lineRule="exact"/>
              <w:rPr>
                <w:rFonts w:ascii="Arial" w:cs="Arial" w:eastAsia="Arial" w:hAnsi="Arial"/>
                <w:sz w:val="17"/>
                <w:szCs w:val="17"/>
                <w:color w:val="0000FF"/>
                <w:w w:val="92"/>
              </w:rPr>
            </w:pPr>
            <w:hyperlink r:id="rId450">
              <w:r>
                <w:rPr>
                  <w:rFonts w:ascii="Arial" w:cs="Arial" w:eastAsia="Arial" w:hAnsi="Arial"/>
                  <w:sz w:val="17"/>
                  <w:szCs w:val="17"/>
                  <w:color w:val="0000FF"/>
                  <w:w w:val="92"/>
                </w:rPr>
                <w:t>issuers party thereto (incorporated by reference to Exhibit 10.10 to the Company’s Registration Statement on Form S-1 (File No. 333-236674)</w:t>
              </w:r>
            </w:hyperlink>
          </w:p>
        </w:tc>
        <w:tc>
          <w:tcPr>
            <w:tcW w:w="20" w:type="dxa"/>
            <w:vAlign w:val="bottom"/>
          </w:tcPr>
          <w:p>
            <w:pPr>
              <w:spacing w:after="0"/>
              <w:rPr>
                <w:sz w:val="12"/>
                <w:szCs w:val="12"/>
                <w:color w:val="auto"/>
              </w:rPr>
            </w:pPr>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6"/>
          </w:tcPr>
          <w:p>
            <w:pPr>
              <w:spacing w:after="0" w:line="147" w:lineRule="exact"/>
              <w:rPr>
                <w:rFonts w:ascii="Arial" w:cs="Arial" w:eastAsia="Arial" w:hAnsi="Arial"/>
                <w:sz w:val="17"/>
                <w:szCs w:val="17"/>
                <w:color w:val="0000FF"/>
              </w:rPr>
            </w:pPr>
            <w:hyperlink r:id="rId450">
              <w:r>
                <w:rPr>
                  <w:rFonts w:ascii="Arial" w:cs="Arial" w:eastAsia="Arial" w:hAnsi="Arial"/>
                  <w:sz w:val="17"/>
                  <w:szCs w:val="17"/>
                  <w:color w:val="0000FF"/>
                </w:rPr>
                <w:t>filed with the SEC on February 27, 2020)</w:t>
              </w:r>
            </w:hyperlink>
          </w:p>
        </w:tc>
        <w:tc>
          <w:tcPr>
            <w:tcW w:w="120" w:type="dxa"/>
            <w:vAlign w:val="bottom"/>
            <w:gridSpan w:val="6"/>
          </w:tcPr>
          <w:p>
            <w:pPr>
              <w:spacing w:after="0"/>
              <w:rPr>
                <w:sz w:val="12"/>
                <w:szCs w:val="12"/>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rPr>
                <w:rFonts w:ascii="Arial" w:cs="Arial" w:eastAsia="Arial" w:hAnsi="Arial"/>
                <w:sz w:val="17"/>
                <w:szCs w:val="17"/>
                <w:color w:val="0000FF"/>
                <w:w w:val="94"/>
              </w:rPr>
            </w:pPr>
            <w:hyperlink r:id="rId451">
              <w:r>
                <w:rPr>
                  <w:rFonts w:ascii="Arial" w:cs="Arial" w:eastAsia="Arial" w:hAnsi="Arial"/>
                  <w:sz w:val="17"/>
                  <w:szCs w:val="17"/>
                  <w:color w:val="0000FF"/>
                  <w:w w:val="94"/>
                </w:rPr>
                <w:t>Amendment No. 1 to the First Lien Credit Agreement, dated February 19, 2020, by and among DiscoverOrg, LLC, DiscoverOrg Midco, LLC,</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5"/>
          </w:tcPr>
          <w:p>
            <w:pPr>
              <w:spacing w:after="0" w:line="147" w:lineRule="exact"/>
              <w:rPr>
                <w:rFonts w:ascii="Arial" w:cs="Arial" w:eastAsia="Arial" w:hAnsi="Arial"/>
                <w:sz w:val="17"/>
                <w:szCs w:val="17"/>
                <w:color w:val="0000FF"/>
                <w:w w:val="92"/>
              </w:rPr>
            </w:pPr>
            <w:hyperlink r:id="rId451">
              <w:r>
                <w:rPr>
                  <w:rFonts w:ascii="Arial" w:cs="Arial" w:eastAsia="Arial" w:hAnsi="Arial"/>
                  <w:sz w:val="17"/>
                  <w:szCs w:val="17"/>
                  <w:color w:val="0000FF"/>
                  <w:w w:val="92"/>
                </w:rPr>
                <w:t>Morgan Stanley Bank, N.A., as the new term loan lender, the revolving credit lenders party thereto, Morgan Stanley Senior Funding, Inc., as</w:t>
              </w:r>
            </w:hyperlink>
          </w:p>
        </w:tc>
        <w:tc>
          <w:tcPr>
            <w:tcW w:w="140" w:type="dxa"/>
            <w:vAlign w:val="bottom"/>
            <w:gridSpan w:val="7"/>
          </w:tcPr>
          <w:p>
            <w:pPr>
              <w:spacing w:after="0"/>
              <w:rPr>
                <w:sz w:val="12"/>
                <w:szCs w:val="12"/>
                <w:color w:val="auto"/>
              </w:rPr>
            </w:pPr>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17"/>
          </w:tcPr>
          <w:p>
            <w:pPr>
              <w:spacing w:after="0" w:line="147" w:lineRule="exact"/>
              <w:rPr>
                <w:rFonts w:ascii="Arial" w:cs="Arial" w:eastAsia="Arial" w:hAnsi="Arial"/>
                <w:sz w:val="17"/>
                <w:szCs w:val="17"/>
                <w:color w:val="0000FF"/>
                <w:w w:val="91"/>
              </w:rPr>
            </w:pPr>
            <w:hyperlink r:id="rId451">
              <w:r>
                <w:rPr>
                  <w:rFonts w:ascii="Arial" w:cs="Arial" w:eastAsia="Arial" w:hAnsi="Arial"/>
                  <w:sz w:val="17"/>
                  <w:szCs w:val="17"/>
                  <w:color w:val="0000FF"/>
                  <w:w w:val="91"/>
                </w:rPr>
                <w:t>administrative agent, collateral agent and L/C issuer (incorporated by reference to Exhibit 10.11 to the Company’s Registration Statement on</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10"/>
          </w:tcPr>
          <w:p>
            <w:pPr>
              <w:spacing w:after="0"/>
              <w:rPr>
                <w:sz w:val="12"/>
                <w:szCs w:val="12"/>
                <w:color w:val="auto"/>
              </w:rPr>
            </w:pPr>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40" w:type="dxa"/>
            <w:vAlign w:val="bottom"/>
            <w:tcBorders>
              <w:bottom w:val="single" w:sz="8" w:color="0000FF"/>
            </w:tcBorders>
            <w:gridSpan w:val="9"/>
          </w:tcPr>
          <w:p>
            <w:pPr>
              <w:spacing w:after="0" w:line="147" w:lineRule="exact"/>
              <w:rPr>
                <w:rFonts w:ascii="Arial" w:cs="Arial" w:eastAsia="Arial" w:hAnsi="Arial"/>
                <w:sz w:val="17"/>
                <w:szCs w:val="17"/>
                <w:color w:val="0000FF"/>
                <w:w w:val="92"/>
              </w:rPr>
            </w:pPr>
            <w:hyperlink r:id="rId451">
              <w:r>
                <w:rPr>
                  <w:rFonts w:ascii="Arial" w:cs="Arial" w:eastAsia="Arial" w:hAnsi="Arial"/>
                  <w:sz w:val="17"/>
                  <w:szCs w:val="17"/>
                  <w:color w:val="0000FF"/>
                  <w:w w:val="92"/>
                </w:rPr>
                <w:t>Form S-1 (File No. 333-236674) filed with the SEC on February 27, 2020)</w:t>
              </w:r>
            </w:hyperlink>
          </w:p>
        </w:tc>
        <w:tc>
          <w:tcPr>
            <w:tcW w:w="452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10"/>
          </w:tcPr>
          <w:p>
            <w:pPr>
              <w:spacing w:after="0"/>
              <w:rPr>
                <w:sz w:val="12"/>
                <w:szCs w:val="12"/>
                <w:color w:val="auto"/>
              </w:rPr>
            </w:pPr>
          </w:p>
        </w:tc>
      </w:tr>
      <w:tr>
        <w:trPr>
          <w:trHeight w:val="199"/>
        </w:trPr>
        <w:tc>
          <w:tcPr>
            <w:tcW w:w="1220" w:type="dxa"/>
            <w:vAlign w:val="bottom"/>
          </w:tcPr>
          <w:p>
            <w:pPr>
              <w:ind w:left="20"/>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2"/>
          </w:tcPr>
          <w:p>
            <w:pPr>
              <w:spacing w:after="0"/>
              <w:rPr>
                <w:rFonts w:ascii="Arial" w:cs="Arial" w:eastAsia="Arial" w:hAnsi="Arial"/>
                <w:sz w:val="17"/>
                <w:szCs w:val="17"/>
                <w:color w:val="0000FF"/>
                <w:w w:val="94"/>
              </w:rPr>
            </w:pPr>
            <w:hyperlink r:id="rId452">
              <w:r>
                <w:rPr>
                  <w:rFonts w:ascii="Arial" w:cs="Arial" w:eastAsia="Arial" w:hAnsi="Arial"/>
                  <w:sz w:val="17"/>
                  <w:szCs w:val="17"/>
                  <w:color w:val="0000FF"/>
                  <w:w w:val="94"/>
                </w:rPr>
                <w:t>First Lien Security Agreement, dated as of February 1, 2019, among DiscoverOrg, LLC, DiscoverOrg Midco, LLC, the grantors party thereto</w:t>
              </w:r>
            </w:hyperlink>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2"/>
          </w:tcPr>
          <w:p>
            <w:pPr>
              <w:spacing w:after="0" w:line="147" w:lineRule="exact"/>
              <w:rPr>
                <w:rFonts w:ascii="Arial" w:cs="Arial" w:eastAsia="Arial" w:hAnsi="Arial"/>
                <w:sz w:val="17"/>
                <w:szCs w:val="17"/>
                <w:color w:val="0000FF"/>
                <w:w w:val="92"/>
              </w:rPr>
            </w:pPr>
            <w:hyperlink r:id="rId452">
              <w:r>
                <w:rPr>
                  <w:rFonts w:ascii="Arial" w:cs="Arial" w:eastAsia="Arial" w:hAnsi="Arial"/>
                  <w:sz w:val="17"/>
                  <w:szCs w:val="17"/>
                  <w:color w:val="0000FF"/>
                  <w:w w:val="92"/>
                </w:rPr>
                <w:t>from time to time and Morgan Stanley Senior Funding, Inc., as collateral agent (incorporated by reference to Exhibit 10.12 to the Company’s</w:t>
              </w:r>
            </w:hyperlink>
          </w:p>
        </w:tc>
        <w:tc>
          <w:tcPr>
            <w:tcW w:w="160" w:type="dxa"/>
            <w:vAlign w:val="bottom"/>
            <w:gridSpan w:val="10"/>
          </w:tcPr>
          <w:p>
            <w:pPr>
              <w:spacing w:after="0"/>
              <w:rPr>
                <w:sz w:val="12"/>
                <w:szCs w:val="12"/>
                <w:color w:val="auto"/>
              </w:rPr>
            </w:pPr>
          </w:p>
        </w:tc>
      </w:tr>
      <w:tr>
        <w:trPr>
          <w:trHeight w:val="147"/>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60" w:type="dxa"/>
            <w:vAlign w:val="bottom"/>
            <w:tcBorders>
              <w:top w:val="single" w:sz="8" w:color="0000FF"/>
              <w:bottom w:val="single" w:sz="8" w:color="0000FF"/>
            </w:tcBorders>
            <w:gridSpan w:val="11"/>
          </w:tcPr>
          <w:p>
            <w:pPr>
              <w:spacing w:after="0" w:line="147" w:lineRule="exact"/>
              <w:rPr>
                <w:rFonts w:ascii="Arial" w:cs="Arial" w:eastAsia="Arial" w:hAnsi="Arial"/>
                <w:sz w:val="17"/>
                <w:szCs w:val="17"/>
                <w:color w:val="0000FF"/>
                <w:w w:val="92"/>
              </w:rPr>
            </w:pPr>
            <w:hyperlink r:id="rId452">
              <w:r>
                <w:rPr>
                  <w:rFonts w:ascii="Arial" w:cs="Arial" w:eastAsia="Arial" w:hAnsi="Arial"/>
                  <w:sz w:val="17"/>
                  <w:szCs w:val="17"/>
                  <w:color w:val="0000FF"/>
                  <w:w w:val="92"/>
                </w:rPr>
                <w:t>Registration Statement on Form S-1 (File No. 333-236674) filed with the SEC on February 27, 2020)</w:t>
              </w:r>
            </w:hyperlink>
          </w:p>
        </w:tc>
        <w:tc>
          <w:tcPr>
            <w:tcW w:w="2720" w:type="dxa"/>
            <w:vAlign w:val="bottom"/>
            <w:tcBorders>
              <w:top w:val="single" w:sz="8" w:color="0000FF"/>
            </w:tcBorders>
            <w:gridSpan w:val="8"/>
          </w:tcPr>
          <w:p>
            <w:pPr>
              <w:spacing w:after="0"/>
              <w:rPr>
                <w:sz w:val="12"/>
                <w:szCs w:val="12"/>
                <w:color w:val="auto"/>
              </w:rPr>
            </w:pPr>
          </w:p>
        </w:tc>
        <w:tc>
          <w:tcPr>
            <w:tcW w:w="220" w:type="dxa"/>
            <w:vAlign w:val="bottom"/>
            <w:gridSpan w:val="13"/>
          </w:tcPr>
          <w:p>
            <w:pPr>
              <w:spacing w:after="0"/>
              <w:rPr>
                <w:sz w:val="12"/>
                <w:szCs w:val="12"/>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195"/>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10.13</w:t>
            </w:r>
          </w:p>
        </w:tc>
        <w:tc>
          <w:tcPr>
            <w:tcW w:w="9560" w:type="dxa"/>
            <w:vAlign w:val="bottom"/>
            <w:tcBorders>
              <w:bottom w:val="single" w:sz="8" w:color="0000FF"/>
            </w:tcBorders>
            <w:gridSpan w:val="16"/>
          </w:tcPr>
          <w:p>
            <w:pPr>
              <w:spacing w:after="0"/>
              <w:rPr>
                <w:rFonts w:ascii="Arial" w:cs="Arial" w:eastAsia="Arial" w:hAnsi="Arial"/>
                <w:sz w:val="17"/>
                <w:szCs w:val="17"/>
                <w:color w:val="0000FF"/>
                <w:w w:val="92"/>
              </w:rPr>
            </w:pPr>
            <w:hyperlink r:id="rId454">
              <w:r>
                <w:rPr>
                  <w:rFonts w:ascii="Arial" w:cs="Arial" w:eastAsia="Arial" w:hAnsi="Arial"/>
                  <w:sz w:val="17"/>
                  <w:szCs w:val="17"/>
                  <w:color w:val="0000FF"/>
                  <w:w w:val="92"/>
                </w:rPr>
                <w:t>First Lien Holdings Guaranty, dated as of February 1, 2019, among DiscoverOrg Midco, LLC and Morgan Stanley Senior Funding, Inc., as</w:t>
              </w:r>
            </w:hyperlink>
          </w:p>
        </w:tc>
        <w:tc>
          <w:tcPr>
            <w:tcW w:w="420" w:type="dxa"/>
            <w:vAlign w:val="bottom"/>
            <w:gridSpan w:val="18"/>
          </w:tcPr>
          <w:p>
            <w:pPr>
              <w:spacing w:after="0"/>
              <w:rPr>
                <w:sz w:val="16"/>
                <w:szCs w:val="16"/>
                <w:color w:val="auto"/>
              </w:rPr>
            </w:pPr>
          </w:p>
        </w:tc>
      </w:tr>
      <w:tr>
        <w:trPr>
          <w:trHeight w:val="147"/>
        </w:trPr>
        <w:tc>
          <w:tcPr>
            <w:tcW w:w="1320" w:type="dxa"/>
            <w:vAlign w:val="bottom"/>
          </w:tcPr>
          <w:p>
            <w:pPr>
              <w:spacing w:after="0"/>
              <w:rPr>
                <w:sz w:val="12"/>
                <w:szCs w:val="12"/>
                <w:color w:val="auto"/>
              </w:rPr>
            </w:pPr>
          </w:p>
        </w:tc>
        <w:tc>
          <w:tcPr>
            <w:tcW w:w="9980" w:type="dxa"/>
            <w:vAlign w:val="bottom"/>
            <w:gridSpan w:val="34"/>
          </w:tcPr>
          <w:p>
            <w:pPr>
              <w:spacing w:after="0" w:line="147" w:lineRule="exact"/>
              <w:rPr>
                <w:rFonts w:ascii="Arial" w:cs="Arial" w:eastAsia="Arial" w:hAnsi="Arial"/>
                <w:sz w:val="17"/>
                <w:szCs w:val="17"/>
                <w:color w:val="0000FF"/>
                <w:w w:val="93"/>
              </w:rPr>
            </w:pPr>
            <w:hyperlink r:id="rId454">
              <w:r>
                <w:rPr>
                  <w:rFonts w:ascii="Arial" w:cs="Arial" w:eastAsia="Arial" w:hAnsi="Arial"/>
                  <w:sz w:val="17"/>
                  <w:szCs w:val="17"/>
                  <w:color w:val="0000FF"/>
                  <w:w w:val="93"/>
                </w:rPr>
                <w:t>administrative agent (incorporated by reference to Exhibit 10.13 to the Company’s Registration Statement on Form S-1 (File No. 333-236674)</w:t>
              </w:r>
            </w:hyperlink>
          </w:p>
        </w:tc>
      </w:tr>
      <w:tr>
        <w:trPr>
          <w:trHeight w:val="147"/>
        </w:trPr>
        <w:tc>
          <w:tcPr>
            <w:tcW w:w="1320" w:type="dxa"/>
            <w:vAlign w:val="bottom"/>
          </w:tcPr>
          <w:p>
            <w:pPr>
              <w:spacing w:after="0"/>
              <w:rPr>
                <w:sz w:val="12"/>
                <w:szCs w:val="12"/>
                <w:color w:val="auto"/>
              </w:rPr>
            </w:pPr>
          </w:p>
        </w:tc>
        <w:tc>
          <w:tcPr>
            <w:tcW w:w="9860" w:type="dxa"/>
            <w:vAlign w:val="bottom"/>
            <w:tcBorders>
              <w:top w:val="single" w:sz="8" w:color="0000FF"/>
            </w:tcBorders>
            <w:gridSpan w:val="28"/>
          </w:tcPr>
          <w:p>
            <w:pPr>
              <w:spacing w:after="0" w:line="147" w:lineRule="exact"/>
              <w:rPr>
                <w:rFonts w:ascii="Arial" w:cs="Arial" w:eastAsia="Arial" w:hAnsi="Arial"/>
                <w:sz w:val="17"/>
                <w:szCs w:val="17"/>
                <w:color w:val="0000FF"/>
              </w:rPr>
            </w:pPr>
            <w:hyperlink r:id="rId454">
              <w:r>
                <w:rPr>
                  <w:rFonts w:ascii="Arial" w:cs="Arial" w:eastAsia="Arial" w:hAnsi="Arial"/>
                  <w:sz w:val="17"/>
                  <w:szCs w:val="17"/>
                  <w:color w:val="0000FF"/>
                </w:rPr>
                <w:t>filed with the SEC on February 27,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10.14</w:t>
            </w:r>
          </w:p>
        </w:tc>
        <w:tc>
          <w:tcPr>
            <w:tcW w:w="9980" w:type="dxa"/>
            <w:vAlign w:val="bottom"/>
            <w:gridSpan w:val="34"/>
          </w:tcPr>
          <w:p>
            <w:pPr>
              <w:spacing w:after="0"/>
              <w:rPr>
                <w:rFonts w:ascii="Arial" w:cs="Arial" w:eastAsia="Arial" w:hAnsi="Arial"/>
                <w:sz w:val="17"/>
                <w:szCs w:val="17"/>
                <w:color w:val="0000FF"/>
                <w:w w:val="92"/>
              </w:rPr>
            </w:pPr>
            <w:hyperlink r:id="rId455">
              <w:r>
                <w:rPr>
                  <w:rFonts w:ascii="Arial" w:cs="Arial" w:eastAsia="Arial" w:hAnsi="Arial"/>
                  <w:sz w:val="17"/>
                  <w:szCs w:val="17"/>
                  <w:color w:val="0000FF"/>
                  <w:w w:val="92"/>
                </w:rPr>
                <w:t>First Lien Subsidiary Guaranty, dated as of February 1, 2019, among the guarantors party thereto and Morgan Stanley Senior Funding, Inc., as</w:t>
              </w:r>
            </w:hyperlink>
          </w:p>
        </w:tc>
      </w:tr>
      <w:tr>
        <w:trPr>
          <w:trHeight w:val="147"/>
        </w:trPr>
        <w:tc>
          <w:tcPr>
            <w:tcW w:w="1320" w:type="dxa"/>
            <w:vAlign w:val="bottom"/>
          </w:tcPr>
          <w:p>
            <w:pPr>
              <w:spacing w:after="0"/>
              <w:rPr>
                <w:sz w:val="12"/>
                <w:szCs w:val="12"/>
                <w:color w:val="auto"/>
              </w:rPr>
            </w:pPr>
          </w:p>
        </w:tc>
        <w:tc>
          <w:tcPr>
            <w:tcW w:w="9820" w:type="dxa"/>
            <w:vAlign w:val="bottom"/>
            <w:tcBorders>
              <w:top w:val="single" w:sz="8" w:color="0000FF"/>
            </w:tcBorders>
            <w:gridSpan w:val="26"/>
          </w:tcPr>
          <w:p>
            <w:pPr>
              <w:spacing w:after="0" w:line="147" w:lineRule="exact"/>
              <w:rPr>
                <w:rFonts w:ascii="Arial" w:cs="Arial" w:eastAsia="Arial" w:hAnsi="Arial"/>
                <w:sz w:val="17"/>
                <w:szCs w:val="17"/>
                <w:color w:val="0000FF"/>
                <w:w w:val="92"/>
              </w:rPr>
            </w:pPr>
            <w:hyperlink r:id="rId455">
              <w:r>
                <w:rPr>
                  <w:rFonts w:ascii="Arial" w:cs="Arial" w:eastAsia="Arial" w:hAnsi="Arial"/>
                  <w:sz w:val="17"/>
                  <w:szCs w:val="17"/>
                  <w:color w:val="0000FF"/>
                  <w:w w:val="92"/>
                </w:rPr>
                <w:t>administrative agent (incorporated by reference to Exhibit 10.14 to the Company’s Registration Statement on Form S-1 (File No. 333-236674)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tcPr>
          <w:p>
            <w:pPr>
              <w:spacing w:after="0"/>
              <w:rPr>
                <w:sz w:val="12"/>
                <w:szCs w:val="12"/>
                <w:color w:val="auto"/>
              </w:rPr>
            </w:pPr>
          </w:p>
        </w:tc>
        <w:tc>
          <w:tcPr>
            <w:tcW w:w="9860" w:type="dxa"/>
            <w:vAlign w:val="bottom"/>
            <w:tcBorders>
              <w:top w:val="single" w:sz="8" w:color="0000FF"/>
            </w:tcBorders>
            <w:gridSpan w:val="28"/>
          </w:tcPr>
          <w:p>
            <w:pPr>
              <w:spacing w:after="0" w:line="147" w:lineRule="exact"/>
              <w:rPr>
                <w:rFonts w:ascii="Arial" w:cs="Arial" w:eastAsia="Arial" w:hAnsi="Arial"/>
                <w:sz w:val="17"/>
                <w:szCs w:val="17"/>
                <w:color w:val="0000FF"/>
              </w:rPr>
            </w:pPr>
            <w:hyperlink r:id="rId455">
              <w:r>
                <w:rPr>
                  <w:rFonts w:ascii="Arial" w:cs="Arial" w:eastAsia="Arial" w:hAnsi="Arial"/>
                  <w:sz w:val="17"/>
                  <w:szCs w:val="17"/>
                  <w:color w:val="0000FF"/>
                </w:rPr>
                <w:t>filed with the SEC on February 27,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10.15</w:t>
            </w:r>
          </w:p>
        </w:tc>
        <w:tc>
          <w:tcPr>
            <w:tcW w:w="9980" w:type="dxa"/>
            <w:vAlign w:val="bottom"/>
            <w:gridSpan w:val="34"/>
          </w:tcPr>
          <w:p>
            <w:pPr>
              <w:spacing w:after="0"/>
              <w:rPr>
                <w:rFonts w:ascii="Arial" w:cs="Arial" w:eastAsia="Arial" w:hAnsi="Arial"/>
                <w:sz w:val="17"/>
                <w:szCs w:val="17"/>
                <w:color w:val="0000FF"/>
                <w:w w:val="96"/>
              </w:rPr>
            </w:pPr>
            <w:hyperlink r:id="rId456">
              <w:r>
                <w:rPr>
                  <w:rFonts w:ascii="Arial" w:cs="Arial" w:eastAsia="Arial" w:hAnsi="Arial"/>
                  <w:sz w:val="17"/>
                  <w:szCs w:val="17"/>
                  <w:color w:val="0000FF"/>
                  <w:w w:val="96"/>
                </w:rPr>
                <w:t>First Lien Intercompany Subordination Agreement, dated as of February 1, 2019, among DiscoverOrg, LLC, DiscoverOrg Midco, LLC, the</w:t>
              </w:r>
            </w:hyperlink>
          </w:p>
        </w:tc>
      </w:tr>
      <w:tr>
        <w:trPr>
          <w:trHeight w:val="147"/>
        </w:trPr>
        <w:tc>
          <w:tcPr>
            <w:tcW w:w="1320" w:type="dxa"/>
            <w:vAlign w:val="bottom"/>
          </w:tcPr>
          <w:p>
            <w:pPr>
              <w:spacing w:after="0"/>
              <w:rPr>
                <w:sz w:val="12"/>
                <w:szCs w:val="12"/>
                <w:color w:val="auto"/>
              </w:rPr>
            </w:pPr>
          </w:p>
        </w:tc>
        <w:tc>
          <w:tcPr>
            <w:tcW w:w="9580" w:type="dxa"/>
            <w:vAlign w:val="bottom"/>
            <w:tcBorders>
              <w:top w:val="single" w:sz="8" w:color="0000FF"/>
            </w:tcBorders>
            <w:gridSpan w:val="17"/>
          </w:tcPr>
          <w:p>
            <w:pPr>
              <w:spacing w:after="0" w:line="147" w:lineRule="exact"/>
              <w:rPr>
                <w:rFonts w:ascii="Arial" w:cs="Arial" w:eastAsia="Arial" w:hAnsi="Arial"/>
                <w:sz w:val="17"/>
                <w:szCs w:val="17"/>
                <w:color w:val="0000FF"/>
                <w:w w:val="92"/>
              </w:rPr>
            </w:pPr>
            <w:hyperlink r:id="rId456">
              <w:r>
                <w:rPr>
                  <w:rFonts w:ascii="Arial" w:cs="Arial" w:eastAsia="Arial" w:hAnsi="Arial"/>
                  <w:sz w:val="17"/>
                  <w:szCs w:val="17"/>
                  <w:color w:val="0000FF"/>
                  <w:w w:val="92"/>
                </w:rPr>
                <w:t>subordinated creditors and obligors party thereto from time to time and Morgan Stanley Senior Funding, Inc., as administrative agent and</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tcPr>
          <w:p>
            <w:pPr>
              <w:spacing w:after="0"/>
              <w:rPr>
                <w:sz w:val="12"/>
                <w:szCs w:val="12"/>
                <w:color w:val="auto"/>
              </w:rPr>
            </w:pPr>
          </w:p>
        </w:tc>
        <w:tc>
          <w:tcPr>
            <w:tcW w:w="9440" w:type="dxa"/>
            <w:vAlign w:val="bottom"/>
            <w:tcBorders>
              <w:top w:val="single" w:sz="8" w:color="0000FF"/>
            </w:tcBorders>
            <w:gridSpan w:val="14"/>
          </w:tcPr>
          <w:p>
            <w:pPr>
              <w:spacing w:after="0" w:line="147" w:lineRule="exact"/>
              <w:rPr>
                <w:rFonts w:ascii="Arial" w:cs="Arial" w:eastAsia="Arial" w:hAnsi="Arial"/>
                <w:sz w:val="17"/>
                <w:szCs w:val="17"/>
                <w:color w:val="0000FF"/>
                <w:w w:val="91"/>
              </w:rPr>
            </w:pPr>
            <w:hyperlink r:id="rId456">
              <w:r>
                <w:rPr>
                  <w:rFonts w:ascii="Arial" w:cs="Arial" w:eastAsia="Arial" w:hAnsi="Arial"/>
                  <w:sz w:val="17"/>
                  <w:szCs w:val="17"/>
                  <w:color w:val="0000FF"/>
                  <w:w w:val="91"/>
                </w:rPr>
                <w:t>collateral agent (incorporated by reference to Exhibit 10.15 to the Company’s Registration Statement on Form S-1 (File No. 333-236674)</w:t>
              </w:r>
            </w:hyperlink>
          </w:p>
        </w:tc>
        <w:tc>
          <w:tcPr>
            <w:tcW w:w="540" w:type="dxa"/>
            <w:vAlign w:val="bottom"/>
            <w:gridSpan w:val="20"/>
          </w:tcPr>
          <w:p>
            <w:pPr>
              <w:ind w:left="40"/>
              <w:spacing w:after="0" w:line="147" w:lineRule="exact"/>
              <w:rPr>
                <w:rFonts w:ascii="Arial" w:cs="Arial" w:eastAsia="Arial" w:hAnsi="Arial"/>
                <w:sz w:val="17"/>
                <w:szCs w:val="17"/>
                <w:color w:val="0000FF"/>
              </w:rPr>
            </w:pPr>
            <w:hyperlink r:id="rId456">
              <w:r>
                <w:rPr>
                  <w:rFonts w:ascii="Arial" w:cs="Arial" w:eastAsia="Arial" w:hAnsi="Arial"/>
                  <w:sz w:val="17"/>
                  <w:szCs w:val="17"/>
                  <w:color w:val="0000FF"/>
                </w:rPr>
                <w:t>filed</w:t>
              </w:r>
            </w:hyperlink>
          </w:p>
        </w:tc>
      </w:tr>
      <w:tr>
        <w:trPr>
          <w:trHeight w:val="147"/>
        </w:trPr>
        <w:tc>
          <w:tcPr>
            <w:tcW w:w="1320" w:type="dxa"/>
            <w:vAlign w:val="bottom"/>
          </w:tcPr>
          <w:p>
            <w:pPr>
              <w:spacing w:after="0"/>
              <w:rPr>
                <w:sz w:val="12"/>
                <w:szCs w:val="12"/>
                <w:color w:val="auto"/>
              </w:rPr>
            </w:pPr>
          </w:p>
        </w:tc>
        <w:tc>
          <w:tcPr>
            <w:tcW w:w="9900" w:type="dxa"/>
            <w:vAlign w:val="bottom"/>
            <w:tcBorders>
              <w:top w:val="single" w:sz="8" w:color="0000FF"/>
            </w:tcBorders>
            <w:gridSpan w:val="30"/>
          </w:tcPr>
          <w:p>
            <w:pPr>
              <w:spacing w:after="0" w:line="147" w:lineRule="exact"/>
              <w:rPr>
                <w:rFonts w:ascii="Arial" w:cs="Arial" w:eastAsia="Arial" w:hAnsi="Arial"/>
                <w:sz w:val="17"/>
                <w:szCs w:val="17"/>
                <w:color w:val="0000FF"/>
              </w:rPr>
            </w:pPr>
            <w:hyperlink r:id="rId456">
              <w:r>
                <w:rPr>
                  <w:rFonts w:ascii="Arial" w:cs="Arial" w:eastAsia="Arial" w:hAnsi="Arial"/>
                  <w:sz w:val="17"/>
                  <w:szCs w:val="17"/>
                  <w:color w:val="0000FF"/>
                </w:rPr>
                <w:t>with the SEC on February 27,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10.16</w:t>
            </w:r>
          </w:p>
        </w:tc>
        <w:tc>
          <w:tcPr>
            <w:tcW w:w="9980" w:type="dxa"/>
            <w:vAlign w:val="bottom"/>
            <w:gridSpan w:val="34"/>
          </w:tcPr>
          <w:p>
            <w:pPr>
              <w:spacing w:after="0"/>
              <w:rPr>
                <w:rFonts w:ascii="Arial" w:cs="Arial" w:eastAsia="Arial" w:hAnsi="Arial"/>
                <w:sz w:val="17"/>
                <w:szCs w:val="17"/>
                <w:color w:val="0000FF"/>
                <w:w w:val="97"/>
              </w:rPr>
            </w:pPr>
            <w:hyperlink r:id="rId449">
              <w:r>
                <w:rPr>
                  <w:rFonts w:ascii="Arial" w:cs="Arial" w:eastAsia="Arial" w:hAnsi="Arial"/>
                  <w:sz w:val="17"/>
                  <w:szCs w:val="17"/>
                  <w:color w:val="0000FF"/>
                  <w:w w:val="97"/>
                </w:rPr>
                <w:t>Employment Agreement by and between ZoomInfo Technologies Inc., ZoomInfo OpCo and Henry Schuck (incorporated by reference to</w:t>
              </w:r>
            </w:hyperlink>
          </w:p>
        </w:tc>
      </w:tr>
      <w:tr>
        <w:trPr>
          <w:trHeight w:val="186"/>
        </w:trPr>
        <w:tc>
          <w:tcPr>
            <w:tcW w:w="1320" w:type="dxa"/>
            <w:vAlign w:val="bottom"/>
          </w:tcPr>
          <w:p>
            <w:pPr>
              <w:spacing w:after="0"/>
              <w:rPr>
                <w:sz w:val="16"/>
                <w:szCs w:val="16"/>
                <w:color w:val="auto"/>
              </w:rPr>
            </w:pPr>
          </w:p>
        </w:tc>
        <w:tc>
          <w:tcPr>
            <w:tcW w:w="9380" w:type="dxa"/>
            <w:vAlign w:val="bottom"/>
            <w:tcBorders>
              <w:top w:val="single" w:sz="8" w:color="0000FF"/>
            </w:tcBorders>
            <w:gridSpan w:val="11"/>
          </w:tcPr>
          <w:p>
            <w:pPr>
              <w:spacing w:after="0" w:line="186" w:lineRule="exact"/>
              <w:rPr>
                <w:rFonts w:ascii="Arial" w:cs="Arial" w:eastAsia="Arial" w:hAnsi="Arial"/>
                <w:sz w:val="17"/>
                <w:szCs w:val="17"/>
                <w:u w:val="single" w:color="auto"/>
                <w:color w:val="0000FF"/>
              </w:rPr>
            </w:pPr>
            <w:hyperlink r:id="rId449">
              <w:r>
                <w:rPr>
                  <w:rFonts w:ascii="Arial" w:cs="Arial" w:eastAsia="Arial" w:hAnsi="Arial"/>
                  <w:sz w:val="17"/>
                  <w:szCs w:val="17"/>
                  <w:u w:val="single" w:color="auto"/>
                  <w:color w:val="0000FF"/>
                </w:rPr>
                <w:t>Exhibit 10.9 to the Company’s Current Report on Form 8-K (File No. 001-39310) filed with the SEC on June 8, 2020)†</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320" w:type="dxa"/>
            <w:vAlign w:val="bottom"/>
          </w:tcPr>
          <w:p>
            <w:pPr>
              <w:jc w:val="right"/>
              <w:ind w:right="854"/>
              <w:spacing w:after="0" w:line="180" w:lineRule="exact"/>
              <w:rPr>
                <w:sz w:val="20"/>
                <w:szCs w:val="20"/>
                <w:color w:val="auto"/>
              </w:rPr>
            </w:pPr>
            <w:r>
              <w:rPr>
                <w:rFonts w:ascii="Arial" w:cs="Arial" w:eastAsia="Arial" w:hAnsi="Arial"/>
                <w:sz w:val="17"/>
                <w:szCs w:val="17"/>
                <w:color w:val="auto"/>
                <w:w w:val="84"/>
              </w:rPr>
              <w:t>10.17</w:t>
            </w:r>
          </w:p>
        </w:tc>
        <w:tc>
          <w:tcPr>
            <w:tcW w:w="9980" w:type="dxa"/>
            <w:vAlign w:val="bottom"/>
            <w:gridSpan w:val="34"/>
          </w:tcPr>
          <w:p>
            <w:pPr>
              <w:spacing w:after="0" w:line="180" w:lineRule="exact"/>
              <w:rPr>
                <w:rFonts w:ascii="Arial" w:cs="Arial" w:eastAsia="Arial" w:hAnsi="Arial"/>
                <w:sz w:val="17"/>
                <w:szCs w:val="17"/>
                <w:color w:val="0000FF"/>
                <w:w w:val="94"/>
              </w:rPr>
            </w:pPr>
            <w:hyperlink r:id="rId457">
              <w:r>
                <w:rPr>
                  <w:rFonts w:ascii="Arial" w:cs="Arial" w:eastAsia="Arial" w:hAnsi="Arial"/>
                  <w:sz w:val="17"/>
                  <w:szCs w:val="17"/>
                  <w:color w:val="0000FF"/>
                  <w:w w:val="94"/>
                </w:rPr>
                <w:t>Employment Agreement, dated August 10, 2020, by and between ZoomInfo Technologies Inc., ZoomInfo Technologies LLC and Christopher</w:t>
              </w:r>
            </w:hyperlink>
          </w:p>
        </w:tc>
      </w:tr>
      <w:tr>
        <w:trPr>
          <w:trHeight w:val="147"/>
        </w:trPr>
        <w:tc>
          <w:tcPr>
            <w:tcW w:w="1320" w:type="dxa"/>
            <w:vAlign w:val="bottom"/>
          </w:tcPr>
          <w:p>
            <w:pPr>
              <w:spacing w:after="0"/>
              <w:rPr>
                <w:sz w:val="12"/>
                <w:szCs w:val="12"/>
                <w:color w:val="auto"/>
              </w:rPr>
            </w:pPr>
          </w:p>
        </w:tc>
        <w:tc>
          <w:tcPr>
            <w:tcW w:w="9760" w:type="dxa"/>
            <w:vAlign w:val="bottom"/>
            <w:tcBorders>
              <w:top w:val="single" w:sz="8" w:color="0000FF"/>
            </w:tcBorders>
            <w:gridSpan w:val="23"/>
          </w:tcPr>
          <w:p>
            <w:pPr>
              <w:spacing w:after="0" w:line="147" w:lineRule="exact"/>
              <w:rPr>
                <w:rFonts w:ascii="Arial" w:cs="Arial" w:eastAsia="Arial" w:hAnsi="Arial"/>
                <w:sz w:val="17"/>
                <w:szCs w:val="17"/>
                <w:color w:val="0000FF"/>
                <w:w w:val="93"/>
              </w:rPr>
            </w:pPr>
            <w:hyperlink r:id="rId457">
              <w:r>
                <w:rPr>
                  <w:rFonts w:ascii="Arial" w:cs="Arial" w:eastAsia="Arial" w:hAnsi="Arial"/>
                  <w:sz w:val="17"/>
                  <w:szCs w:val="17"/>
                  <w:color w:val="0000FF"/>
                  <w:w w:val="93"/>
                </w:rPr>
                <w:t>Hays (incorporated by reference to Exhibit 10.20 to the Company’s Quarterly Report on Form 10-Q (File No. 001-39310) filed with the SEC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tcPr>
          <w:p>
            <w:pPr>
              <w:spacing w:after="0"/>
              <w:rPr>
                <w:sz w:val="12"/>
                <w:szCs w:val="12"/>
                <w:color w:val="auto"/>
              </w:rPr>
            </w:pPr>
          </w:p>
        </w:tc>
        <w:tc>
          <w:tcPr>
            <w:tcW w:w="1500" w:type="dxa"/>
            <w:vAlign w:val="bottom"/>
            <w:tcBorders>
              <w:top w:val="single" w:sz="8" w:color="0000FF"/>
              <w:bottom w:val="single" w:sz="8" w:color="0000FF"/>
            </w:tcBorders>
            <w:gridSpan w:val="3"/>
          </w:tcPr>
          <w:p>
            <w:pPr>
              <w:spacing w:after="0" w:line="147" w:lineRule="exact"/>
              <w:rPr>
                <w:rFonts w:ascii="Arial" w:cs="Arial" w:eastAsia="Arial" w:hAnsi="Arial"/>
                <w:sz w:val="17"/>
                <w:szCs w:val="17"/>
                <w:color w:val="0000FF"/>
                <w:w w:val="91"/>
              </w:rPr>
            </w:pPr>
            <w:hyperlink r:id="rId457">
              <w:r>
                <w:rPr>
                  <w:rFonts w:ascii="Arial" w:cs="Arial" w:eastAsia="Arial" w:hAnsi="Arial"/>
                  <w:sz w:val="17"/>
                  <w:szCs w:val="17"/>
                  <w:color w:val="0000FF"/>
                  <w:w w:val="91"/>
                </w:rPr>
                <w:t>on August 10, 2020)†</w:t>
              </w:r>
            </w:hyperlink>
          </w:p>
        </w:tc>
        <w:tc>
          <w:tcPr>
            <w:tcW w:w="818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10.18</w:t>
            </w:r>
          </w:p>
        </w:tc>
        <w:tc>
          <w:tcPr>
            <w:tcW w:w="9980" w:type="dxa"/>
            <w:vAlign w:val="bottom"/>
            <w:gridSpan w:val="34"/>
          </w:tcPr>
          <w:p>
            <w:pPr>
              <w:spacing w:after="0"/>
              <w:rPr>
                <w:rFonts w:ascii="Arial" w:cs="Arial" w:eastAsia="Arial" w:hAnsi="Arial"/>
                <w:sz w:val="17"/>
                <w:szCs w:val="17"/>
                <w:color w:val="0000FF"/>
                <w:w w:val="96"/>
              </w:rPr>
            </w:pPr>
            <w:hyperlink r:id="rId458">
              <w:r>
                <w:rPr>
                  <w:rFonts w:ascii="Arial" w:cs="Arial" w:eastAsia="Arial" w:hAnsi="Arial"/>
                  <w:sz w:val="17"/>
                  <w:szCs w:val="17"/>
                  <w:color w:val="0000FF"/>
                  <w:w w:val="96"/>
                </w:rPr>
                <w:t>Employment Agreement, dated December 21, 2018, by and between DiscoverOrg Data, LLC and Peter Cameron Hyzer (incorporated by</w:t>
              </w:r>
            </w:hyperlink>
          </w:p>
        </w:tc>
      </w:tr>
      <w:tr>
        <w:trPr>
          <w:trHeight w:val="147"/>
        </w:trPr>
        <w:tc>
          <w:tcPr>
            <w:tcW w:w="1320" w:type="dxa"/>
            <w:vAlign w:val="bottom"/>
          </w:tcPr>
          <w:p>
            <w:pPr>
              <w:spacing w:after="0"/>
              <w:rPr>
                <w:sz w:val="12"/>
                <w:szCs w:val="12"/>
                <w:color w:val="auto"/>
              </w:rPr>
            </w:pPr>
          </w:p>
        </w:tc>
        <w:tc>
          <w:tcPr>
            <w:tcW w:w="9400" w:type="dxa"/>
            <w:vAlign w:val="bottom"/>
            <w:tcBorders>
              <w:top w:val="single" w:sz="8" w:color="0000FF"/>
            </w:tcBorders>
            <w:gridSpan w:val="12"/>
          </w:tcPr>
          <w:p>
            <w:pPr>
              <w:spacing w:after="0" w:line="147" w:lineRule="exact"/>
              <w:rPr>
                <w:rFonts w:ascii="Arial" w:cs="Arial" w:eastAsia="Arial" w:hAnsi="Arial"/>
                <w:sz w:val="17"/>
                <w:szCs w:val="17"/>
                <w:color w:val="0000FF"/>
                <w:w w:val="92"/>
              </w:rPr>
            </w:pPr>
            <w:hyperlink r:id="rId458">
              <w:r>
                <w:rPr>
                  <w:rFonts w:ascii="Arial" w:cs="Arial" w:eastAsia="Arial" w:hAnsi="Arial"/>
                  <w:sz w:val="17"/>
                  <w:szCs w:val="17"/>
                  <w:color w:val="0000FF"/>
                  <w:w w:val="92"/>
                </w:rPr>
                <w:t>reference to Exhibit 10.25 to the Company’s Registration Statement on Form S-1 (File No. 333-236674) filed with the SEC on February</w:t>
              </w:r>
            </w:hyperlink>
          </w:p>
        </w:tc>
        <w:tc>
          <w:tcPr>
            <w:tcW w:w="300" w:type="dxa"/>
            <w:vAlign w:val="bottom"/>
            <w:gridSpan w:val="8"/>
          </w:tcPr>
          <w:p>
            <w:pPr>
              <w:jc w:val="right"/>
              <w:ind w:right="100"/>
              <w:spacing w:after="0" w:line="147" w:lineRule="exact"/>
              <w:rPr>
                <w:rFonts w:ascii="Arial" w:cs="Arial" w:eastAsia="Arial" w:hAnsi="Arial"/>
                <w:sz w:val="17"/>
                <w:szCs w:val="17"/>
                <w:color w:val="0000FF"/>
                <w:w w:val="75"/>
              </w:rPr>
            </w:pPr>
            <w:hyperlink r:id="rId458">
              <w:r>
                <w:rPr>
                  <w:rFonts w:ascii="Arial" w:cs="Arial" w:eastAsia="Arial" w:hAnsi="Arial"/>
                  <w:sz w:val="17"/>
                  <w:szCs w:val="17"/>
                  <w:color w:val="0000FF"/>
                  <w:w w:val="75"/>
                </w:rPr>
                <w:t>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tcPr>
          <w:p>
            <w:pPr>
              <w:spacing w:after="0"/>
              <w:rPr>
                <w:sz w:val="12"/>
                <w:szCs w:val="12"/>
                <w:color w:val="auto"/>
              </w:rPr>
            </w:pPr>
          </w:p>
        </w:tc>
        <w:tc>
          <w:tcPr>
            <w:tcW w:w="480" w:type="dxa"/>
            <w:vAlign w:val="bottom"/>
            <w:tcBorders>
              <w:top w:val="single" w:sz="8" w:color="0000FF"/>
              <w:bottom w:val="single" w:sz="8" w:color="0000FF"/>
            </w:tcBorders>
          </w:tcPr>
          <w:p>
            <w:pPr>
              <w:spacing w:after="0" w:line="147" w:lineRule="exact"/>
              <w:rPr>
                <w:rFonts w:ascii="Arial" w:cs="Arial" w:eastAsia="Arial" w:hAnsi="Arial"/>
                <w:sz w:val="17"/>
                <w:szCs w:val="17"/>
                <w:color w:val="0000FF"/>
                <w:w w:val="86"/>
              </w:rPr>
            </w:pPr>
            <w:hyperlink r:id="rId458">
              <w:r>
                <w:rPr>
                  <w:rFonts w:ascii="Arial" w:cs="Arial" w:eastAsia="Arial" w:hAnsi="Arial"/>
                  <w:sz w:val="17"/>
                  <w:szCs w:val="17"/>
                  <w:color w:val="0000FF"/>
                  <w:w w:val="86"/>
                </w:rPr>
                <w:t>2020)</w:t>
              </w:r>
              <w:r>
                <w:rPr>
                  <w:rFonts w:ascii="Arial" w:cs="Arial" w:eastAsia="Arial" w:hAnsi="Arial"/>
                  <w:sz w:val="17"/>
                  <w:szCs w:val="17"/>
                  <w:u w:val="single" w:color="auto"/>
                  <w:color w:val="0000FF"/>
                  <w:w w:val="86"/>
                </w:rPr>
                <w:t>†</w:t>
              </w:r>
            </w:hyperlink>
          </w:p>
        </w:tc>
        <w:tc>
          <w:tcPr>
            <w:tcW w:w="9120" w:type="dxa"/>
            <w:vAlign w:val="bottom"/>
            <w:tcBorders>
              <w:top w:val="single" w:sz="8" w:color="0000FF"/>
            </w:tcBorders>
            <w:gridSpan w:val="1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10.19</w:t>
            </w:r>
          </w:p>
        </w:tc>
        <w:tc>
          <w:tcPr>
            <w:tcW w:w="9980" w:type="dxa"/>
            <w:vAlign w:val="bottom"/>
            <w:gridSpan w:val="34"/>
          </w:tcPr>
          <w:p>
            <w:pPr>
              <w:spacing w:after="0"/>
              <w:rPr>
                <w:rFonts w:ascii="Arial" w:cs="Arial" w:eastAsia="Arial" w:hAnsi="Arial"/>
                <w:sz w:val="17"/>
                <w:szCs w:val="17"/>
                <w:color w:val="0000FF"/>
                <w:w w:val="94"/>
              </w:rPr>
            </w:pPr>
            <w:hyperlink r:id="rId459">
              <w:r>
                <w:rPr>
                  <w:rFonts w:ascii="Arial" w:cs="Arial" w:eastAsia="Arial" w:hAnsi="Arial"/>
                  <w:sz w:val="17"/>
                  <w:szCs w:val="17"/>
                  <w:color w:val="0000FF"/>
                  <w:w w:val="94"/>
                </w:rPr>
                <w:t>Form of HSKB Funds, LLC Subscription Agreement (incorporated by reference to Exhibit 10.26 to the Company’s Registration Statement on</w:t>
              </w:r>
            </w:hyperlink>
          </w:p>
        </w:tc>
      </w:tr>
      <w:tr>
        <w:trPr>
          <w:trHeight w:val="147"/>
        </w:trPr>
        <w:tc>
          <w:tcPr>
            <w:tcW w:w="1320" w:type="dxa"/>
            <w:vAlign w:val="bottom"/>
          </w:tcPr>
          <w:p>
            <w:pPr>
              <w:spacing w:after="0"/>
              <w:rPr>
                <w:sz w:val="12"/>
                <w:szCs w:val="12"/>
                <w:color w:val="auto"/>
              </w:rPr>
            </w:pPr>
          </w:p>
        </w:tc>
        <w:tc>
          <w:tcPr>
            <w:tcW w:w="5220" w:type="dxa"/>
            <w:vAlign w:val="bottom"/>
            <w:tcBorders>
              <w:top w:val="single" w:sz="8" w:color="0000FF"/>
              <w:bottom w:val="single" w:sz="8" w:color="0000FF"/>
            </w:tcBorders>
            <w:gridSpan w:val="7"/>
          </w:tcPr>
          <w:p>
            <w:pPr>
              <w:spacing w:after="0" w:line="147" w:lineRule="exact"/>
              <w:rPr>
                <w:rFonts w:ascii="Arial" w:cs="Arial" w:eastAsia="Arial" w:hAnsi="Arial"/>
                <w:sz w:val="17"/>
                <w:szCs w:val="17"/>
                <w:color w:val="0000FF"/>
                <w:w w:val="92"/>
              </w:rPr>
            </w:pPr>
            <w:hyperlink r:id="rId459">
              <w:r>
                <w:rPr>
                  <w:rFonts w:ascii="Arial" w:cs="Arial" w:eastAsia="Arial" w:hAnsi="Arial"/>
                  <w:sz w:val="17"/>
                  <w:szCs w:val="17"/>
                  <w:color w:val="0000FF"/>
                  <w:w w:val="92"/>
                </w:rPr>
                <w:t>Form S-1 (File No. 333-236674) filed with the SEC on February 27, 2020)†</w:t>
              </w:r>
            </w:hyperlink>
          </w:p>
        </w:tc>
        <w:tc>
          <w:tcPr>
            <w:tcW w:w="456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10.20</w:t>
            </w:r>
          </w:p>
        </w:tc>
        <w:tc>
          <w:tcPr>
            <w:tcW w:w="9980" w:type="dxa"/>
            <w:vAlign w:val="bottom"/>
            <w:gridSpan w:val="34"/>
          </w:tcPr>
          <w:p>
            <w:pPr>
              <w:spacing w:after="0"/>
              <w:rPr>
                <w:rFonts w:ascii="Arial" w:cs="Arial" w:eastAsia="Arial" w:hAnsi="Arial"/>
                <w:sz w:val="17"/>
                <w:szCs w:val="17"/>
                <w:color w:val="0000FF"/>
                <w:w w:val="94"/>
              </w:rPr>
            </w:pPr>
            <w:hyperlink r:id="rId460">
              <w:r>
                <w:rPr>
                  <w:rFonts w:ascii="Arial" w:cs="Arial" w:eastAsia="Arial" w:hAnsi="Arial"/>
                  <w:sz w:val="17"/>
                  <w:szCs w:val="17"/>
                  <w:color w:val="0000FF"/>
                  <w:w w:val="94"/>
                </w:rPr>
                <w:t>Form of Class P Incentive Unit Agreement (incorporated by reference to Exhibit 10.27 to the Company’s Registration Statement on Form S-1</w:t>
              </w:r>
            </w:hyperlink>
          </w:p>
        </w:tc>
      </w:tr>
      <w:tr>
        <w:trPr>
          <w:trHeight w:val="147"/>
        </w:trPr>
        <w:tc>
          <w:tcPr>
            <w:tcW w:w="1320" w:type="dxa"/>
            <w:vAlign w:val="bottom"/>
          </w:tcPr>
          <w:p>
            <w:pPr>
              <w:spacing w:after="0"/>
              <w:rPr>
                <w:sz w:val="12"/>
                <w:szCs w:val="12"/>
                <w:color w:val="auto"/>
              </w:rPr>
            </w:pPr>
          </w:p>
        </w:tc>
        <w:tc>
          <w:tcPr>
            <w:tcW w:w="9740" w:type="dxa"/>
            <w:vAlign w:val="bottom"/>
            <w:tcBorders>
              <w:top w:val="single" w:sz="8" w:color="0000FF"/>
            </w:tcBorders>
            <w:gridSpan w:val="22"/>
          </w:tcPr>
          <w:p>
            <w:pPr>
              <w:spacing w:after="0" w:line="147" w:lineRule="exact"/>
              <w:rPr>
                <w:rFonts w:ascii="Arial" w:cs="Arial" w:eastAsia="Arial" w:hAnsi="Arial"/>
                <w:sz w:val="17"/>
                <w:szCs w:val="17"/>
                <w:color w:val="0000FF"/>
              </w:rPr>
            </w:pPr>
            <w:hyperlink r:id="rId460">
              <w:r>
                <w:rPr>
                  <w:rFonts w:ascii="Arial" w:cs="Arial" w:eastAsia="Arial" w:hAnsi="Arial"/>
                  <w:sz w:val="17"/>
                  <w:szCs w:val="17"/>
                  <w:color w:val="0000FF"/>
                </w:rPr>
                <w:t>(File No. 333-236674) filed with the SEC on February 27, 2020)†</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10.21</w:t>
            </w:r>
          </w:p>
        </w:tc>
        <w:tc>
          <w:tcPr>
            <w:tcW w:w="9980" w:type="dxa"/>
            <w:vAlign w:val="bottom"/>
            <w:gridSpan w:val="34"/>
          </w:tcPr>
          <w:p>
            <w:pPr>
              <w:spacing w:after="0"/>
              <w:rPr>
                <w:rFonts w:ascii="Arial" w:cs="Arial" w:eastAsia="Arial" w:hAnsi="Arial"/>
                <w:sz w:val="17"/>
                <w:szCs w:val="17"/>
                <w:color w:val="0000FF"/>
                <w:w w:val="97"/>
              </w:rPr>
            </w:pPr>
            <w:hyperlink r:id="rId461">
              <w:r>
                <w:rPr>
                  <w:rFonts w:ascii="Arial" w:cs="Arial" w:eastAsia="Arial" w:hAnsi="Arial"/>
                  <w:sz w:val="17"/>
                  <w:szCs w:val="17"/>
                  <w:color w:val="0000FF"/>
                  <w:w w:val="97"/>
                </w:rPr>
                <w:t>Form of Standard Employee Stock Option Agreement under 2020 Omnibus Incentive Plan (incorporated by reference to Exhibit 10.28 to</w:t>
              </w:r>
            </w:hyperlink>
          </w:p>
        </w:tc>
      </w:tr>
      <w:tr>
        <w:trPr>
          <w:trHeight w:val="186"/>
        </w:trPr>
        <w:tc>
          <w:tcPr>
            <w:tcW w:w="1320" w:type="dxa"/>
            <w:vAlign w:val="bottom"/>
          </w:tcPr>
          <w:p>
            <w:pPr>
              <w:spacing w:after="0"/>
              <w:rPr>
                <w:sz w:val="16"/>
                <w:szCs w:val="16"/>
                <w:color w:val="auto"/>
              </w:rPr>
            </w:pPr>
          </w:p>
        </w:tc>
        <w:tc>
          <w:tcPr>
            <w:tcW w:w="9420" w:type="dxa"/>
            <w:vAlign w:val="bottom"/>
            <w:tcBorders>
              <w:top w:val="single" w:sz="8" w:color="0000FF"/>
            </w:tcBorders>
            <w:gridSpan w:val="13"/>
          </w:tcPr>
          <w:p>
            <w:pPr>
              <w:spacing w:after="0" w:line="186" w:lineRule="exact"/>
              <w:rPr>
                <w:rFonts w:ascii="Arial" w:cs="Arial" w:eastAsia="Arial" w:hAnsi="Arial"/>
                <w:sz w:val="17"/>
                <w:szCs w:val="17"/>
                <w:u w:val="single" w:color="auto"/>
                <w:color w:val="0000FF"/>
                <w:w w:val="93"/>
              </w:rPr>
            </w:pPr>
            <w:hyperlink r:id="rId461">
              <w:r>
                <w:rPr>
                  <w:rFonts w:ascii="Arial" w:cs="Arial" w:eastAsia="Arial" w:hAnsi="Arial"/>
                  <w:sz w:val="17"/>
                  <w:szCs w:val="17"/>
                  <w:u w:val="single" w:color="auto"/>
                  <w:color w:val="0000FF"/>
                  <w:w w:val="93"/>
                </w:rPr>
                <w:t>Amendment No. 2 to the Company’s Registration Statement on Form S-1 (File No. 333-236674) filed with the SEC on May 22, 2020)†</w:t>
              </w:r>
            </w:hyperlink>
          </w:p>
        </w:tc>
        <w:tc>
          <w:tcPr>
            <w:tcW w:w="120" w:type="dxa"/>
            <w:vAlign w:val="bottom"/>
            <w:gridSpan w:val="2"/>
          </w:tcPr>
          <w:p>
            <w:pPr>
              <w:spacing w:after="0"/>
              <w:rPr>
                <w:sz w:val="16"/>
                <w:szCs w:val="16"/>
                <w:color w:val="auto"/>
              </w:rPr>
            </w:pPr>
          </w:p>
        </w:tc>
        <w:tc>
          <w:tcPr>
            <w:tcW w:w="16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320" w:type="dxa"/>
            <w:vAlign w:val="bottom"/>
          </w:tcPr>
          <w:p>
            <w:pPr>
              <w:jc w:val="right"/>
              <w:ind w:right="854"/>
              <w:spacing w:after="0" w:line="180" w:lineRule="exact"/>
              <w:rPr>
                <w:sz w:val="20"/>
                <w:szCs w:val="20"/>
                <w:color w:val="auto"/>
              </w:rPr>
            </w:pPr>
            <w:r>
              <w:rPr>
                <w:rFonts w:ascii="Arial" w:cs="Arial" w:eastAsia="Arial" w:hAnsi="Arial"/>
                <w:sz w:val="17"/>
                <w:szCs w:val="17"/>
                <w:color w:val="auto"/>
                <w:w w:val="84"/>
              </w:rPr>
              <w:t>10.22</w:t>
            </w:r>
          </w:p>
        </w:tc>
        <w:tc>
          <w:tcPr>
            <w:tcW w:w="9980" w:type="dxa"/>
            <w:vAlign w:val="bottom"/>
            <w:gridSpan w:val="34"/>
          </w:tcPr>
          <w:p>
            <w:pPr>
              <w:spacing w:after="0" w:line="180" w:lineRule="exact"/>
              <w:rPr>
                <w:rFonts w:ascii="Arial" w:cs="Arial" w:eastAsia="Arial" w:hAnsi="Arial"/>
                <w:sz w:val="17"/>
                <w:szCs w:val="17"/>
                <w:color w:val="0000FF"/>
                <w:w w:val="99"/>
              </w:rPr>
            </w:pPr>
            <w:hyperlink r:id="rId462">
              <w:r>
                <w:rPr>
                  <w:rFonts w:ascii="Arial" w:cs="Arial" w:eastAsia="Arial" w:hAnsi="Arial"/>
                  <w:sz w:val="17"/>
                  <w:szCs w:val="17"/>
                  <w:color w:val="0000FF"/>
                  <w:w w:val="99"/>
                </w:rPr>
                <w:t>Form of Class P Unit Agreement for Henry Schuck under 2020 Omnibus Incentive Plan (incorporated by reference to Exhibit 10.29 to</w:t>
              </w:r>
            </w:hyperlink>
          </w:p>
        </w:tc>
      </w:tr>
      <w:tr>
        <w:trPr>
          <w:trHeight w:val="186"/>
        </w:trPr>
        <w:tc>
          <w:tcPr>
            <w:tcW w:w="1320" w:type="dxa"/>
            <w:vAlign w:val="bottom"/>
          </w:tcPr>
          <w:p>
            <w:pPr>
              <w:spacing w:after="0"/>
              <w:rPr>
                <w:sz w:val="16"/>
                <w:szCs w:val="16"/>
                <w:color w:val="auto"/>
              </w:rPr>
            </w:pPr>
          </w:p>
        </w:tc>
        <w:tc>
          <w:tcPr>
            <w:tcW w:w="9240" w:type="dxa"/>
            <w:vAlign w:val="bottom"/>
            <w:tcBorders>
              <w:top w:val="single" w:sz="8" w:color="0000FF"/>
            </w:tcBorders>
            <w:gridSpan w:val="10"/>
          </w:tcPr>
          <w:p>
            <w:pPr>
              <w:spacing w:after="0" w:line="186" w:lineRule="exact"/>
              <w:rPr>
                <w:rFonts w:ascii="Arial" w:cs="Arial" w:eastAsia="Arial" w:hAnsi="Arial"/>
                <w:sz w:val="17"/>
                <w:szCs w:val="17"/>
                <w:u w:val="single" w:color="auto"/>
                <w:color w:val="0000FF"/>
                <w:w w:val="91"/>
              </w:rPr>
            </w:pPr>
            <w:hyperlink r:id="rId462">
              <w:r>
                <w:rPr>
                  <w:rFonts w:ascii="Arial" w:cs="Arial" w:eastAsia="Arial" w:hAnsi="Arial"/>
                  <w:sz w:val="17"/>
                  <w:szCs w:val="17"/>
                  <w:u w:val="single" w:color="auto"/>
                  <w:color w:val="0000FF"/>
                  <w:w w:val="91"/>
                </w:rPr>
                <w:t>Amendment No. 2 to the Company’s Registration Statement on Form S-1 (File No. 333-236674) filed with the SEC on May 22, 2020)†</w:t>
              </w:r>
            </w:hyperlink>
          </w:p>
        </w:tc>
        <w:tc>
          <w:tcPr>
            <w:tcW w:w="300" w:type="dxa"/>
            <w:vAlign w:val="bottom"/>
            <w:gridSpan w:val="5"/>
          </w:tcPr>
          <w:p>
            <w:pPr>
              <w:spacing w:after="0"/>
              <w:rPr>
                <w:sz w:val="16"/>
                <w:szCs w:val="16"/>
                <w:color w:val="auto"/>
              </w:rPr>
            </w:pPr>
          </w:p>
        </w:tc>
        <w:tc>
          <w:tcPr>
            <w:tcW w:w="16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320" w:type="dxa"/>
            <w:vAlign w:val="bottom"/>
          </w:tcPr>
          <w:p>
            <w:pPr>
              <w:jc w:val="right"/>
              <w:ind w:right="854"/>
              <w:spacing w:after="0" w:line="180" w:lineRule="exact"/>
              <w:rPr>
                <w:sz w:val="20"/>
                <w:szCs w:val="20"/>
                <w:color w:val="auto"/>
              </w:rPr>
            </w:pPr>
            <w:r>
              <w:rPr>
                <w:rFonts w:ascii="Arial" w:cs="Arial" w:eastAsia="Arial" w:hAnsi="Arial"/>
                <w:sz w:val="17"/>
                <w:szCs w:val="17"/>
                <w:color w:val="auto"/>
                <w:w w:val="84"/>
              </w:rPr>
              <w:t>10.23</w:t>
            </w:r>
          </w:p>
        </w:tc>
        <w:tc>
          <w:tcPr>
            <w:tcW w:w="9980" w:type="dxa"/>
            <w:vAlign w:val="bottom"/>
            <w:gridSpan w:val="34"/>
          </w:tcPr>
          <w:p>
            <w:pPr>
              <w:spacing w:after="0" w:line="180" w:lineRule="exact"/>
              <w:rPr>
                <w:rFonts w:ascii="Arial" w:cs="Arial" w:eastAsia="Arial" w:hAnsi="Arial"/>
                <w:sz w:val="17"/>
                <w:szCs w:val="17"/>
                <w:color w:val="0000FF"/>
                <w:w w:val="96"/>
              </w:rPr>
            </w:pPr>
            <w:hyperlink r:id="rId463">
              <w:r>
                <w:rPr>
                  <w:rFonts w:ascii="Arial" w:cs="Arial" w:eastAsia="Arial" w:hAnsi="Arial"/>
                  <w:sz w:val="17"/>
                  <w:szCs w:val="17"/>
                  <w:color w:val="0000FF"/>
                  <w:w w:val="96"/>
                </w:rPr>
                <w:t>Form of Leverage Restoration Stock Option Agreement under 2020 Omnibus Incentive Plan (incorporated by reference to Exhibit 10.30 to</w:t>
              </w:r>
            </w:hyperlink>
          </w:p>
        </w:tc>
      </w:tr>
      <w:tr>
        <w:trPr>
          <w:trHeight w:val="186"/>
        </w:trPr>
        <w:tc>
          <w:tcPr>
            <w:tcW w:w="1320" w:type="dxa"/>
            <w:vAlign w:val="bottom"/>
          </w:tcPr>
          <w:p>
            <w:pPr>
              <w:spacing w:after="0"/>
              <w:rPr>
                <w:sz w:val="16"/>
                <w:szCs w:val="16"/>
                <w:color w:val="auto"/>
              </w:rPr>
            </w:pPr>
          </w:p>
        </w:tc>
        <w:tc>
          <w:tcPr>
            <w:tcW w:w="9540" w:type="dxa"/>
            <w:vAlign w:val="bottom"/>
            <w:tcBorders>
              <w:top w:val="single" w:sz="8" w:color="0000FF"/>
            </w:tcBorders>
            <w:gridSpan w:val="15"/>
          </w:tcPr>
          <w:p>
            <w:pPr>
              <w:spacing w:after="0" w:line="186" w:lineRule="exact"/>
              <w:rPr>
                <w:rFonts w:ascii="Arial" w:cs="Arial" w:eastAsia="Arial" w:hAnsi="Arial"/>
                <w:sz w:val="17"/>
                <w:szCs w:val="17"/>
                <w:u w:val="single" w:color="auto"/>
                <w:color w:val="0000FF"/>
                <w:w w:val="94"/>
              </w:rPr>
            </w:pPr>
            <w:hyperlink r:id="rId463">
              <w:r>
                <w:rPr>
                  <w:rFonts w:ascii="Arial" w:cs="Arial" w:eastAsia="Arial" w:hAnsi="Arial"/>
                  <w:sz w:val="17"/>
                  <w:szCs w:val="17"/>
                  <w:u w:val="single" w:color="auto"/>
                  <w:color w:val="0000FF"/>
                  <w:w w:val="94"/>
                </w:rPr>
                <w:t>Amendment No. 2 to the Company’s Registration Statement on Form S-1 (File No. 333-236674) filed with the SEC on May 22, 2020)†</w:t>
              </w:r>
            </w:hyperlink>
          </w:p>
        </w:tc>
        <w:tc>
          <w:tcPr>
            <w:tcW w:w="16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320" w:type="dxa"/>
            <w:vAlign w:val="bottom"/>
          </w:tcPr>
          <w:p>
            <w:pPr>
              <w:jc w:val="right"/>
              <w:ind w:right="854"/>
              <w:spacing w:after="0" w:line="180" w:lineRule="exact"/>
              <w:rPr>
                <w:sz w:val="20"/>
                <w:szCs w:val="20"/>
                <w:color w:val="auto"/>
              </w:rPr>
            </w:pPr>
            <w:r>
              <w:rPr>
                <w:rFonts w:ascii="Arial" w:cs="Arial" w:eastAsia="Arial" w:hAnsi="Arial"/>
                <w:sz w:val="17"/>
                <w:szCs w:val="17"/>
                <w:color w:val="auto"/>
                <w:w w:val="84"/>
              </w:rPr>
              <w:t>10.24</w:t>
            </w:r>
          </w:p>
        </w:tc>
        <w:tc>
          <w:tcPr>
            <w:tcW w:w="9980" w:type="dxa"/>
            <w:vAlign w:val="bottom"/>
            <w:gridSpan w:val="34"/>
          </w:tcPr>
          <w:p>
            <w:pPr>
              <w:spacing w:after="0" w:line="180" w:lineRule="exact"/>
              <w:rPr>
                <w:rFonts w:ascii="Arial" w:cs="Arial" w:eastAsia="Arial" w:hAnsi="Arial"/>
                <w:sz w:val="17"/>
                <w:szCs w:val="17"/>
                <w:color w:val="0000FF"/>
                <w:w w:val="93"/>
              </w:rPr>
            </w:pPr>
            <w:hyperlink r:id="rId464">
              <w:r>
                <w:rPr>
                  <w:rFonts w:ascii="Arial" w:cs="Arial" w:eastAsia="Arial" w:hAnsi="Arial"/>
                  <w:sz w:val="17"/>
                  <w:szCs w:val="17"/>
                  <w:color w:val="0000FF"/>
                  <w:w w:val="93"/>
                </w:rPr>
                <w:t>Form of Standard Employee Restricted Stock Unit Agreement under 2020 Omnibus Incentive Plan (incorporated by reference to Exhibit 10.31</w:t>
              </w:r>
            </w:hyperlink>
          </w:p>
        </w:tc>
      </w:tr>
      <w:tr>
        <w:trPr>
          <w:trHeight w:val="186"/>
        </w:trPr>
        <w:tc>
          <w:tcPr>
            <w:tcW w:w="1320" w:type="dxa"/>
            <w:vAlign w:val="bottom"/>
          </w:tcPr>
          <w:p>
            <w:pPr>
              <w:spacing w:after="0"/>
              <w:rPr>
                <w:sz w:val="16"/>
                <w:szCs w:val="16"/>
                <w:color w:val="auto"/>
              </w:rPr>
            </w:pPr>
          </w:p>
        </w:tc>
        <w:tc>
          <w:tcPr>
            <w:tcW w:w="9940" w:type="dxa"/>
            <w:vAlign w:val="bottom"/>
            <w:tcBorders>
              <w:top w:val="single" w:sz="8" w:color="0000FF"/>
            </w:tcBorders>
            <w:gridSpan w:val="32"/>
          </w:tcPr>
          <w:p>
            <w:pPr>
              <w:spacing w:after="0" w:line="186" w:lineRule="exact"/>
              <w:rPr>
                <w:rFonts w:ascii="Arial" w:cs="Arial" w:eastAsia="Arial" w:hAnsi="Arial"/>
                <w:sz w:val="17"/>
                <w:szCs w:val="17"/>
                <w:u w:val="single" w:color="auto"/>
                <w:color w:val="0000FF"/>
                <w:w w:val="96"/>
              </w:rPr>
            </w:pPr>
            <w:hyperlink r:id="rId464">
              <w:r>
                <w:rPr>
                  <w:rFonts w:ascii="Arial" w:cs="Arial" w:eastAsia="Arial" w:hAnsi="Arial"/>
                  <w:sz w:val="17"/>
                  <w:szCs w:val="17"/>
                  <w:u w:val="single" w:color="auto"/>
                  <w:color w:val="0000FF"/>
                  <w:w w:val="96"/>
                </w:rPr>
                <w:t>to Amendment No. 2 to the Company’s Registration Statement on Form S-1 (File No. 333-236674) filed with the SEC on May 22, 2020)†</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1320" w:type="dxa"/>
            <w:vAlign w:val="bottom"/>
          </w:tcPr>
          <w:p>
            <w:pPr>
              <w:jc w:val="right"/>
              <w:ind w:right="854"/>
              <w:spacing w:after="0" w:line="180" w:lineRule="exact"/>
              <w:rPr>
                <w:sz w:val="20"/>
                <w:szCs w:val="20"/>
                <w:color w:val="auto"/>
              </w:rPr>
            </w:pPr>
            <w:r>
              <w:rPr>
                <w:rFonts w:ascii="Arial" w:cs="Arial" w:eastAsia="Arial" w:hAnsi="Arial"/>
                <w:sz w:val="17"/>
                <w:szCs w:val="17"/>
                <w:color w:val="auto"/>
                <w:w w:val="84"/>
              </w:rPr>
              <w:t>10.25</w:t>
            </w:r>
          </w:p>
        </w:tc>
        <w:tc>
          <w:tcPr>
            <w:tcW w:w="9980" w:type="dxa"/>
            <w:vAlign w:val="bottom"/>
            <w:gridSpan w:val="34"/>
          </w:tcPr>
          <w:p>
            <w:pPr>
              <w:spacing w:after="0" w:line="180" w:lineRule="exact"/>
              <w:rPr>
                <w:rFonts w:ascii="Arial" w:cs="Arial" w:eastAsia="Arial" w:hAnsi="Arial"/>
                <w:sz w:val="17"/>
                <w:szCs w:val="17"/>
                <w:color w:val="0000FF"/>
                <w:w w:val="95"/>
              </w:rPr>
            </w:pPr>
            <w:hyperlink r:id="rId465">
              <w:r>
                <w:rPr>
                  <w:rFonts w:ascii="Arial" w:cs="Arial" w:eastAsia="Arial" w:hAnsi="Arial"/>
                  <w:sz w:val="17"/>
                  <w:szCs w:val="17"/>
                  <w:color w:val="0000FF"/>
                  <w:w w:val="95"/>
                </w:rPr>
                <w:t>Form of Non-Employee Director Annual Restricted Stock Unit Agreement under 2020 Omnibus Incentive Plan (incorporated by reference to</w:t>
              </w:r>
            </w:hyperlink>
          </w:p>
        </w:tc>
      </w:tr>
      <w:tr>
        <w:trPr>
          <w:trHeight w:val="147"/>
        </w:trPr>
        <w:tc>
          <w:tcPr>
            <w:tcW w:w="1320" w:type="dxa"/>
            <w:vAlign w:val="bottom"/>
          </w:tcPr>
          <w:p>
            <w:pPr>
              <w:spacing w:after="0"/>
              <w:rPr>
                <w:sz w:val="12"/>
                <w:szCs w:val="12"/>
                <w:color w:val="auto"/>
              </w:rPr>
            </w:pPr>
          </w:p>
        </w:tc>
        <w:tc>
          <w:tcPr>
            <w:tcW w:w="9720" w:type="dxa"/>
            <w:vAlign w:val="bottom"/>
            <w:tcBorders>
              <w:top w:val="single" w:sz="8" w:color="0000FF"/>
            </w:tcBorders>
            <w:gridSpan w:val="21"/>
          </w:tcPr>
          <w:p>
            <w:pPr>
              <w:spacing w:after="0" w:line="147" w:lineRule="exact"/>
              <w:rPr>
                <w:rFonts w:ascii="Arial" w:cs="Arial" w:eastAsia="Arial" w:hAnsi="Arial"/>
                <w:sz w:val="17"/>
                <w:szCs w:val="17"/>
                <w:color w:val="0000FF"/>
                <w:w w:val="93"/>
              </w:rPr>
            </w:pPr>
            <w:hyperlink r:id="rId465">
              <w:r>
                <w:rPr>
                  <w:rFonts w:ascii="Arial" w:cs="Arial" w:eastAsia="Arial" w:hAnsi="Arial"/>
                  <w:sz w:val="17"/>
                  <w:szCs w:val="17"/>
                  <w:color w:val="0000FF"/>
                  <w:w w:val="93"/>
                </w:rPr>
                <w:t>Exhibit 10.32 to Amendment No. 2 to the Company’s Registration Statement on Form S-1 (File No. 333-236674) filed with the SEC on May</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tcPr>
          <w:p>
            <w:pPr>
              <w:spacing w:after="0"/>
              <w:rPr>
                <w:sz w:val="12"/>
                <w:szCs w:val="12"/>
                <w:color w:val="auto"/>
              </w:rPr>
            </w:pPr>
          </w:p>
        </w:tc>
        <w:tc>
          <w:tcPr>
            <w:tcW w:w="740" w:type="dxa"/>
            <w:vAlign w:val="bottom"/>
            <w:tcBorders>
              <w:top w:val="single" w:sz="8" w:color="0000FF"/>
              <w:bottom w:val="single" w:sz="8" w:color="0000FF"/>
            </w:tcBorders>
            <w:gridSpan w:val="2"/>
          </w:tcPr>
          <w:p>
            <w:pPr>
              <w:spacing w:after="0" w:line="147" w:lineRule="exact"/>
              <w:rPr>
                <w:rFonts w:ascii="Arial" w:cs="Arial" w:eastAsia="Arial" w:hAnsi="Arial"/>
                <w:sz w:val="17"/>
                <w:szCs w:val="17"/>
                <w:color w:val="0000FF"/>
                <w:w w:val="88"/>
              </w:rPr>
            </w:pPr>
            <w:hyperlink r:id="rId465">
              <w:r>
                <w:rPr>
                  <w:rFonts w:ascii="Arial" w:cs="Arial" w:eastAsia="Arial" w:hAnsi="Arial"/>
                  <w:sz w:val="17"/>
                  <w:szCs w:val="17"/>
                  <w:color w:val="0000FF"/>
                  <w:w w:val="88"/>
                </w:rPr>
                <w:t>22, 2020)†</w:t>
              </w:r>
            </w:hyperlink>
          </w:p>
        </w:tc>
        <w:tc>
          <w:tcPr>
            <w:tcW w:w="8960" w:type="dxa"/>
            <w:vAlign w:val="bottom"/>
            <w:tcBorders>
              <w:top w:val="single" w:sz="8" w:color="0000FF"/>
            </w:tcBorders>
            <w:gridSpan w:val="18"/>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10.26</w:t>
            </w:r>
          </w:p>
        </w:tc>
        <w:tc>
          <w:tcPr>
            <w:tcW w:w="9980" w:type="dxa"/>
            <w:vAlign w:val="bottom"/>
            <w:gridSpan w:val="34"/>
          </w:tcPr>
          <w:p>
            <w:pPr>
              <w:spacing w:after="0"/>
              <w:rPr>
                <w:rFonts w:ascii="Arial" w:cs="Arial" w:eastAsia="Arial" w:hAnsi="Arial"/>
                <w:sz w:val="17"/>
                <w:szCs w:val="17"/>
                <w:color w:val="0000FF"/>
                <w:w w:val="94"/>
              </w:rPr>
            </w:pPr>
            <w:hyperlink r:id="rId466">
              <w:r>
                <w:rPr>
                  <w:rFonts w:ascii="Arial" w:cs="Arial" w:eastAsia="Arial" w:hAnsi="Arial"/>
                  <w:sz w:val="17"/>
                  <w:szCs w:val="17"/>
                  <w:color w:val="0000FF"/>
                  <w:w w:val="94"/>
                </w:rPr>
                <w:t>Form of Non-Employee Director Sign-On Restricted Stock Unit Agreement under 2020 Omnibus Incentive Plan (incorporated by reference to</w:t>
              </w:r>
            </w:hyperlink>
          </w:p>
        </w:tc>
      </w:tr>
      <w:tr>
        <w:trPr>
          <w:trHeight w:val="147"/>
        </w:trPr>
        <w:tc>
          <w:tcPr>
            <w:tcW w:w="1320" w:type="dxa"/>
            <w:vAlign w:val="bottom"/>
          </w:tcPr>
          <w:p>
            <w:pPr>
              <w:spacing w:after="0"/>
              <w:rPr>
                <w:sz w:val="12"/>
                <w:szCs w:val="12"/>
                <w:color w:val="auto"/>
              </w:rPr>
            </w:pPr>
          </w:p>
        </w:tc>
        <w:tc>
          <w:tcPr>
            <w:tcW w:w="9840" w:type="dxa"/>
            <w:vAlign w:val="bottom"/>
            <w:tcBorders>
              <w:top w:val="single" w:sz="8" w:color="0000FF"/>
            </w:tcBorders>
            <w:gridSpan w:val="27"/>
          </w:tcPr>
          <w:p>
            <w:pPr>
              <w:spacing w:after="0" w:line="147" w:lineRule="exact"/>
              <w:rPr>
                <w:rFonts w:ascii="Arial" w:cs="Arial" w:eastAsia="Arial" w:hAnsi="Arial"/>
                <w:sz w:val="17"/>
                <w:szCs w:val="17"/>
                <w:color w:val="0000FF"/>
                <w:w w:val="94"/>
              </w:rPr>
            </w:pPr>
            <w:hyperlink r:id="rId466">
              <w:r>
                <w:rPr>
                  <w:rFonts w:ascii="Arial" w:cs="Arial" w:eastAsia="Arial" w:hAnsi="Arial"/>
                  <w:sz w:val="17"/>
                  <w:szCs w:val="17"/>
                  <w:color w:val="0000FF"/>
                  <w:w w:val="94"/>
                </w:rPr>
                <w:t>Exhibit 10.33 to Amendment No. 2 to the Company’s Registration Statement on Form S-1 (File No. 333-236674) filed with the SEC on May</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1320" w:type="dxa"/>
            <w:vAlign w:val="bottom"/>
          </w:tcPr>
          <w:p>
            <w:pPr>
              <w:spacing w:after="0"/>
              <w:rPr>
                <w:sz w:val="12"/>
                <w:szCs w:val="12"/>
                <w:color w:val="auto"/>
              </w:rPr>
            </w:pPr>
          </w:p>
        </w:tc>
        <w:tc>
          <w:tcPr>
            <w:tcW w:w="740" w:type="dxa"/>
            <w:vAlign w:val="bottom"/>
            <w:tcBorders>
              <w:top w:val="single" w:sz="8" w:color="0000FF"/>
              <w:bottom w:val="single" w:sz="8" w:color="0000FF"/>
            </w:tcBorders>
            <w:gridSpan w:val="2"/>
          </w:tcPr>
          <w:p>
            <w:pPr>
              <w:spacing w:after="0" w:line="147" w:lineRule="exact"/>
              <w:rPr>
                <w:rFonts w:ascii="Arial" w:cs="Arial" w:eastAsia="Arial" w:hAnsi="Arial"/>
                <w:sz w:val="17"/>
                <w:szCs w:val="17"/>
                <w:color w:val="0000FF"/>
                <w:w w:val="88"/>
              </w:rPr>
            </w:pPr>
            <w:hyperlink r:id="rId466">
              <w:r>
                <w:rPr>
                  <w:rFonts w:ascii="Arial" w:cs="Arial" w:eastAsia="Arial" w:hAnsi="Arial"/>
                  <w:sz w:val="17"/>
                  <w:szCs w:val="17"/>
                  <w:color w:val="0000FF"/>
                  <w:w w:val="88"/>
                </w:rPr>
                <w:t>22, 2020)†</w:t>
              </w:r>
            </w:hyperlink>
          </w:p>
        </w:tc>
        <w:tc>
          <w:tcPr>
            <w:tcW w:w="8960" w:type="dxa"/>
            <w:vAlign w:val="bottom"/>
            <w:tcBorders>
              <w:top w:val="single" w:sz="8" w:color="0000FF"/>
            </w:tcBorders>
            <w:gridSpan w:val="18"/>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10.27</w:t>
            </w:r>
          </w:p>
        </w:tc>
        <w:tc>
          <w:tcPr>
            <w:tcW w:w="9980" w:type="dxa"/>
            <w:vAlign w:val="bottom"/>
            <w:gridSpan w:val="34"/>
          </w:tcPr>
          <w:p>
            <w:pPr>
              <w:spacing w:after="0"/>
              <w:rPr>
                <w:rFonts w:ascii="Arial" w:cs="Arial" w:eastAsia="Arial" w:hAnsi="Arial"/>
                <w:sz w:val="17"/>
                <w:szCs w:val="17"/>
                <w:color w:val="0000FF"/>
                <w:w w:val="94"/>
              </w:rPr>
            </w:pPr>
            <w:hyperlink r:id="rId467">
              <w:r>
                <w:rPr>
                  <w:rFonts w:ascii="Arial" w:cs="Arial" w:eastAsia="Arial" w:hAnsi="Arial"/>
                  <w:sz w:val="17"/>
                  <w:szCs w:val="17"/>
                  <w:color w:val="0000FF"/>
                  <w:w w:val="94"/>
                </w:rPr>
                <w:t>Form of Class P Unit Award Agreement under 2020 Omnibus Incentive Plan (incorporated by reference to Exhibit 10.34 to Amendment No. 2</w:t>
              </w:r>
            </w:hyperlink>
          </w:p>
        </w:tc>
      </w:tr>
      <w:tr>
        <w:trPr>
          <w:trHeight w:val="147"/>
        </w:trPr>
        <w:tc>
          <w:tcPr>
            <w:tcW w:w="1320" w:type="dxa"/>
            <w:vAlign w:val="bottom"/>
          </w:tcPr>
          <w:p>
            <w:pPr>
              <w:spacing w:after="0"/>
              <w:rPr>
                <w:sz w:val="12"/>
                <w:szCs w:val="12"/>
                <w:color w:val="auto"/>
              </w:rPr>
            </w:pPr>
          </w:p>
        </w:tc>
        <w:tc>
          <w:tcPr>
            <w:tcW w:w="8000" w:type="dxa"/>
            <w:vAlign w:val="bottom"/>
            <w:tcBorders>
              <w:top w:val="single" w:sz="8" w:color="0000FF"/>
              <w:bottom w:val="single" w:sz="8" w:color="0000FF"/>
            </w:tcBorders>
            <w:gridSpan w:val="9"/>
          </w:tcPr>
          <w:p>
            <w:pPr>
              <w:spacing w:after="0" w:line="147" w:lineRule="exact"/>
              <w:rPr>
                <w:rFonts w:ascii="Arial" w:cs="Arial" w:eastAsia="Arial" w:hAnsi="Arial"/>
                <w:sz w:val="17"/>
                <w:szCs w:val="17"/>
                <w:color w:val="0000FF"/>
                <w:w w:val="92"/>
              </w:rPr>
            </w:pPr>
            <w:hyperlink r:id="rId467">
              <w:r>
                <w:rPr>
                  <w:rFonts w:ascii="Arial" w:cs="Arial" w:eastAsia="Arial" w:hAnsi="Arial"/>
                  <w:sz w:val="17"/>
                  <w:szCs w:val="17"/>
                  <w:color w:val="0000FF"/>
                  <w:w w:val="92"/>
                </w:rPr>
                <w:t>to the Company’s Registration Statement on Form S-1 (File No. 333-236674) filed with the SEC on May 22, 2020)†</w:t>
              </w:r>
            </w:hyperlink>
          </w:p>
        </w:tc>
        <w:tc>
          <w:tcPr>
            <w:tcW w:w="1880" w:type="dxa"/>
            <w:vAlign w:val="bottom"/>
            <w:tcBorders>
              <w:top w:val="single" w:sz="8" w:color="0000FF"/>
            </w:tcBorders>
            <w:gridSpan w:val="20"/>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10.28</w:t>
            </w:r>
          </w:p>
        </w:tc>
        <w:tc>
          <w:tcPr>
            <w:tcW w:w="9980" w:type="dxa"/>
            <w:vAlign w:val="bottom"/>
            <w:gridSpan w:val="34"/>
          </w:tcPr>
          <w:p>
            <w:pPr>
              <w:spacing w:after="0"/>
              <w:rPr>
                <w:rFonts w:ascii="Arial" w:cs="Arial" w:eastAsia="Arial" w:hAnsi="Arial"/>
                <w:sz w:val="17"/>
                <w:szCs w:val="17"/>
                <w:color w:val="0000FF"/>
                <w:w w:val="94"/>
              </w:rPr>
            </w:pPr>
            <w:hyperlink r:id="rId468">
              <w:r>
                <w:rPr>
                  <w:rFonts w:ascii="Arial" w:cs="Arial" w:eastAsia="Arial" w:hAnsi="Arial"/>
                  <w:sz w:val="17"/>
                  <w:szCs w:val="17"/>
                  <w:color w:val="0000FF"/>
                  <w:w w:val="94"/>
                </w:rPr>
                <w:t>Form of LTIP Unit Award Agreement under 2020 Omnibus Incentive Plan (incorporated by reference to Exhibit 10.35 to Amendment No. 2 to</w:t>
              </w:r>
            </w:hyperlink>
          </w:p>
        </w:tc>
      </w:tr>
      <w:tr>
        <w:trPr>
          <w:trHeight w:val="147"/>
        </w:trPr>
        <w:tc>
          <w:tcPr>
            <w:tcW w:w="1320" w:type="dxa"/>
            <w:vAlign w:val="bottom"/>
          </w:tcPr>
          <w:p>
            <w:pPr>
              <w:spacing w:after="0"/>
              <w:rPr>
                <w:sz w:val="12"/>
                <w:szCs w:val="12"/>
                <w:color w:val="auto"/>
              </w:rPr>
            </w:pPr>
          </w:p>
        </w:tc>
        <w:tc>
          <w:tcPr>
            <w:tcW w:w="7820" w:type="dxa"/>
            <w:vAlign w:val="bottom"/>
            <w:tcBorders>
              <w:top w:val="single" w:sz="8" w:color="0000FF"/>
              <w:bottom w:val="single" w:sz="8" w:color="0000FF"/>
            </w:tcBorders>
            <w:gridSpan w:val="8"/>
          </w:tcPr>
          <w:p>
            <w:pPr>
              <w:spacing w:after="0" w:line="147" w:lineRule="exact"/>
              <w:rPr>
                <w:rFonts w:ascii="Arial" w:cs="Arial" w:eastAsia="Arial" w:hAnsi="Arial"/>
                <w:sz w:val="17"/>
                <w:szCs w:val="17"/>
                <w:color w:val="0000FF"/>
                <w:w w:val="92"/>
              </w:rPr>
            </w:pPr>
            <w:hyperlink r:id="rId468">
              <w:r>
                <w:rPr>
                  <w:rFonts w:ascii="Arial" w:cs="Arial" w:eastAsia="Arial" w:hAnsi="Arial"/>
                  <w:sz w:val="17"/>
                  <w:szCs w:val="17"/>
                  <w:color w:val="0000FF"/>
                  <w:w w:val="92"/>
                </w:rPr>
                <w:t>the Company’s Registration Statement on Form S-1 (File No. 333-236674) filed with the SEC on May 22, 2020)†</w:t>
              </w:r>
            </w:hyperlink>
          </w:p>
        </w:tc>
        <w:tc>
          <w:tcPr>
            <w:tcW w:w="2100" w:type="dxa"/>
            <w:vAlign w:val="bottom"/>
            <w:tcBorders>
              <w:top w:val="single" w:sz="8" w:color="0000FF"/>
            </w:tcBorders>
            <w:gridSpan w:val="2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9"/>
        </w:trPr>
        <w:tc>
          <w:tcPr>
            <w:tcW w:w="1320" w:type="dxa"/>
            <w:vAlign w:val="bottom"/>
          </w:tcPr>
          <w:p>
            <w:pPr>
              <w:jc w:val="right"/>
              <w:ind w:right="854"/>
              <w:spacing w:after="0"/>
              <w:rPr>
                <w:sz w:val="20"/>
                <w:szCs w:val="20"/>
                <w:color w:val="auto"/>
              </w:rPr>
            </w:pPr>
            <w:r>
              <w:rPr>
                <w:rFonts w:ascii="Arial" w:cs="Arial" w:eastAsia="Arial" w:hAnsi="Arial"/>
                <w:sz w:val="17"/>
                <w:szCs w:val="17"/>
                <w:color w:val="auto"/>
                <w:w w:val="84"/>
              </w:rPr>
              <w:t>10.29</w:t>
            </w:r>
          </w:p>
        </w:tc>
        <w:tc>
          <w:tcPr>
            <w:tcW w:w="9800" w:type="dxa"/>
            <w:vAlign w:val="bottom"/>
            <w:tcBorders>
              <w:bottom w:val="single" w:sz="8" w:color="0000FF"/>
            </w:tcBorders>
            <w:gridSpan w:val="25"/>
          </w:tcPr>
          <w:p>
            <w:pPr>
              <w:spacing w:after="0"/>
              <w:rPr>
                <w:rFonts w:ascii="Arial" w:cs="Arial" w:eastAsia="Arial" w:hAnsi="Arial"/>
                <w:sz w:val="17"/>
                <w:szCs w:val="17"/>
                <w:color w:val="0000FF"/>
                <w:w w:val="92"/>
              </w:rPr>
            </w:pPr>
            <w:hyperlink r:id="rId469">
              <w:r>
                <w:rPr>
                  <w:rFonts w:ascii="Arial" w:cs="Arial" w:eastAsia="Arial" w:hAnsi="Arial"/>
                  <w:sz w:val="17"/>
                  <w:szCs w:val="17"/>
                  <w:color w:val="0000FF"/>
                  <w:w w:val="92"/>
                </w:rPr>
                <w:t>Form of Restrictive Covenant Agreement Exhibit to Employee Equity Awards under 2020 Omnibus Incentive Plan (incorporated by reference</w:t>
              </w:r>
            </w:hyperlink>
          </w:p>
        </w:tc>
        <w:tc>
          <w:tcPr>
            <w:tcW w:w="180" w:type="dxa"/>
            <w:vAlign w:val="bottom"/>
            <w:gridSpan w:val="9"/>
          </w:tcPr>
          <w:p>
            <w:pPr>
              <w:spacing w:after="0"/>
              <w:rPr>
                <w:sz w:val="17"/>
                <w:szCs w:val="17"/>
                <w:color w:val="auto"/>
              </w:rPr>
            </w:pPr>
          </w:p>
        </w:tc>
      </w:tr>
      <w:tr>
        <w:trPr>
          <w:trHeight w:val="147"/>
        </w:trPr>
        <w:tc>
          <w:tcPr>
            <w:tcW w:w="1320" w:type="dxa"/>
            <w:vAlign w:val="bottom"/>
          </w:tcPr>
          <w:p>
            <w:pPr>
              <w:spacing w:after="0"/>
              <w:rPr>
                <w:sz w:val="12"/>
                <w:szCs w:val="12"/>
                <w:color w:val="auto"/>
              </w:rPr>
            </w:pPr>
          </w:p>
        </w:tc>
        <w:tc>
          <w:tcPr>
            <w:tcW w:w="9980" w:type="dxa"/>
            <w:vAlign w:val="bottom"/>
            <w:gridSpan w:val="34"/>
          </w:tcPr>
          <w:p>
            <w:pPr>
              <w:spacing w:after="0" w:line="147" w:lineRule="exact"/>
              <w:rPr>
                <w:rFonts w:ascii="Arial" w:cs="Arial" w:eastAsia="Arial" w:hAnsi="Arial"/>
                <w:sz w:val="17"/>
                <w:szCs w:val="17"/>
                <w:color w:val="0000FF"/>
                <w:w w:val="93"/>
              </w:rPr>
            </w:pPr>
            <w:hyperlink r:id="rId469">
              <w:r>
                <w:rPr>
                  <w:rFonts w:ascii="Arial" w:cs="Arial" w:eastAsia="Arial" w:hAnsi="Arial"/>
                  <w:sz w:val="17"/>
                  <w:szCs w:val="17"/>
                  <w:color w:val="0000FF"/>
                  <w:w w:val="93"/>
                </w:rPr>
                <w:t>to Exhibit 10.36 to Amendment No. 2 to the Company’s Registration Statement on Form S-1 (File No. 333-236674) filed with the SEC on May</w:t>
              </w:r>
            </w:hyperlink>
          </w:p>
        </w:tc>
      </w:tr>
      <w:tr>
        <w:trPr>
          <w:trHeight w:val="147"/>
        </w:trPr>
        <w:tc>
          <w:tcPr>
            <w:tcW w:w="1320" w:type="dxa"/>
            <w:vAlign w:val="bottom"/>
          </w:tcPr>
          <w:p>
            <w:pPr>
              <w:spacing w:after="0"/>
              <w:rPr>
                <w:sz w:val="12"/>
                <w:szCs w:val="12"/>
                <w:color w:val="auto"/>
              </w:rPr>
            </w:pPr>
          </w:p>
        </w:tc>
        <w:tc>
          <w:tcPr>
            <w:tcW w:w="740" w:type="dxa"/>
            <w:vAlign w:val="bottom"/>
            <w:tcBorders>
              <w:top w:val="single" w:sz="8" w:color="0000FF"/>
              <w:bottom w:val="single" w:sz="8" w:color="0000FF"/>
            </w:tcBorders>
            <w:gridSpan w:val="2"/>
          </w:tcPr>
          <w:p>
            <w:pPr>
              <w:spacing w:after="0" w:line="147" w:lineRule="exact"/>
              <w:rPr>
                <w:rFonts w:ascii="Arial" w:cs="Arial" w:eastAsia="Arial" w:hAnsi="Arial"/>
                <w:sz w:val="17"/>
                <w:szCs w:val="17"/>
                <w:color w:val="0000FF"/>
                <w:w w:val="88"/>
              </w:rPr>
            </w:pPr>
            <w:hyperlink r:id="rId469">
              <w:r>
                <w:rPr>
                  <w:rFonts w:ascii="Arial" w:cs="Arial" w:eastAsia="Arial" w:hAnsi="Arial"/>
                  <w:sz w:val="17"/>
                  <w:szCs w:val="17"/>
                  <w:color w:val="0000FF"/>
                  <w:w w:val="88"/>
                </w:rPr>
                <w:t>22, 2020)†</w:t>
              </w:r>
            </w:hyperlink>
          </w:p>
        </w:tc>
        <w:tc>
          <w:tcPr>
            <w:tcW w:w="922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423545</wp:posOffset>
            </wp:positionV>
            <wp:extent cx="7138670" cy="165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80"/>
          </w:cols>
          <w:pgMar w:left="340" w:top="1386" w:right="379" w:bottom="1440" w:gutter="0" w:footer="0" w:header="0"/>
        </w:sectPr>
      </w:pPr>
    </w:p>
    <w:bookmarkStart w:id="324" w:name="page325"/>
    <w:bookmarkEnd w:id="324"/>
    <w:tbl>
      <w:tblPr>
        <w:tblLayout w:type="fixed"/>
        <w:tblInd w:w="2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auto"/>
              </w:rPr>
              <w:t>21.1</w:t>
            </w:r>
          </w:p>
        </w:tc>
        <w:tc>
          <w:tcPr>
            <w:tcW w:w="9740" w:type="dxa"/>
            <w:vAlign w:val="bottom"/>
            <w:gridSpan w:val="5"/>
          </w:tcPr>
          <w:p>
            <w:pPr>
              <w:spacing w:after="0"/>
              <w:rPr>
                <w:rFonts w:ascii="Arial" w:cs="Arial" w:eastAsia="Arial" w:hAnsi="Arial"/>
                <w:sz w:val="17"/>
                <w:szCs w:val="17"/>
                <w:color w:val="0000FF"/>
                <w:w w:val="91"/>
              </w:rPr>
            </w:pPr>
            <w:hyperlink r:id="rId471">
              <w:r>
                <w:rPr>
                  <w:rFonts w:ascii="Arial" w:cs="Arial" w:eastAsia="Arial" w:hAnsi="Arial"/>
                  <w:sz w:val="17"/>
                  <w:szCs w:val="17"/>
                  <w:u w:val="single" w:color="auto"/>
                  <w:color w:val="0000FF"/>
                  <w:w w:val="91"/>
                </w:rPr>
                <w:t>Subsidiaries of the Registrant</w:t>
              </w:r>
              <w:r>
                <w:rPr>
                  <w:rFonts w:ascii="Arial" w:cs="Arial" w:eastAsia="Arial" w:hAnsi="Arial"/>
                  <w:sz w:val="17"/>
                  <w:szCs w:val="17"/>
                  <w:color w:val="0000FF"/>
                  <w:w w:val="91"/>
                </w:rPr>
                <w:t xml:space="preserve"> (incorporated by reference to Exhibit 21.1 to the Company’s Registration Statement on Form S-1 (File No. 333-</w:t>
              </w:r>
            </w:hyperlink>
          </w:p>
        </w:tc>
      </w:tr>
      <w:tr>
        <w:trPr>
          <w:trHeight w:val="20"/>
        </w:trPr>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180" w:type="dxa"/>
            <w:vAlign w:val="bottom"/>
            <w:shd w:val="clear" w:color="auto" w:fill="0000FF"/>
          </w:tcPr>
          <w:p>
            <w:pPr>
              <w:spacing w:after="0" w:line="20" w:lineRule="exact"/>
              <w:rPr>
                <w:sz w:val="1"/>
                <w:szCs w:val="1"/>
                <w:color w:val="auto"/>
              </w:rPr>
            </w:pPr>
          </w:p>
        </w:tc>
      </w:tr>
      <w:tr>
        <w:trPr>
          <w:trHeight w:val="147"/>
        </w:trPr>
        <w:tc>
          <w:tcPr>
            <w:tcW w:w="1320" w:type="dxa"/>
            <w:vAlign w:val="bottom"/>
          </w:tcPr>
          <w:p>
            <w:pPr>
              <w:spacing w:after="0"/>
              <w:rPr>
                <w:sz w:val="12"/>
                <w:szCs w:val="12"/>
                <w:color w:val="auto"/>
              </w:rPr>
            </w:pPr>
          </w:p>
        </w:tc>
        <w:tc>
          <w:tcPr>
            <w:tcW w:w="9740" w:type="dxa"/>
            <w:vAlign w:val="bottom"/>
            <w:gridSpan w:val="5"/>
          </w:tcPr>
          <w:p>
            <w:pPr>
              <w:spacing w:after="0" w:line="147" w:lineRule="exact"/>
              <w:rPr>
                <w:rFonts w:ascii="Arial" w:cs="Arial" w:eastAsia="Arial" w:hAnsi="Arial"/>
                <w:sz w:val="17"/>
                <w:szCs w:val="17"/>
                <w:color w:val="0000FF"/>
              </w:rPr>
            </w:pPr>
            <w:hyperlink r:id="rId471">
              <w:r>
                <w:rPr>
                  <w:rFonts w:ascii="Arial" w:cs="Arial" w:eastAsia="Arial" w:hAnsi="Arial"/>
                  <w:sz w:val="17"/>
                  <w:szCs w:val="17"/>
                  <w:color w:val="0000FF"/>
                </w:rPr>
                <w:t>250905) filed with the SEC on November 24, 2020)</w:t>
              </w:r>
            </w:hyperlink>
          </w:p>
        </w:tc>
      </w:tr>
      <w:tr>
        <w:trPr>
          <w:trHeight w:val="199"/>
        </w:trPr>
        <w:tc>
          <w:tcPr>
            <w:tcW w:w="1320" w:type="dxa"/>
            <w:vAlign w:val="bottom"/>
          </w:tcPr>
          <w:p>
            <w:pPr>
              <w:spacing w:after="0"/>
              <w:rPr>
                <w:sz w:val="20"/>
                <w:szCs w:val="20"/>
                <w:color w:val="auto"/>
              </w:rPr>
            </w:pPr>
            <w:r>
              <w:rPr>
                <w:rFonts w:ascii="Arial" w:cs="Arial" w:eastAsia="Arial" w:hAnsi="Arial"/>
                <w:sz w:val="17"/>
                <w:szCs w:val="17"/>
                <w:color w:val="auto"/>
              </w:rPr>
              <w:t>23.1</w:t>
            </w:r>
          </w:p>
        </w:tc>
        <w:tc>
          <w:tcPr>
            <w:tcW w:w="3560" w:type="dxa"/>
            <w:vAlign w:val="bottom"/>
            <w:tcBorders>
              <w:top w:val="single" w:sz="8" w:color="0000FF"/>
            </w:tcBorders>
            <w:gridSpan w:val="4"/>
          </w:tcPr>
          <w:p>
            <w:pPr>
              <w:spacing w:after="0"/>
              <w:rPr>
                <w:rFonts w:ascii="Arial" w:cs="Arial" w:eastAsia="Arial" w:hAnsi="Arial"/>
                <w:sz w:val="17"/>
                <w:szCs w:val="17"/>
                <w:color w:val="0000FF"/>
              </w:rPr>
            </w:pPr>
            <w:hyperlink w:anchor="page392">
              <w:r>
                <w:rPr>
                  <w:rFonts w:ascii="Arial" w:cs="Arial" w:eastAsia="Arial" w:hAnsi="Arial"/>
                  <w:sz w:val="17"/>
                  <w:szCs w:val="17"/>
                  <w:color w:val="0000FF"/>
                </w:rPr>
                <w:t>Consent of KPMG LLP</w:t>
              </w:r>
            </w:hyperlink>
          </w:p>
        </w:tc>
        <w:tc>
          <w:tcPr>
            <w:tcW w:w="618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r>
      <w:tr>
        <w:trPr>
          <w:trHeight w:val="199"/>
        </w:trPr>
        <w:tc>
          <w:tcPr>
            <w:tcW w:w="1320" w:type="dxa"/>
            <w:vAlign w:val="bottom"/>
          </w:tcPr>
          <w:p>
            <w:pPr>
              <w:spacing w:after="0"/>
              <w:rPr>
                <w:sz w:val="20"/>
                <w:szCs w:val="20"/>
                <w:color w:val="auto"/>
              </w:rPr>
            </w:pPr>
            <w:r>
              <w:rPr>
                <w:rFonts w:ascii="Arial" w:cs="Arial" w:eastAsia="Arial" w:hAnsi="Arial"/>
                <w:sz w:val="17"/>
                <w:szCs w:val="17"/>
                <w:color w:val="auto"/>
              </w:rPr>
              <w:t>23.2</w:t>
            </w:r>
          </w:p>
        </w:tc>
        <w:tc>
          <w:tcPr>
            <w:tcW w:w="9740" w:type="dxa"/>
            <w:vAlign w:val="bottom"/>
            <w:gridSpan w:val="5"/>
          </w:tcPr>
          <w:p>
            <w:pPr>
              <w:spacing w:after="0"/>
              <w:rPr>
                <w:rFonts w:ascii="Arial" w:cs="Arial" w:eastAsia="Arial" w:hAnsi="Arial"/>
                <w:sz w:val="17"/>
                <w:szCs w:val="17"/>
                <w:color w:val="0000FF"/>
              </w:rPr>
            </w:pPr>
            <w:hyperlink w:anchor="page393">
              <w:r>
                <w:rPr>
                  <w:rFonts w:ascii="Arial" w:cs="Arial" w:eastAsia="Arial" w:hAnsi="Arial"/>
                  <w:sz w:val="17"/>
                  <w:szCs w:val="17"/>
                  <w:color w:val="0000FF"/>
                </w:rPr>
                <w:t>Consent of KPMG LLP</w:t>
              </w:r>
            </w:hyperlink>
          </w:p>
        </w:tc>
      </w:tr>
      <w:tr>
        <w:trPr>
          <w:trHeight w:val="20"/>
        </w:trPr>
        <w:tc>
          <w:tcPr>
            <w:tcW w:w="13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r>
      <w:tr>
        <w:trPr>
          <w:trHeight w:val="199"/>
        </w:trPr>
        <w:tc>
          <w:tcPr>
            <w:tcW w:w="1320" w:type="dxa"/>
            <w:vAlign w:val="bottom"/>
          </w:tcPr>
          <w:p>
            <w:pPr>
              <w:spacing w:after="0"/>
              <w:rPr>
                <w:sz w:val="20"/>
                <w:szCs w:val="20"/>
                <w:color w:val="auto"/>
              </w:rPr>
            </w:pPr>
            <w:r>
              <w:rPr>
                <w:rFonts w:ascii="Arial" w:cs="Arial" w:eastAsia="Arial" w:hAnsi="Arial"/>
                <w:sz w:val="17"/>
                <w:szCs w:val="17"/>
                <w:color w:val="auto"/>
              </w:rPr>
              <w:t>23.3</w:t>
            </w:r>
          </w:p>
        </w:tc>
        <w:tc>
          <w:tcPr>
            <w:tcW w:w="1760" w:type="dxa"/>
            <w:vAlign w:val="bottom"/>
            <w:tcBorders>
              <w:bottom w:val="single" w:sz="8" w:color="0000FF"/>
            </w:tcBorders>
            <w:gridSpan w:val="2"/>
          </w:tcPr>
          <w:p>
            <w:pPr>
              <w:spacing w:after="0"/>
              <w:rPr>
                <w:rFonts w:ascii="Arial" w:cs="Arial" w:eastAsia="Arial" w:hAnsi="Arial"/>
                <w:sz w:val="17"/>
                <w:szCs w:val="17"/>
                <w:color w:val="0000FF"/>
                <w:w w:val="92"/>
              </w:rPr>
            </w:pPr>
            <w:hyperlink w:anchor="page394">
              <w:r>
                <w:rPr>
                  <w:rFonts w:ascii="Arial" w:cs="Arial" w:eastAsia="Arial" w:hAnsi="Arial"/>
                  <w:sz w:val="17"/>
                  <w:szCs w:val="17"/>
                  <w:color w:val="0000FF"/>
                  <w:w w:val="92"/>
                </w:rPr>
                <w:t>Consent of RSM US LLP</w:t>
              </w:r>
            </w:hyperlink>
          </w:p>
        </w:tc>
        <w:tc>
          <w:tcPr>
            <w:tcW w:w="7980" w:type="dxa"/>
            <w:vAlign w:val="bottom"/>
            <w:gridSpan w:val="3"/>
          </w:tcPr>
          <w:p>
            <w:pPr>
              <w:spacing w:after="0"/>
              <w:rPr>
                <w:sz w:val="17"/>
                <w:szCs w:val="17"/>
                <w:color w:val="auto"/>
              </w:rPr>
            </w:pPr>
          </w:p>
        </w:tc>
      </w:tr>
      <w:tr>
        <w:trPr>
          <w:trHeight w:val="236"/>
        </w:trPr>
        <w:tc>
          <w:tcPr>
            <w:tcW w:w="1320" w:type="dxa"/>
            <w:vAlign w:val="bottom"/>
          </w:tcPr>
          <w:p>
            <w:pPr>
              <w:spacing w:after="0"/>
              <w:rPr>
                <w:sz w:val="20"/>
                <w:szCs w:val="20"/>
                <w:color w:val="auto"/>
              </w:rPr>
            </w:pPr>
            <w:r>
              <w:rPr>
                <w:rFonts w:ascii="Arial" w:cs="Arial" w:eastAsia="Arial" w:hAnsi="Arial"/>
                <w:sz w:val="17"/>
                <w:szCs w:val="17"/>
                <w:color w:val="auto"/>
              </w:rPr>
              <w:t>23.4</w:t>
            </w:r>
          </w:p>
        </w:tc>
        <w:tc>
          <w:tcPr>
            <w:tcW w:w="9740" w:type="dxa"/>
            <w:vAlign w:val="bottom"/>
            <w:gridSpan w:val="5"/>
          </w:tcPr>
          <w:p>
            <w:pPr>
              <w:spacing w:after="0"/>
              <w:rPr>
                <w:rFonts w:ascii="Arial" w:cs="Arial" w:eastAsia="Arial" w:hAnsi="Arial"/>
                <w:sz w:val="17"/>
                <w:szCs w:val="17"/>
                <w:u w:val="single" w:color="auto"/>
                <w:color w:val="0000FF"/>
              </w:rPr>
            </w:pPr>
            <w:hyperlink w:anchor="page390">
              <w:r>
                <w:rPr>
                  <w:rFonts w:ascii="Arial" w:cs="Arial" w:eastAsia="Arial" w:hAnsi="Arial"/>
                  <w:sz w:val="17"/>
                  <w:szCs w:val="17"/>
                  <w:u w:val="single" w:color="auto"/>
                  <w:color w:val="0000FF"/>
                </w:rPr>
                <w:t>Consent of Simpson Thacher &amp; Bartlett LLP (included as part of Exhibit 5.1)</w:t>
              </w:r>
            </w:hyperlink>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24.1</w:t>
            </w:r>
          </w:p>
        </w:tc>
        <w:tc>
          <w:tcPr>
            <w:tcW w:w="9740" w:type="dxa"/>
            <w:vAlign w:val="bottom"/>
            <w:gridSpan w:val="5"/>
          </w:tcPr>
          <w:p>
            <w:pPr>
              <w:spacing w:after="0"/>
              <w:rPr>
                <w:rFonts w:ascii="Arial" w:cs="Arial" w:eastAsia="Arial" w:hAnsi="Arial"/>
                <w:sz w:val="17"/>
                <w:szCs w:val="17"/>
                <w:u w:val="single" w:color="auto"/>
                <w:color w:val="0000FF"/>
              </w:rPr>
            </w:pPr>
            <w:hyperlink w:anchor="page325">
              <w:r>
                <w:rPr>
                  <w:rFonts w:ascii="Arial" w:cs="Arial" w:eastAsia="Arial" w:hAnsi="Arial"/>
                  <w:sz w:val="17"/>
                  <w:szCs w:val="17"/>
                  <w:u w:val="single" w:color="auto"/>
                  <w:color w:val="0000FF"/>
                </w:rPr>
                <w:t>Power of Attorney (included in signature page of this Registration Statement)</w:t>
              </w:r>
            </w:hyperlink>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101.INS</w:t>
            </w:r>
          </w:p>
        </w:tc>
        <w:tc>
          <w:tcPr>
            <w:tcW w:w="9740" w:type="dxa"/>
            <w:vAlign w:val="bottom"/>
            <w:gridSpan w:val="5"/>
          </w:tcPr>
          <w:p>
            <w:pPr>
              <w:spacing w:after="0"/>
              <w:rPr>
                <w:sz w:val="20"/>
                <w:szCs w:val="20"/>
                <w:color w:val="auto"/>
              </w:rPr>
            </w:pPr>
            <w:r>
              <w:rPr>
                <w:rFonts w:ascii="Arial" w:cs="Arial" w:eastAsia="Arial" w:hAnsi="Arial"/>
                <w:sz w:val="17"/>
                <w:szCs w:val="17"/>
                <w:color w:val="auto"/>
              </w:rPr>
              <w:t>XBRL Instance Document</w:t>
            </w:r>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101.SCH</w:t>
            </w:r>
          </w:p>
        </w:tc>
        <w:tc>
          <w:tcPr>
            <w:tcW w:w="9740" w:type="dxa"/>
            <w:vAlign w:val="bottom"/>
            <w:gridSpan w:val="5"/>
          </w:tcPr>
          <w:p>
            <w:pPr>
              <w:spacing w:after="0"/>
              <w:rPr>
                <w:sz w:val="20"/>
                <w:szCs w:val="20"/>
                <w:color w:val="auto"/>
              </w:rPr>
            </w:pPr>
            <w:r>
              <w:rPr>
                <w:rFonts w:ascii="Arial" w:cs="Arial" w:eastAsia="Arial" w:hAnsi="Arial"/>
                <w:sz w:val="17"/>
                <w:szCs w:val="17"/>
                <w:color w:val="auto"/>
              </w:rPr>
              <w:t>XBRL Taxonomy Extension Schema Document</w:t>
            </w:r>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101.CAL</w:t>
            </w:r>
          </w:p>
        </w:tc>
        <w:tc>
          <w:tcPr>
            <w:tcW w:w="9740" w:type="dxa"/>
            <w:vAlign w:val="bottom"/>
            <w:gridSpan w:val="5"/>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101.DEF</w:t>
            </w:r>
          </w:p>
        </w:tc>
        <w:tc>
          <w:tcPr>
            <w:tcW w:w="9740" w:type="dxa"/>
            <w:vAlign w:val="bottom"/>
            <w:gridSpan w:val="5"/>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101.LAB</w:t>
            </w:r>
          </w:p>
        </w:tc>
        <w:tc>
          <w:tcPr>
            <w:tcW w:w="9740" w:type="dxa"/>
            <w:vAlign w:val="bottom"/>
            <w:gridSpan w:val="5"/>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14"/>
        </w:trPr>
        <w:tc>
          <w:tcPr>
            <w:tcW w:w="1320" w:type="dxa"/>
            <w:vAlign w:val="bottom"/>
          </w:tcPr>
          <w:p>
            <w:pPr>
              <w:spacing w:after="0"/>
              <w:rPr>
                <w:sz w:val="20"/>
                <w:szCs w:val="20"/>
                <w:color w:val="auto"/>
              </w:rPr>
            </w:pPr>
            <w:r>
              <w:rPr>
                <w:rFonts w:ascii="Arial" w:cs="Arial" w:eastAsia="Arial" w:hAnsi="Arial"/>
                <w:sz w:val="17"/>
                <w:szCs w:val="17"/>
                <w:color w:val="auto"/>
              </w:rPr>
              <w:t>101.PRE</w:t>
            </w:r>
          </w:p>
        </w:tc>
        <w:tc>
          <w:tcPr>
            <w:tcW w:w="9740" w:type="dxa"/>
            <w:vAlign w:val="bottom"/>
            <w:gridSpan w:val="5"/>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30" w:lineRule="auto"/>
        <w:rPr>
          <w:sz w:val="20"/>
          <w:szCs w:val="20"/>
          <w:color w:val="auto"/>
        </w:rPr>
      </w:pPr>
      <w:r>
        <w:rPr>
          <w:rFonts w:ascii="Arial" w:cs="Arial" w:eastAsia="Arial" w:hAnsi="Arial"/>
          <w:sz w:val="14"/>
          <w:szCs w:val="14"/>
          <w:color w:val="auto"/>
        </w:rPr>
        <w:t>________________</w:t>
      </w:r>
    </w:p>
    <w:p>
      <w:pPr>
        <w:spacing w:after="0"/>
        <w:tabs>
          <w:tab w:leader="none" w:pos="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Management contract or compensatory plan or arrangement.</w:t>
      </w:r>
    </w:p>
    <w:p>
      <w:pPr>
        <w:spacing w:after="0" w:line="200" w:lineRule="exact"/>
        <w:rPr>
          <w:sz w:val="20"/>
          <w:szCs w:val="20"/>
          <w:color w:val="auto"/>
        </w:rPr>
      </w:pPr>
    </w:p>
    <w:p>
      <w:pPr>
        <w:spacing w:after="0" w:line="27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080"/>
          </w:cols>
          <w:pgMar w:left="320" w:top="1386" w:right="49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7"/>
          <w:szCs w:val="17"/>
          <w:b w:val="1"/>
          <w:bCs w:val="1"/>
          <w:color w:val="auto"/>
        </w:rPr>
        <w:t>SIGNATURES</w:t>
      </w:r>
    </w:p>
    <w:p>
      <w:pPr>
        <w:spacing w:after="0" w:line="171" w:lineRule="exact"/>
        <w:rPr>
          <w:sz w:val="20"/>
          <w:szCs w:val="20"/>
          <w:color w:val="auto"/>
        </w:rPr>
      </w:pPr>
    </w:p>
    <w:p>
      <w:pPr>
        <w:jc w:val="both"/>
        <w:ind w:firstLine="309"/>
        <w:spacing w:after="0" w:line="279"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Vancouver, State of Washington, on the 30th day of November, 2020.</w:t>
      </w:r>
    </w:p>
    <w:p>
      <w:pPr>
        <w:spacing w:after="0" w:line="151"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ZOOMINFO TECHNOLOGIES INC.</w:t>
      </w:r>
    </w:p>
    <w:p>
      <w:pPr>
        <w:spacing w:after="0" w:line="229" w:lineRule="exact"/>
        <w:rPr>
          <w:sz w:val="20"/>
          <w:szCs w:val="20"/>
          <w:color w:val="auto"/>
        </w:rPr>
      </w:pPr>
    </w:p>
    <w:p>
      <w:pPr>
        <w:ind w:left="6900"/>
        <w:spacing w:after="0"/>
        <w:tabs>
          <w:tab w:leader="none" w:pos="7400" w:val="left"/>
        </w:tabs>
        <w:rPr>
          <w:sz w:val="20"/>
          <w:szCs w:val="20"/>
          <w:color w:val="auto"/>
        </w:rPr>
      </w:pPr>
      <w:r>
        <w:rPr>
          <w:rFonts w:ascii="Arial" w:cs="Arial" w:eastAsia="Arial" w:hAnsi="Arial"/>
          <w:sz w:val="17"/>
          <w:szCs w:val="17"/>
          <w:color w:val="auto"/>
        </w:rPr>
        <w:t>By:</w:t>
        <w:tab/>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14605</wp:posOffset>
            </wp:positionV>
            <wp:extent cx="243649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2436495" cy="8255"/>
                    </a:xfrm>
                    <a:prstGeom prst="rect">
                      <a:avLst/>
                    </a:prstGeom>
                    <a:noFill/>
                  </pic:spPr>
                </pic:pic>
              </a:graphicData>
            </a:graphic>
          </wp:anchor>
        </w:drawing>
      </w:r>
    </w:p>
    <w:p>
      <w:pPr>
        <w:spacing w:after="0" w:line="2" w:lineRule="exact"/>
        <w:rPr>
          <w:sz w:val="20"/>
          <w:szCs w:val="20"/>
          <w:color w:val="auto"/>
        </w:rPr>
      </w:pPr>
    </w:p>
    <w:p>
      <w:pPr>
        <w:ind w:left="7420"/>
        <w:spacing w:after="0"/>
        <w:rPr>
          <w:sz w:val="20"/>
          <w:szCs w:val="20"/>
          <w:color w:val="auto"/>
        </w:rPr>
      </w:pPr>
      <w:r>
        <w:rPr>
          <w:rFonts w:ascii="Arial" w:cs="Arial" w:eastAsia="Arial" w:hAnsi="Arial"/>
          <w:sz w:val="17"/>
          <w:szCs w:val="17"/>
          <w:color w:val="auto"/>
        </w:rPr>
        <w:t>Name: Henry Schuck</w:t>
      </w:r>
    </w:p>
    <w:p>
      <w:pPr>
        <w:ind w:left="7420"/>
        <w:spacing w:after="0"/>
        <w:rPr>
          <w:sz w:val="20"/>
          <w:szCs w:val="20"/>
          <w:color w:val="auto"/>
        </w:rPr>
      </w:pPr>
      <w:r>
        <w:rPr>
          <w:rFonts w:ascii="Arial" w:cs="Arial" w:eastAsia="Arial" w:hAnsi="Arial"/>
          <w:sz w:val="17"/>
          <w:szCs w:val="17"/>
          <w:color w:val="auto"/>
        </w:rPr>
        <w:t>Title: Chief Executive Officer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71" w:lineRule="exact"/>
        <w:rPr>
          <w:sz w:val="20"/>
          <w:szCs w:val="20"/>
          <w:color w:val="auto"/>
        </w:rPr>
      </w:pPr>
    </w:p>
    <w:p>
      <w:pPr>
        <w:jc w:val="both"/>
        <w:ind w:firstLine="309"/>
        <w:spacing w:after="0" w:line="256" w:lineRule="auto"/>
        <w:rPr>
          <w:sz w:val="20"/>
          <w:szCs w:val="20"/>
          <w:color w:val="auto"/>
        </w:rPr>
      </w:pPr>
      <w:r>
        <w:rPr>
          <w:rFonts w:ascii="Arial" w:cs="Arial" w:eastAsia="Arial" w:hAnsi="Arial"/>
          <w:sz w:val="17"/>
          <w:szCs w:val="17"/>
          <w:color w:val="auto"/>
        </w:rPr>
        <w:t>Each person whose signature appears below hereby constitutes and appoints Henry Schuck, Cameron Hyzer, Anthony Stark, and Christopher Arntzen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31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7138670" cy="165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326" w:name="page327"/>
    <w:bookmarkEnd w:id="326"/>
    <w:p>
      <w:pPr>
        <w:ind w:firstLine="309"/>
        <w:spacing w:after="0" w:line="279" w:lineRule="auto"/>
        <w:rPr>
          <w:sz w:val="20"/>
          <w:szCs w:val="20"/>
          <w:color w:val="auto"/>
        </w:rPr>
      </w:pPr>
      <w:r>
        <w:rPr>
          <w:rFonts w:ascii="Arial" w:cs="Arial" w:eastAsia="Arial" w:hAnsi="Arial"/>
          <w:sz w:val="17"/>
          <w:szCs w:val="17"/>
          <w:color w:val="auto"/>
        </w:rPr>
        <w:t>Pursuant to the requirements of the Securities Act of 1933, as amended, this Registration Statement and Power of Attorney have been signed by the following persons in the capacities indicated on the 30th day of November, 2020.</w:t>
      </w:r>
    </w:p>
    <w:p>
      <w:pPr>
        <w:sectPr>
          <w:pgSz w:w="11900" w:h="16838" w:orient="portrait"/>
          <w:cols w:equalWidth="0" w:num="1">
            <w:col w:w="11240"/>
          </w:cols>
          <w:pgMar w:left="320" w:top="1363" w:right="339" w:bottom="1440" w:gutter="0" w:footer="0" w:header="0"/>
        </w:sectPr>
      </w:pPr>
    </w:p>
    <w:p>
      <w:pPr>
        <w:spacing w:after="0" w:line="141"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30416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8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4165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6">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Henry Schuck</w:t>
      </w:r>
    </w:p>
    <w:p>
      <w:pPr>
        <w:spacing w:after="0" w:line="101"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Todd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4165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7">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Todd Crockett</w:t>
      </w:r>
    </w:p>
    <w:p>
      <w:pPr>
        <w:spacing w:after="0" w:line="101"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Mitesh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4165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Mitesh Dhruv</w:t>
      </w:r>
    </w:p>
    <w:p>
      <w:pPr>
        <w:spacing w:after="0" w:line="101"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4165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Keith Enright</w:t>
      </w:r>
    </w:p>
    <w:p>
      <w:pPr>
        <w:spacing w:after="0" w:line="101"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4165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0">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Ashley Evans</w:t>
      </w:r>
    </w:p>
    <w:p>
      <w:pPr>
        <w:spacing w:after="0" w:line="101"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4165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1">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Mark Mader</w:t>
      </w:r>
    </w:p>
    <w:p>
      <w:pPr>
        <w:spacing w:after="0" w:line="101" w:lineRule="exact"/>
        <w:rPr>
          <w:sz w:val="20"/>
          <w:szCs w:val="20"/>
          <w:color w:val="auto"/>
        </w:rPr>
      </w:pPr>
    </w:p>
    <w:p>
      <w:pPr>
        <w:jc w:val="center"/>
        <w:ind w:left="380"/>
        <w:spacing w:after="0"/>
        <w:rPr>
          <w:sz w:val="20"/>
          <w:szCs w:val="20"/>
          <w:color w:val="auto"/>
        </w:rPr>
      </w:pPr>
      <w:r>
        <w:rPr>
          <w:rFonts w:ascii="Arial" w:cs="Arial" w:eastAsia="Arial" w:hAnsi="Arial"/>
          <w:sz w:val="15"/>
          <w:szCs w:val="15"/>
          <w:color w:val="auto"/>
        </w:rPr>
        <w:t>/s/ 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04165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2">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52"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Patrick McCarter</w:t>
      </w:r>
    </w:p>
    <w:p>
      <w:pPr>
        <w:spacing w:after="0" w:line="101"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/s/Jason Mironov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4165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2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Jason Mironov</w:t>
      </w:r>
    </w:p>
    <w:p>
      <w:pPr>
        <w:spacing w:after="0" w:line="10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304165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41"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D. Randall Winn</w:t>
      </w:r>
    </w:p>
    <w:p>
      <w:pPr>
        <w:spacing w:after="0" w:line="101"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304165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41"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Cameron Hyzer</w:t>
      </w:r>
    </w:p>
    <w:p>
      <w:pPr>
        <w:spacing w:after="0" w:line="10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 David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04165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6">
                      <a:extLst>
                        <a:ext uri="{28A0092B-C50C-407E-A947-70E740481C1C}"/>
                      </a:extLst>
                    </a:blip>
                    <a:srcRect/>
                    <a:stretch>
                      <a:fillRect/>
                    </a:stretch>
                  </pic:blipFill>
                  <pic:spPr bwMode="auto">
                    <a:xfrm>
                      <a:off x="0" y="0"/>
                      <a:ext cx="3041650" cy="8255"/>
                    </a:xfrm>
                    <a:prstGeom prst="rect">
                      <a:avLst/>
                    </a:prstGeom>
                    <a:noFill/>
                  </pic:spPr>
                </pic:pic>
              </a:graphicData>
            </a:graphic>
          </wp:anchor>
        </w:drawing>
      </w:r>
    </w:p>
    <w:p>
      <w:pPr>
        <w:spacing w:after="0" w:line="29"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David Reid</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18415</wp:posOffset>
            </wp:positionV>
            <wp:extent cx="40392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7">
                      <a:extLst>
                        <a:ext uri="{28A0092B-C50C-407E-A947-70E740481C1C}"/>
                      </a:extLst>
                    </a:blip>
                    <a:srcRect/>
                    <a:stretch>
                      <a:fillRect/>
                    </a:stretch>
                  </pic:blipFill>
                  <pic:spPr bwMode="auto">
                    <a:xfrm>
                      <a:off x="0" y="0"/>
                      <a:ext cx="4039235" cy="8255"/>
                    </a:xfrm>
                    <a:prstGeom prst="rect">
                      <a:avLst/>
                    </a:prstGeom>
                    <a:noFill/>
                  </pic:spPr>
                </pic:pic>
              </a:graphicData>
            </a:graphic>
          </wp:anchor>
        </w:drawing>
      </w:r>
    </w:p>
    <w:p>
      <w:pPr>
        <w:spacing w:after="0" w:line="112"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Chief Executive Officer and Chairman of the Board of Directors (principal executive</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officer)</w:t>
      </w:r>
    </w:p>
    <w:p>
      <w:pPr>
        <w:spacing w:after="0" w:line="241"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Director</w:t>
      </w:r>
    </w:p>
    <w:p>
      <w:pPr>
        <w:spacing w:after="0" w:line="34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Director</w:t>
      </w:r>
    </w:p>
    <w:p>
      <w:pPr>
        <w:spacing w:after="0" w:line="34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Director</w:t>
      </w:r>
    </w:p>
    <w:p>
      <w:pPr>
        <w:spacing w:after="0" w:line="34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Director</w:t>
      </w:r>
    </w:p>
    <w:p>
      <w:pPr>
        <w:spacing w:after="0" w:line="34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Director</w:t>
      </w:r>
    </w:p>
    <w:p>
      <w:pPr>
        <w:spacing w:after="0" w:line="34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Director</w:t>
      </w:r>
    </w:p>
    <w:p>
      <w:pPr>
        <w:spacing w:after="0" w:line="34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Director</w:t>
      </w:r>
    </w:p>
    <w:p>
      <w:pPr>
        <w:spacing w:after="0" w:line="34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Director</w:t>
      </w:r>
    </w:p>
    <w:p>
      <w:pPr>
        <w:spacing w:after="0" w:line="34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Chief Financial Officer (principal financial officer)</w:t>
      </w:r>
    </w:p>
    <w:p>
      <w:pPr>
        <w:spacing w:after="0" w:line="3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Vice President of Accounting and Controller (principal accounting officer)</w:t>
      </w:r>
    </w:p>
    <w:p>
      <w:pPr>
        <w:spacing w:after="0" w:line="341" w:lineRule="exact"/>
        <w:rPr>
          <w:sz w:val="20"/>
          <w:szCs w:val="20"/>
          <w:color w:val="auto"/>
        </w:rPr>
      </w:pPr>
    </w:p>
    <w:p>
      <w:pPr>
        <w:sectPr>
          <w:pgSz w:w="11900" w:h="16838" w:orient="portrait"/>
          <w:cols w:equalWidth="0" w:num="2">
            <w:col w:w="4420" w:space="720"/>
            <w:col w:w="6100"/>
          </w:cols>
          <w:pgMar w:left="320" w:top="1363" w:right="339" w:bottom="1440" w:gutter="0" w:footer="0" w:header="0"/>
          <w:type w:val="continuous"/>
        </w:sectPr>
      </w:pPr>
    </w:p>
    <w:p>
      <w:pPr>
        <w:spacing w:after="0" w:line="14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II-8</w:t>
      </w:r>
    </w:p>
    <w:p>
      <w:pPr>
        <w:sectPr>
          <w:pgSz w:w="11900" w:h="16838" w:orient="portrait"/>
          <w:cols w:equalWidth="0" w:num="1">
            <w:col w:w="11240"/>
          </w:cols>
          <w:pgMar w:left="320" w:top="1363" w:right="339" w:bottom="1440" w:gutter="0" w:footer="0" w:header="0"/>
          <w:type w:val="continuous"/>
        </w:sectPr>
      </w:pPr>
    </w:p>
    <w:bookmarkStart w:id="327" w:name="page328"/>
    <w:bookmarkEnd w:id="327"/>
    <w:p>
      <w:pPr>
        <w:jc w:val="right"/>
        <w:spacing w:after="0"/>
        <w:rPr>
          <w:sz w:val="20"/>
          <w:szCs w:val="20"/>
          <w:color w:val="auto"/>
        </w:rPr>
      </w:pPr>
      <w:r>
        <w:rPr>
          <w:rFonts w:ascii="Arial" w:cs="Arial" w:eastAsia="Arial" w:hAnsi="Arial"/>
          <w:sz w:val="17"/>
          <w:szCs w:val="17"/>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60"/>
        <w:spacing w:after="0"/>
        <w:rPr>
          <w:sz w:val="20"/>
          <w:szCs w:val="20"/>
          <w:color w:val="auto"/>
        </w:rPr>
      </w:pPr>
      <w:r>
        <w:rPr>
          <w:rFonts w:ascii="Arial" w:cs="Arial" w:eastAsia="Arial" w:hAnsi="Arial"/>
          <w:sz w:val="21"/>
          <w:szCs w:val="21"/>
          <w:b w:val="1"/>
          <w:bCs w:val="1"/>
          <w:color w:val="auto"/>
        </w:rPr>
        <w:t>[ ] Shares</w:t>
      </w:r>
    </w:p>
    <w:p>
      <w:pPr>
        <w:spacing w:after="0" w:line="200" w:lineRule="exact"/>
        <w:rPr>
          <w:sz w:val="20"/>
          <w:szCs w:val="20"/>
          <w:color w:val="auto"/>
        </w:rPr>
      </w:pP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ZOOMINFO TECHNOLOGIES INC.</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CLASS A COMMON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960"/>
        <w:spacing w:after="0"/>
        <w:rPr>
          <w:sz w:val="20"/>
          <w:szCs w:val="20"/>
          <w:color w:val="auto"/>
        </w:rPr>
      </w:pPr>
      <w:r>
        <w:rPr>
          <w:rFonts w:ascii="Arial" w:cs="Arial" w:eastAsia="Arial" w:hAnsi="Arial"/>
          <w:sz w:val="21"/>
          <w:szCs w:val="21"/>
          <w:b w:val="1"/>
          <w:bCs w:val="1"/>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  ], 2020</w:t>
      </w:r>
    </w:p>
    <w:p>
      <w:pPr>
        <w:sectPr>
          <w:pgSz w:w="11900" w:h="16838" w:orient="portrait"/>
          <w:cols w:equalWidth="0" w:num="1">
            <w:col w:w="10120"/>
          </w:cols>
          <w:pgMar w:left="1440" w:top="121" w:right="339" w:bottom="1440" w:gutter="0" w:footer="0" w:header="0"/>
        </w:sectPr>
      </w:pPr>
    </w:p>
    <w:bookmarkStart w:id="328" w:name="page329"/>
    <w:bookmarkEnd w:id="328"/>
    <w:p>
      <w:pPr>
        <w:jc w:val="right"/>
        <w:spacing w:after="0"/>
        <w:rPr>
          <w:sz w:val="20"/>
          <w:szCs w:val="20"/>
          <w:color w:val="auto"/>
        </w:rPr>
      </w:pPr>
      <w:r>
        <w:rPr>
          <w:rFonts w:ascii="Arial" w:cs="Arial" w:eastAsia="Arial" w:hAnsi="Arial"/>
          <w:sz w:val="21"/>
          <w:szCs w:val="21"/>
          <w:color w:val="auto"/>
        </w:rPr>
        <w:t>[  ],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Morgan Stanley &amp; Co. LLC</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As representatives of the several Underwriters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21"/>
          <w:szCs w:val="21"/>
          <w:color w:val="auto"/>
        </w:rPr>
        <w:t xml:space="preserve">named in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hereto</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c/o J.P. Morgan Securities LLC</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21"/>
          <w:szCs w:val="21"/>
          <w:color w:val="auto"/>
        </w:rPr>
        <w:t>383 Madison Avenue</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New York, New York 10179</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c/o Morgan Stanley &amp; Co. LLC</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21"/>
          <w:szCs w:val="21"/>
          <w:color w:val="auto"/>
        </w:rPr>
        <w:t>1585 Broadway</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New York, New York 10036</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03" w:lineRule="exact"/>
        <w:rPr>
          <w:sz w:val="20"/>
          <w:szCs w:val="20"/>
          <w:color w:val="auto"/>
        </w:rPr>
      </w:pPr>
    </w:p>
    <w:p>
      <w:pPr>
        <w:ind w:right="80" w:firstLine="618"/>
        <w:spacing w:after="0" w:line="274" w:lineRule="auto"/>
        <w:rPr>
          <w:sz w:val="20"/>
          <w:szCs w:val="20"/>
          <w:color w:val="auto"/>
        </w:rPr>
      </w:pPr>
      <w:r>
        <w:rPr>
          <w:rFonts w:ascii="Arial" w:cs="Arial" w:eastAsia="Arial" w:hAnsi="Arial"/>
          <w:sz w:val="19"/>
          <w:szCs w:val="19"/>
          <w:color w:val="auto"/>
        </w:rPr>
        <w:t xml:space="preserve">Certain stockholders named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Selling Stockholders</w:t>
      </w:r>
      <w:r>
        <w:rPr>
          <w:rFonts w:ascii="Arial" w:cs="Arial" w:eastAsia="Arial" w:hAnsi="Arial"/>
          <w:sz w:val="19"/>
          <w:szCs w:val="19"/>
          <w:color w:val="auto"/>
        </w:rPr>
        <w:t>”) of ZoomInfo Technologies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propose to sell to the several underwriters named in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Underwriters</w:t>
      </w:r>
      <w:r>
        <w:rPr>
          <w:rFonts w:ascii="Arial" w:cs="Arial" w:eastAsia="Arial" w:hAnsi="Arial"/>
          <w:sz w:val="19"/>
          <w:szCs w:val="19"/>
          <w:color w:val="auto"/>
        </w:rPr>
        <w:t>”) an aggregate of [ ] shares (the “</w:t>
      </w:r>
      <w:r>
        <w:rPr>
          <w:rFonts w:ascii="Arial" w:cs="Arial" w:eastAsia="Arial" w:hAnsi="Arial"/>
          <w:sz w:val="19"/>
          <w:szCs w:val="19"/>
          <w:b w:val="1"/>
          <w:bCs w:val="1"/>
          <w:color w:val="auto"/>
        </w:rPr>
        <w:t>Firm Shares</w:t>
      </w:r>
      <w:r>
        <w:rPr>
          <w:rFonts w:ascii="Arial" w:cs="Arial" w:eastAsia="Arial" w:hAnsi="Arial"/>
          <w:sz w:val="19"/>
          <w:szCs w:val="19"/>
          <w:color w:val="auto"/>
        </w:rPr>
        <w:t>”) of Class A common stock, par value $0.01 per share, of the Company (the “</w:t>
      </w:r>
      <w:r>
        <w:rPr>
          <w:rFonts w:ascii="Arial" w:cs="Arial" w:eastAsia="Arial" w:hAnsi="Arial"/>
          <w:sz w:val="19"/>
          <w:szCs w:val="19"/>
          <w:b w:val="1"/>
          <w:bCs w:val="1"/>
          <w:color w:val="auto"/>
        </w:rPr>
        <w:t>Class A</w:t>
      </w:r>
      <w:r>
        <w:rPr>
          <w:rFonts w:ascii="Arial" w:cs="Arial" w:eastAsia="Arial" w:hAnsi="Arial"/>
          <w:sz w:val="19"/>
          <w:szCs w:val="19"/>
          <w:color w:val="auto"/>
        </w:rPr>
        <w:t xml:space="preserve"> </w:t>
      </w:r>
      <w:r>
        <w:rPr>
          <w:rFonts w:ascii="Arial" w:cs="Arial" w:eastAsia="Arial" w:hAnsi="Arial"/>
          <w:sz w:val="19"/>
          <w:szCs w:val="19"/>
          <w:b w:val="1"/>
          <w:bCs w:val="1"/>
          <w:color w:val="auto"/>
        </w:rPr>
        <w:t>Common Stock</w:t>
      </w:r>
      <w:r>
        <w:rPr>
          <w:rFonts w:ascii="Arial" w:cs="Arial" w:eastAsia="Arial" w:hAnsi="Arial"/>
          <w:sz w:val="19"/>
          <w:szCs w:val="19"/>
          <w:color w:val="auto"/>
        </w:rPr>
        <w:t>”). The Selling Stockholders also propose to sell to the several Underwriters not more than an additional [ ]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Class A Common Stock solely to cover over-allotments, if any (the “</w:t>
      </w:r>
      <w:r>
        <w:rPr>
          <w:rFonts w:ascii="Arial" w:cs="Arial" w:eastAsia="Arial" w:hAnsi="Arial"/>
          <w:sz w:val="19"/>
          <w:szCs w:val="19"/>
          <w:b w:val="1"/>
          <w:bCs w:val="1"/>
          <w:color w:val="auto"/>
        </w:rPr>
        <w:t>Additional Shares</w:t>
      </w:r>
      <w:r>
        <w:rPr>
          <w:rFonts w:ascii="Arial" w:cs="Arial" w:eastAsia="Arial" w:hAnsi="Arial"/>
          <w:sz w:val="19"/>
          <w:szCs w:val="19"/>
          <w:color w:val="auto"/>
        </w:rPr>
        <w:t>”) in the aggregate if and to the extent that you, as representatives of the several Underwriters (the “</w:t>
      </w:r>
      <w:r>
        <w:rPr>
          <w:rFonts w:ascii="Arial" w:cs="Arial" w:eastAsia="Arial" w:hAnsi="Arial"/>
          <w:sz w:val="19"/>
          <w:szCs w:val="19"/>
          <w:b w:val="1"/>
          <w:bCs w:val="1"/>
          <w:color w:val="auto"/>
        </w:rPr>
        <w:t>Representatives</w:t>
      </w:r>
      <w:r>
        <w:rPr>
          <w:rFonts w:ascii="Arial" w:cs="Arial" w:eastAsia="Arial" w:hAnsi="Arial"/>
          <w:sz w:val="19"/>
          <w:szCs w:val="19"/>
          <w:color w:val="auto"/>
        </w:rPr>
        <w:t>”), shall have determined to exercise, on behalf of the Underwriters, the right to purchase such shares of Class A Common Stock granted to the Underwriters in Section 2 hereof. The Firm Shares and the Additional Shares are hereinafter collectively referred to as the “</w:t>
      </w:r>
      <w:r>
        <w:rPr>
          <w:rFonts w:ascii="Arial" w:cs="Arial" w:eastAsia="Arial" w:hAnsi="Arial"/>
          <w:sz w:val="19"/>
          <w:szCs w:val="19"/>
          <w:b w:val="1"/>
          <w:bCs w:val="1"/>
          <w:color w:val="auto"/>
        </w:rPr>
        <w:t>Shares</w:t>
      </w:r>
      <w:r>
        <w:rPr>
          <w:rFonts w:ascii="Arial" w:cs="Arial" w:eastAsia="Arial" w:hAnsi="Arial"/>
          <w:sz w:val="19"/>
          <w:szCs w:val="19"/>
          <w:color w:val="auto"/>
        </w:rPr>
        <w:t>.” The shares of Class A Common Stock, together with the shares of Class B common stock, par value $0.01 per share, of the Company (the “</w:t>
      </w:r>
      <w:r>
        <w:rPr>
          <w:rFonts w:ascii="Arial" w:cs="Arial" w:eastAsia="Arial" w:hAnsi="Arial"/>
          <w:sz w:val="19"/>
          <w:szCs w:val="19"/>
          <w:b w:val="1"/>
          <w:bCs w:val="1"/>
          <w:color w:val="auto"/>
        </w:rPr>
        <w:t>Class B Common Stock</w:t>
      </w:r>
      <w:r>
        <w:rPr>
          <w:rFonts w:ascii="Arial" w:cs="Arial" w:eastAsia="Arial" w:hAnsi="Arial"/>
          <w:sz w:val="19"/>
          <w:szCs w:val="19"/>
          <w:color w:val="auto"/>
        </w:rPr>
        <w:t>”) and the shares of Class C common stock, par value $0.01 per share, of the Company (the “</w:t>
      </w:r>
      <w:r>
        <w:rPr>
          <w:rFonts w:ascii="Arial" w:cs="Arial" w:eastAsia="Arial" w:hAnsi="Arial"/>
          <w:sz w:val="19"/>
          <w:szCs w:val="19"/>
          <w:b w:val="1"/>
          <w:bCs w:val="1"/>
          <w:color w:val="auto"/>
        </w:rPr>
        <w:t>Class C Common Stock</w:t>
      </w:r>
      <w:r>
        <w:rPr>
          <w:rFonts w:ascii="Arial" w:cs="Arial" w:eastAsia="Arial" w:hAnsi="Arial"/>
          <w:sz w:val="19"/>
          <w:szCs w:val="19"/>
          <w:color w:val="auto"/>
        </w:rPr>
        <w:t>”), to be outstanding after giving effect to the sales contemplated hereby are hereinafter referred to as the “</w:t>
      </w:r>
      <w:r>
        <w:rPr>
          <w:rFonts w:ascii="Arial" w:cs="Arial" w:eastAsia="Arial" w:hAnsi="Arial"/>
          <w:sz w:val="19"/>
          <w:szCs w:val="19"/>
          <w:b w:val="1"/>
          <w:bCs w:val="1"/>
          <w:color w:val="auto"/>
        </w:rPr>
        <w:t>Common Stock</w:t>
      </w:r>
      <w:r>
        <w:rPr>
          <w:rFonts w:ascii="Arial" w:cs="Arial" w:eastAsia="Arial" w:hAnsi="Arial"/>
          <w:sz w:val="19"/>
          <w:szCs w:val="19"/>
          <w:color w:val="auto"/>
        </w:rPr>
        <w:t>.”</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Company is the majority member of ZoomInfo Intermediate Holdings LLC, a Delaware limited liability company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ZoomInfo HoldCo</w:t>
      </w:r>
      <w:r>
        <w:rPr>
          <w:rFonts w:ascii="Arial" w:cs="Arial" w:eastAsia="Arial" w:hAnsi="Arial"/>
          <w:sz w:val="20"/>
          <w:szCs w:val="20"/>
          <w:color w:val="auto"/>
        </w:rPr>
        <w:t>”), which is the sole managing member of ZoomInfo Holdings LLC, a Delaware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ZoomInfo OpCo</w:t>
      </w:r>
      <w:r>
        <w:rPr>
          <w:rFonts w:ascii="Arial" w:cs="Arial" w:eastAsia="Arial" w:hAnsi="Arial"/>
          <w:sz w:val="19"/>
          <w:szCs w:val="19"/>
          <w:color w:val="auto"/>
        </w:rPr>
        <w:t>” and, together with the Company and ZoomInfo HoldCo, the “</w:t>
      </w:r>
      <w:r>
        <w:rPr>
          <w:rFonts w:ascii="Arial" w:cs="Arial" w:eastAsia="Arial" w:hAnsi="Arial"/>
          <w:sz w:val="19"/>
          <w:szCs w:val="19"/>
          <w:b w:val="1"/>
          <w:bCs w:val="1"/>
          <w:color w:val="auto"/>
        </w:rPr>
        <w:t>ZoomInfo Parties</w:t>
      </w:r>
      <w:r>
        <w:rPr>
          <w:rFonts w:ascii="Arial" w:cs="Arial" w:eastAsia="Arial" w:hAnsi="Arial"/>
          <w:sz w:val="19"/>
          <w:szCs w:val="19"/>
          <w:color w:val="auto"/>
        </w:rPr>
        <w:t>”). For the avoidance of doubt, all</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references to (x) “</w:t>
      </w:r>
      <w:r>
        <w:rPr>
          <w:rFonts w:ascii="Arial" w:cs="Arial" w:eastAsia="Arial" w:hAnsi="Arial"/>
          <w:sz w:val="19"/>
          <w:szCs w:val="19"/>
          <w:b w:val="1"/>
          <w:bCs w:val="1"/>
          <w:color w:val="auto"/>
        </w:rPr>
        <w:t>Subsidiaries</w:t>
      </w:r>
      <w:r>
        <w:rPr>
          <w:rFonts w:ascii="Arial" w:cs="Arial" w:eastAsia="Arial" w:hAnsi="Arial"/>
          <w:sz w:val="19"/>
          <w:szCs w:val="19"/>
          <w:color w:val="auto"/>
        </w:rPr>
        <w:t>” of the Company shall be understood and agreed to refer to subsidiaries of the Company, including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ZoomInfo HoldCo and ZoomInfo OpCo, and (y) properties of the Company or any of its Subsidiaries, shall be understood and agreed to</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refer to the properties of the Company or any of its Subsidiaries, including ZoomInfo HoldCo and ZoomInfo OpCo.</w:t>
      </w:r>
    </w:p>
    <w:p>
      <w:pPr>
        <w:sectPr>
          <w:pgSz w:w="11900" w:h="16838" w:orient="portrait"/>
          <w:cols w:equalWidth="0" w:num="1">
            <w:col w:w="11240"/>
          </w:cols>
          <w:pgMar w:left="320" w:top="1367" w:right="339" w:bottom="1440" w:gutter="0" w:footer="0" w:header="0"/>
        </w:sectPr>
      </w:pPr>
    </w:p>
    <w:bookmarkStart w:id="329" w:name="page330"/>
    <w:bookmarkEnd w:id="329"/>
    <w:p>
      <w:pPr>
        <w:ind w:firstLine="618"/>
        <w:spacing w:after="0" w:line="272" w:lineRule="auto"/>
        <w:rPr>
          <w:sz w:val="20"/>
          <w:szCs w:val="20"/>
          <w:color w:val="auto"/>
        </w:rPr>
      </w:pPr>
      <w:r>
        <w:rPr>
          <w:rFonts w:ascii="Arial" w:cs="Arial" w:eastAsia="Arial" w:hAnsi="Arial"/>
          <w:sz w:val="19"/>
          <w:szCs w:val="19"/>
          <w:color w:val="auto"/>
        </w:rPr>
        <w:t>Prior to the execution and delivery of this underwriting agreement (the “</w:t>
      </w:r>
      <w:r>
        <w:rPr>
          <w:rFonts w:ascii="Arial" w:cs="Arial" w:eastAsia="Arial" w:hAnsi="Arial"/>
          <w:sz w:val="19"/>
          <w:szCs w:val="19"/>
          <w:b w:val="1"/>
          <w:bCs w:val="1"/>
          <w:color w:val="auto"/>
        </w:rPr>
        <w:t>Agreement</w:t>
      </w:r>
      <w:r>
        <w:rPr>
          <w:rFonts w:ascii="Arial" w:cs="Arial" w:eastAsia="Arial" w:hAnsi="Arial"/>
          <w:sz w:val="19"/>
          <w:szCs w:val="19"/>
          <w:color w:val="auto"/>
        </w:rPr>
        <w:t>”) and in accordance with the amended and restated limited liability company agreement of ZoomInfo HoldCo (the “</w:t>
      </w:r>
      <w:r>
        <w:rPr>
          <w:rFonts w:ascii="Arial" w:cs="Arial" w:eastAsia="Arial" w:hAnsi="Arial"/>
          <w:sz w:val="19"/>
          <w:szCs w:val="19"/>
          <w:b w:val="1"/>
          <w:bCs w:val="1"/>
          <w:color w:val="auto"/>
        </w:rPr>
        <w:t>ZoomInfo HoldCo LLC Agreement</w:t>
      </w:r>
      <w:r>
        <w:rPr>
          <w:rFonts w:ascii="Arial" w:cs="Arial" w:eastAsia="Arial" w:hAnsi="Arial"/>
          <w:sz w:val="19"/>
          <w:szCs w:val="19"/>
          <w:color w:val="auto"/>
        </w:rPr>
        <w:t>”), the amended and restated limited liability company agreement of ZoomInfo OpCo (the “</w:t>
      </w:r>
      <w:r>
        <w:rPr>
          <w:rFonts w:ascii="Arial" w:cs="Arial" w:eastAsia="Arial" w:hAnsi="Arial"/>
          <w:sz w:val="19"/>
          <w:szCs w:val="19"/>
          <w:b w:val="1"/>
          <w:bCs w:val="1"/>
          <w:color w:val="auto"/>
        </w:rPr>
        <w:t>ZoomInfo OpCo LLC Agreement</w:t>
      </w:r>
      <w:r>
        <w:rPr>
          <w:rFonts w:ascii="Arial" w:cs="Arial" w:eastAsia="Arial" w:hAnsi="Arial"/>
          <w:sz w:val="19"/>
          <w:szCs w:val="19"/>
          <w:color w:val="auto"/>
        </w:rPr>
        <w:t>”) or the amended and restated certificate of incorporation of the Company (the “</w:t>
      </w:r>
      <w:r>
        <w:rPr>
          <w:rFonts w:ascii="Arial" w:cs="Arial" w:eastAsia="Arial" w:hAnsi="Arial"/>
          <w:sz w:val="19"/>
          <w:szCs w:val="19"/>
          <w:b w:val="1"/>
          <w:bCs w:val="1"/>
          <w:color w:val="auto"/>
        </w:rPr>
        <w:t>Amended and Restated Charter</w:t>
      </w:r>
      <w:r>
        <w:rPr>
          <w:rFonts w:ascii="Arial" w:cs="Arial" w:eastAsia="Arial" w:hAnsi="Arial"/>
          <w:sz w:val="19"/>
          <w:szCs w:val="19"/>
          <w:color w:val="auto"/>
        </w:rPr>
        <w:t>”), as applicable, (i) each Selling Stockholder will, as applicable, (a) execute and deliver an election of exchange (each, a “</w:t>
      </w:r>
      <w:r>
        <w:rPr>
          <w:rFonts w:ascii="Arial" w:cs="Arial" w:eastAsia="Arial" w:hAnsi="Arial"/>
          <w:sz w:val="19"/>
          <w:szCs w:val="19"/>
          <w:b w:val="1"/>
          <w:bCs w:val="1"/>
          <w:color w:val="auto"/>
        </w:rPr>
        <w:t>HoldCo Exchange Notice</w:t>
      </w:r>
      <w:r>
        <w:rPr>
          <w:rFonts w:ascii="Arial" w:cs="Arial" w:eastAsia="Arial" w:hAnsi="Arial"/>
          <w:sz w:val="19"/>
          <w:szCs w:val="19"/>
          <w:color w:val="auto"/>
        </w:rPr>
        <w:t>”) to ZoomInfo HoldCo, pursuant to which such Selling Stockholder will make an irrevocable election to exchange certain limited liability company units of ZoomInfo HoldCo (all limited liability company units of ZoomInfo HoldCo, “</w:t>
      </w:r>
      <w:r>
        <w:rPr>
          <w:rFonts w:ascii="Arial" w:cs="Arial" w:eastAsia="Arial" w:hAnsi="Arial"/>
          <w:sz w:val="19"/>
          <w:szCs w:val="19"/>
          <w:b w:val="1"/>
          <w:bCs w:val="1"/>
          <w:color w:val="auto"/>
        </w:rPr>
        <w:t>HoldCo Units</w:t>
      </w:r>
      <w:r>
        <w:rPr>
          <w:rFonts w:ascii="Arial" w:cs="Arial" w:eastAsia="Arial" w:hAnsi="Arial"/>
          <w:sz w:val="19"/>
          <w:szCs w:val="19"/>
          <w:color w:val="auto"/>
        </w:rPr>
        <w:t>”), together with the related cancellation of shares of Class B Common Stock, for an equal number of Shares (a “</w:t>
      </w:r>
      <w:r>
        <w:rPr>
          <w:rFonts w:ascii="Arial" w:cs="Arial" w:eastAsia="Arial" w:hAnsi="Arial"/>
          <w:sz w:val="19"/>
          <w:szCs w:val="19"/>
          <w:b w:val="1"/>
          <w:bCs w:val="1"/>
          <w:color w:val="auto"/>
        </w:rPr>
        <w:t>HoldCo Exchange</w:t>
      </w:r>
      <w:r>
        <w:rPr>
          <w:rFonts w:ascii="Arial" w:cs="Arial" w:eastAsia="Arial" w:hAnsi="Arial"/>
          <w:sz w:val="19"/>
          <w:szCs w:val="19"/>
          <w:color w:val="auto"/>
        </w:rPr>
        <w:t>”), (b) execute and deliver an election of exchange (each, an “</w:t>
      </w:r>
      <w:r>
        <w:rPr>
          <w:rFonts w:ascii="Arial" w:cs="Arial" w:eastAsia="Arial" w:hAnsi="Arial"/>
          <w:sz w:val="19"/>
          <w:szCs w:val="19"/>
          <w:b w:val="1"/>
          <w:bCs w:val="1"/>
          <w:color w:val="auto"/>
        </w:rPr>
        <w:t>OpCo Exchange Notice</w:t>
      </w:r>
      <w:r>
        <w:rPr>
          <w:rFonts w:ascii="Arial" w:cs="Arial" w:eastAsia="Arial" w:hAnsi="Arial"/>
          <w:sz w:val="19"/>
          <w:szCs w:val="19"/>
          <w:color w:val="auto"/>
        </w:rPr>
        <w:t>”) to ZoomInfo OpCo, pursuant to which such Selling Stockholder will make an irrevocable election to exchange certain limited liability company units of ZoomInfo OpCo (all limited liability company units of ZoomInfo OpCo, “</w:t>
      </w:r>
      <w:r>
        <w:rPr>
          <w:rFonts w:ascii="Arial" w:cs="Arial" w:eastAsia="Arial" w:hAnsi="Arial"/>
          <w:sz w:val="19"/>
          <w:szCs w:val="19"/>
          <w:b w:val="1"/>
          <w:bCs w:val="1"/>
          <w:color w:val="auto"/>
        </w:rPr>
        <w:t>OpCo Units</w:t>
      </w:r>
      <w:r>
        <w:rPr>
          <w:rFonts w:ascii="Arial" w:cs="Arial" w:eastAsia="Arial" w:hAnsi="Arial"/>
          <w:sz w:val="19"/>
          <w:szCs w:val="19"/>
          <w:color w:val="auto"/>
        </w:rPr>
        <w:t>”), together with the related cancellation of shares of Class B Common Stock, for an equal number of Shares (a “</w:t>
      </w:r>
      <w:r>
        <w:rPr>
          <w:rFonts w:ascii="Arial" w:cs="Arial" w:eastAsia="Arial" w:hAnsi="Arial"/>
          <w:sz w:val="19"/>
          <w:szCs w:val="19"/>
          <w:b w:val="1"/>
          <w:bCs w:val="1"/>
          <w:color w:val="auto"/>
        </w:rPr>
        <w:t>OpCo Exchange</w:t>
      </w:r>
      <w:r>
        <w:rPr>
          <w:rFonts w:ascii="Arial" w:cs="Arial" w:eastAsia="Arial" w:hAnsi="Arial"/>
          <w:sz w:val="19"/>
          <w:szCs w:val="19"/>
          <w:color w:val="auto"/>
        </w:rPr>
        <w:t>”) or (c) execute and deliver an election of conversion (each such election, together with any OpCo Exchange Notice or HoldCo Exchange Notice, an “</w:t>
      </w:r>
      <w:r>
        <w:rPr>
          <w:rFonts w:ascii="Arial" w:cs="Arial" w:eastAsia="Arial" w:hAnsi="Arial"/>
          <w:sz w:val="19"/>
          <w:szCs w:val="19"/>
          <w:b w:val="1"/>
          <w:bCs w:val="1"/>
          <w:color w:val="auto"/>
        </w:rPr>
        <w:t>Exchange Notice</w:t>
      </w:r>
      <w:r>
        <w:rPr>
          <w:rFonts w:ascii="Arial" w:cs="Arial" w:eastAsia="Arial" w:hAnsi="Arial"/>
          <w:sz w:val="19"/>
          <w:szCs w:val="19"/>
          <w:color w:val="auto"/>
        </w:rPr>
        <w:t>”) to the Company, pursuant to which such Selling Stockholder will make an irrevocable election to convert certain shares of Class C Common Stock, together with the related cancellation of such shares of Class C Common Stock, for an equal number of Shares (a “</w:t>
      </w:r>
      <w:r>
        <w:rPr>
          <w:rFonts w:ascii="Arial" w:cs="Arial" w:eastAsia="Arial" w:hAnsi="Arial"/>
          <w:sz w:val="19"/>
          <w:szCs w:val="19"/>
          <w:b w:val="1"/>
          <w:bCs w:val="1"/>
          <w:color w:val="auto"/>
        </w:rPr>
        <w:t>Class C Conversion</w:t>
      </w:r>
      <w:r>
        <w:rPr>
          <w:rFonts w:ascii="Arial" w:cs="Arial" w:eastAsia="Arial" w:hAnsi="Arial"/>
          <w:sz w:val="19"/>
          <w:szCs w:val="19"/>
          <w:color w:val="auto"/>
        </w:rPr>
        <w:t xml:space="preserve"> ”), and (ii) in response to each Exchange Notice, the Company will consummate each OpCo Exchange, HoldCo Exchange or Class C Conversion by issuing the resulting Shares directly to the Underwriters at the Closing Date (as defined below) and each Option Closing Date (as defined below) (such transactions, the “</w:t>
      </w:r>
      <w:r>
        <w:rPr>
          <w:rFonts w:ascii="Arial" w:cs="Arial" w:eastAsia="Arial" w:hAnsi="Arial"/>
          <w:sz w:val="19"/>
          <w:szCs w:val="19"/>
          <w:b w:val="1"/>
          <w:bCs w:val="1"/>
          <w:color w:val="auto"/>
        </w:rPr>
        <w:t>Exchange Transactions</w:t>
      </w:r>
      <w:r>
        <w:rPr>
          <w:rFonts w:ascii="Arial" w:cs="Arial" w:eastAsia="Arial" w:hAnsi="Arial"/>
          <w:sz w:val="19"/>
          <w:szCs w:val="19"/>
          <w:color w:val="auto"/>
        </w:rPr>
        <w:t>”).</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has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registration statement on Form 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1 (File No. 333-[  ]), including a preliminary prospectus, relating to the Shares. The registration statement as amended at the time it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becomes effective, including the information (if any) deemed to be part of the registration statement at the time of effectiveness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pursuant to Rule 430A under the Securities Act of 1933, as amended (the “</w:t>
      </w:r>
      <w:r>
        <w:rPr>
          <w:rFonts w:ascii="Arial" w:cs="Arial" w:eastAsia="Arial" w:hAnsi="Arial"/>
          <w:sz w:val="20"/>
          <w:szCs w:val="20"/>
          <w:b w:val="1"/>
          <w:bCs w:val="1"/>
          <w:color w:val="auto"/>
        </w:rPr>
        <w:t>Securities Act</w:t>
      </w:r>
      <w:r>
        <w:rPr>
          <w:rFonts w:ascii="Arial" w:cs="Arial" w:eastAsia="Arial" w:hAnsi="Arial"/>
          <w:sz w:val="20"/>
          <w:szCs w:val="20"/>
          <w:color w:val="auto"/>
        </w:rPr>
        <w:t>”), is hereinafter referred to as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Statement</w:t>
      </w:r>
      <w:r>
        <w:rPr>
          <w:rFonts w:ascii="Arial" w:cs="Arial" w:eastAsia="Arial" w:hAnsi="Arial"/>
          <w:sz w:val="19"/>
          <w:szCs w:val="19"/>
          <w:color w:val="auto"/>
        </w:rPr>
        <w:t>”; the prospectus in the form first used to confirm sales of Shares (or in the form first made available to the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Underwriters by the Company to meet requests of purchasers pursuant to Rule 173 under the Securities Act) is hereinafter referred to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color w:val="auto"/>
        </w:rPr>
        <w:t>Prospectus</w:t>
      </w:r>
      <w:r>
        <w:rPr>
          <w:rFonts w:ascii="Arial" w:cs="Arial" w:eastAsia="Arial" w:hAnsi="Arial"/>
          <w:sz w:val="19"/>
          <w:szCs w:val="19"/>
          <w:color w:val="auto"/>
        </w:rPr>
        <w:t>.” If the Company has filed an abbreviated registration statement to register additional shares of Class A Common</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Stock pursuant to Rule 462(b) under the Securities Act (a “</w:t>
      </w:r>
      <w:r>
        <w:rPr>
          <w:rFonts w:ascii="Arial" w:cs="Arial" w:eastAsia="Arial" w:hAnsi="Arial"/>
          <w:sz w:val="19"/>
          <w:szCs w:val="19"/>
          <w:b w:val="1"/>
          <w:bCs w:val="1"/>
          <w:color w:val="auto"/>
        </w:rPr>
        <w:t>Rule 462 Registration Statement</w:t>
      </w:r>
      <w:r>
        <w:rPr>
          <w:rFonts w:ascii="Arial" w:cs="Arial" w:eastAsia="Arial" w:hAnsi="Arial"/>
          <w:sz w:val="19"/>
          <w:szCs w:val="19"/>
          <w:color w:val="auto"/>
        </w:rPr>
        <w:t>”), then any reference herein to the term</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“Registration Statement” shall be deemed to include such Rule 462 Registration Statement.</w:t>
      </w:r>
    </w:p>
    <w:p>
      <w:pPr>
        <w:spacing w:after="0" w:line="185" w:lineRule="exact"/>
        <w:rPr>
          <w:sz w:val="20"/>
          <w:szCs w:val="20"/>
          <w:color w:val="auto"/>
        </w:rPr>
      </w:pPr>
    </w:p>
    <w:p>
      <w:pPr>
        <w:ind w:right="160" w:firstLine="618"/>
        <w:spacing w:after="0" w:line="252" w:lineRule="auto"/>
        <w:rPr>
          <w:sz w:val="20"/>
          <w:szCs w:val="20"/>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color w:val="auto"/>
        </w:rPr>
        <w:t>free writing prospectus</w:t>
      </w:r>
      <w:r>
        <w:rPr>
          <w:rFonts w:ascii="Arial" w:cs="Arial" w:eastAsia="Arial" w:hAnsi="Arial"/>
          <w:sz w:val="21"/>
          <w:szCs w:val="21"/>
          <w:color w:val="auto"/>
        </w:rPr>
        <w:t>” has the meaning set forth in Rule 405 under the Securities Act, “</w:t>
      </w:r>
      <w:r>
        <w:rPr>
          <w:rFonts w:ascii="Arial" w:cs="Arial" w:eastAsia="Arial" w:hAnsi="Arial"/>
          <w:sz w:val="21"/>
          <w:szCs w:val="21"/>
          <w:b w:val="1"/>
          <w:bCs w:val="1"/>
          <w:color w:val="auto"/>
        </w:rPr>
        <w:t>preliminary prospectus</w:t>
      </w:r>
      <w:r>
        <w:rPr>
          <w:rFonts w:ascii="Arial" w:cs="Arial" w:eastAsia="Arial" w:hAnsi="Arial"/>
          <w:sz w:val="21"/>
          <w:szCs w:val="21"/>
          <w:color w:val="auto"/>
        </w:rPr>
        <w:t>” shall mean each prospectus used prior to the effectiveness of the Registration Statement, and each prospectus that omitted information pursuant to Rule 430A under the Securities Act that was used after such effectiveness and prior to the execution and delivery of this Agreement, “</w:t>
      </w:r>
      <w:r>
        <w:rPr>
          <w:rFonts w:ascii="Arial" w:cs="Arial" w:eastAsia="Arial" w:hAnsi="Arial"/>
          <w:sz w:val="21"/>
          <w:szCs w:val="21"/>
          <w:b w:val="1"/>
          <w:bCs w:val="1"/>
          <w:color w:val="auto"/>
        </w:rPr>
        <w:t>Time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1361" w:right="359" w:bottom="1440" w:gutter="0" w:footer="0" w:header="0"/>
        </w:sectPr>
      </w:pPr>
    </w:p>
    <w:bookmarkStart w:id="330" w:name="page331"/>
    <w:bookmarkEnd w:id="330"/>
    <w:p>
      <w:pPr>
        <w:ind w:right="40"/>
        <w:spacing w:after="0" w:line="265" w:lineRule="auto"/>
        <w:rPr>
          <w:sz w:val="20"/>
          <w:szCs w:val="20"/>
          <w:color w:val="auto"/>
        </w:rPr>
      </w:pPr>
      <w:r>
        <w:rPr>
          <w:rFonts w:ascii="Arial" w:cs="Arial" w:eastAsia="Arial" w:hAnsi="Arial"/>
          <w:sz w:val="20"/>
          <w:szCs w:val="20"/>
          <w:b w:val="1"/>
          <w:bCs w:val="1"/>
          <w:color w:val="auto"/>
        </w:rPr>
        <w:t>Prospectus</w:t>
      </w:r>
      <w:r>
        <w:rPr>
          <w:rFonts w:ascii="Arial" w:cs="Arial" w:eastAsia="Arial" w:hAnsi="Arial"/>
          <w:sz w:val="20"/>
          <w:szCs w:val="20"/>
          <w:color w:val="auto"/>
        </w:rPr>
        <w:t>” means the preliminary prospectus contained in the Registration Statement at the time of its effectiveness, together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documents and pricing information set forth in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hereto, and “</w:t>
      </w:r>
      <w:r>
        <w:rPr>
          <w:rFonts w:ascii="Arial" w:cs="Arial" w:eastAsia="Arial" w:hAnsi="Arial"/>
          <w:sz w:val="20"/>
          <w:szCs w:val="20"/>
          <w:b w:val="1"/>
          <w:bCs w:val="1"/>
          <w:color w:val="auto"/>
        </w:rPr>
        <w:t>broadly available road show</w:t>
      </w:r>
      <w:r>
        <w:rPr>
          <w:rFonts w:ascii="Arial" w:cs="Arial" w:eastAsia="Arial" w:hAnsi="Arial"/>
          <w:sz w:val="20"/>
          <w:szCs w:val="20"/>
          <w:color w:val="auto"/>
        </w:rPr>
        <w:t xml:space="preserve"> ”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66" w:lineRule="exact"/>
        <w:rPr>
          <w:sz w:val="20"/>
          <w:szCs w:val="20"/>
          <w:color w:val="auto"/>
        </w:rPr>
      </w:pPr>
    </w:p>
    <w:p>
      <w:pPr>
        <w:ind w:right="420" w:firstLine="621"/>
        <w:spacing w:after="0" w:line="265" w:lineRule="auto"/>
        <w:tabs>
          <w:tab w:leader="none" w:pos="1236" w:val="left"/>
        </w:tabs>
        <w:numPr>
          <w:ilvl w:val="0"/>
          <w:numId w:val="158"/>
        </w:numPr>
        <w:rPr>
          <w:rFonts w:ascii="Arial" w:cs="Arial" w:eastAsia="Arial" w:hAnsi="Arial"/>
          <w:sz w:val="21"/>
          <w:szCs w:val="21"/>
          <w:color w:val="auto"/>
        </w:rPr>
      </w:pPr>
      <w:r>
        <w:rPr>
          <w:rFonts w:ascii="Arial" w:cs="Arial" w:eastAsia="Arial" w:hAnsi="Arial"/>
          <w:sz w:val="21"/>
          <w:szCs w:val="21"/>
          <w:i w:val="1"/>
          <w:iCs w:val="1"/>
          <w:color w:val="auto"/>
        </w:rPr>
        <w:t>Representations and Warranties of the ZoomInfo Parties</w:t>
      </w:r>
      <w:r>
        <w:rPr>
          <w:rFonts w:ascii="Arial" w:cs="Arial" w:eastAsia="Arial" w:hAnsi="Arial"/>
          <w:sz w:val="21"/>
          <w:szCs w:val="21"/>
          <w:color w:val="auto"/>
        </w:rPr>
        <w:t>. Each ZoomInfo Party, jointly and severally, represents and</w:t>
      </w:r>
      <w:r>
        <w:rPr>
          <w:rFonts w:ascii="Arial" w:cs="Arial" w:eastAsia="Arial" w:hAnsi="Arial"/>
          <w:sz w:val="21"/>
          <w:szCs w:val="21"/>
          <w:i w:val="1"/>
          <w:iCs w:val="1"/>
          <w:color w:val="auto"/>
        </w:rPr>
        <w:t xml:space="preserve"> </w:t>
      </w:r>
      <w:r>
        <w:rPr>
          <w:rFonts w:ascii="Arial" w:cs="Arial" w:eastAsia="Arial" w:hAnsi="Arial"/>
          <w:sz w:val="21"/>
          <w:szCs w:val="21"/>
          <w:color w:val="auto"/>
        </w:rPr>
        <w:t>warrants to and agrees with each of the Underwriters and the Selling Stockholders that:</w:t>
      </w:r>
    </w:p>
    <w:p>
      <w:pPr>
        <w:spacing w:after="0" w:line="162" w:lineRule="exact"/>
        <w:rPr>
          <w:rFonts w:ascii="Arial" w:cs="Arial" w:eastAsia="Arial" w:hAnsi="Arial"/>
          <w:sz w:val="21"/>
          <w:szCs w:val="21"/>
          <w:color w:val="auto"/>
        </w:rPr>
      </w:pPr>
    </w:p>
    <w:p>
      <w:pPr>
        <w:ind w:left="620" w:right="160" w:firstLine="619"/>
        <w:spacing w:after="0" w:line="254" w:lineRule="auto"/>
        <w:tabs>
          <w:tab w:leader="none" w:pos="1853" w:val="left"/>
        </w:tabs>
        <w:numPr>
          <w:ilvl w:val="1"/>
          <w:numId w:val="158"/>
        </w:numPr>
        <w:rPr>
          <w:rFonts w:ascii="Arial" w:cs="Arial" w:eastAsia="Arial" w:hAnsi="Arial"/>
          <w:sz w:val="21"/>
          <w:szCs w:val="21"/>
          <w:color w:val="auto"/>
        </w:rPr>
      </w:pPr>
      <w:r>
        <w:rPr>
          <w:rFonts w:ascii="Arial" w:cs="Arial" w:eastAsia="Arial" w:hAnsi="Arial"/>
          <w:sz w:val="21"/>
          <w:szCs w:val="21"/>
          <w:color w:val="auto"/>
        </w:rPr>
        <w:t>The Registration Statement has become effective; no stop order suspending the effectiveness of the Registration Statement is in effect, and no proceedings for such purpose or pursuant to Section 8A of the Securities Act are pending before or, to the Company’s knowledge, threatened by the Commission.</w:t>
      </w:r>
    </w:p>
    <w:p>
      <w:pPr>
        <w:spacing w:after="0" w:line="173" w:lineRule="exact"/>
        <w:rPr>
          <w:rFonts w:ascii="Arial" w:cs="Arial" w:eastAsia="Arial" w:hAnsi="Arial"/>
          <w:sz w:val="21"/>
          <w:szCs w:val="21"/>
          <w:color w:val="auto"/>
        </w:rPr>
      </w:pPr>
    </w:p>
    <w:p>
      <w:pPr>
        <w:ind w:left="620" w:firstLine="619"/>
        <w:spacing w:after="0" w:line="271" w:lineRule="auto"/>
        <w:tabs>
          <w:tab w:leader="none" w:pos="1903" w:val="left"/>
        </w:tabs>
        <w:numPr>
          <w:ilvl w:val="1"/>
          <w:numId w:val="158"/>
        </w:numPr>
        <w:rPr>
          <w:rFonts w:ascii="Arial" w:cs="Arial" w:eastAsia="Arial" w:hAnsi="Arial"/>
          <w:sz w:val="19"/>
          <w:szCs w:val="19"/>
          <w:color w:val="auto"/>
        </w:rPr>
      </w:pPr>
      <w:r>
        <w:rPr>
          <w:rFonts w:ascii="Arial" w:cs="Arial" w:eastAsia="Arial" w:hAnsi="Arial"/>
          <w:sz w:val="19"/>
          <w:szCs w:val="19"/>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Registration Statement and the Prospectus comply and, as amended or supplemented, if applicable, will, as of the date of such amendment or supplement, comply in all material respects with the Securities Act and the applicable rules and regulations of the Commission thereunder and the Prospectus, as then amended or supplemented by the Company, if applicable, will, as of the Closing Date and each Option Closing Date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as amended or supplemented, if applicable, as of the date of such amendment or supplement will not contain, and, as then amended or supplemented by the Company, if applicable, as of the Closing Date and each Option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clauses (i), (iii), (iv) and (v) of this paragraph do not apply to statements or omissions in the Registration Statement,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61" w:right="339" w:bottom="1440" w:gutter="0" w:footer="0" w:header="0"/>
        </w:sectPr>
      </w:pPr>
    </w:p>
    <w:bookmarkStart w:id="331" w:name="page332"/>
    <w:bookmarkEnd w:id="331"/>
    <w:p>
      <w:pPr>
        <w:ind w:right="20"/>
        <w:spacing w:after="0" w:line="246" w:lineRule="auto"/>
        <w:rPr>
          <w:sz w:val="20"/>
          <w:szCs w:val="20"/>
          <w:color w:val="auto"/>
        </w:rPr>
      </w:pPr>
      <w:r>
        <w:rPr>
          <w:rFonts w:ascii="Arial" w:cs="Arial" w:eastAsia="Arial" w:hAnsi="Arial"/>
          <w:sz w:val="21"/>
          <w:szCs w:val="21"/>
          <w:color w:val="auto"/>
        </w:rPr>
        <w:t>Time of Sale Prospectus or the Prospectus made in reliance upon and in conformity with (x) information relating to any Underwriter furnished to the Company in writing by or on behalf of any such Underwriter through you expressly for use therein, it being understood and agreed that the only such information furnished by any Underwriter consists of the information described as such in Section 10(b) hereof, or (y) information relating to any Selling Stockholder furnished to the Company in writing by or on behalf of any such Selling Stockholder expressly for use therein, it being understood and agreed that the only such information furnished by any Selling Stockholder consists of the Selling Stockholder Information (as such term is defined in Section 2(f) hereof).</w:t>
      </w:r>
    </w:p>
    <w:p>
      <w:pPr>
        <w:spacing w:after="0" w:line="186" w:lineRule="exact"/>
        <w:rPr>
          <w:sz w:val="20"/>
          <w:szCs w:val="20"/>
          <w:color w:val="auto"/>
        </w:rPr>
      </w:pPr>
    </w:p>
    <w:p>
      <w:pPr>
        <w:ind w:firstLine="619"/>
        <w:spacing w:after="0" w:line="271" w:lineRule="auto"/>
        <w:tabs>
          <w:tab w:leader="none" w:pos="123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The Company is not and, at the time of filing the Registration Statement and any post-effective amendment thereto and at the earliest time thereafter that the Company or any offering participant made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offer (within the meaning of Rule 164(h)(2) under the Securities Act) of the Shares the Company was not, an “ineligible issuer” in connection with the offering pursuant to Rule 164, 405 or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effective date of this Agreement, will comply, when filed, in all material respects with the requirements of the Securities Act and the applicable rules and regulations of the Commission thereunder and does not conflict with the information contained in the Registration Statement, the Time of Sale Prospectus and the Prospectus. No free writing prospectus listed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included an untrue statement of a material fact or omitted to state a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this representation and warranty shall not apply to statements or omissions made in a free writing prospectus in reliance upon and in conformity with (x) information relating to any Underwriter furnished to the Company in writing by or on behalf of any such Underwriter through you expressly for use therein, it being understood and agreed that the only such information furnished by any Underwriter consists of the information described as such in Section 10(b) hereof, or (y) information relating to any Selling Stockholder furnished to the Company in writing by or on behalf of any such Selling Stockholder expressly for use therein, it being understood and agreed that the only such information furnished by any Selling Stockholder consists of the Selling Stockholder Information. Except for the free writing prospectuses, if any, identified in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and electronic road shows, if any, each furnished to you before first use, the Company has not prepared, used or referred to, and will not, without your prior consent, prepare, use or refer to, any free writing prospectus.</w:t>
      </w:r>
    </w:p>
    <w:p>
      <w:pPr>
        <w:spacing w:after="0" w:line="161" w:lineRule="exact"/>
        <w:rPr>
          <w:rFonts w:ascii="Arial" w:cs="Arial" w:eastAsia="Arial" w:hAnsi="Arial"/>
          <w:sz w:val="19"/>
          <w:szCs w:val="19"/>
          <w:color w:val="auto"/>
        </w:rPr>
      </w:pPr>
    </w:p>
    <w:p>
      <w:pPr>
        <w:jc w:val="both"/>
        <w:ind w:right="20" w:firstLine="619"/>
        <w:spacing w:after="0" w:line="254" w:lineRule="auto"/>
        <w:tabs>
          <w:tab w:leader="none" w:pos="1232" w:val="left"/>
        </w:tabs>
        <w:numPr>
          <w:ilvl w:val="0"/>
          <w:numId w:val="159"/>
        </w:numPr>
        <w:rPr>
          <w:rFonts w:ascii="Arial" w:cs="Arial" w:eastAsia="Arial" w:hAnsi="Arial"/>
          <w:sz w:val="21"/>
          <w:szCs w:val="21"/>
          <w:color w:val="auto"/>
        </w:rPr>
      </w:pPr>
      <w:r>
        <w:rPr>
          <w:rFonts w:ascii="Arial" w:cs="Arial" w:eastAsia="Arial" w:hAnsi="Arial"/>
          <w:sz w:val="21"/>
          <w:szCs w:val="21"/>
          <w:color w:val="auto"/>
        </w:rPr>
        <w:t>Solely to the extent that the Sarbanes-Oxley Act of 2002, as amended, and the rules and regulations promulgated (the “</w:t>
      </w:r>
      <w:r>
        <w:rPr>
          <w:rFonts w:ascii="Arial" w:cs="Arial" w:eastAsia="Arial" w:hAnsi="Arial"/>
          <w:sz w:val="21"/>
          <w:szCs w:val="21"/>
          <w:b w:val="1"/>
          <w:bCs w:val="1"/>
          <w:color w:val="auto"/>
        </w:rPr>
        <w:t>Sarbanes-Oxley Act</w:t>
      </w:r>
      <w:r>
        <w:rPr>
          <w:rFonts w:ascii="Arial" w:cs="Arial" w:eastAsia="Arial" w:hAnsi="Arial"/>
          <w:sz w:val="21"/>
          <w:szCs w:val="21"/>
          <w:color w:val="auto"/>
        </w:rPr>
        <w:t>”) has been applicable to the Company, there is and has been no failure on the part of the Company or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620"/>
          </w:cols>
          <w:pgMar w:left="940" w:top="1367" w:right="339" w:bottom="1440" w:gutter="0" w:footer="0" w:header="0"/>
        </w:sectPr>
      </w:pPr>
    </w:p>
    <w:bookmarkStart w:id="332" w:name="page333"/>
    <w:bookmarkEnd w:id="332"/>
    <w:p>
      <w:pPr>
        <w:ind w:right="840"/>
        <w:spacing w:after="0" w:line="290" w:lineRule="auto"/>
        <w:rPr>
          <w:sz w:val="20"/>
          <w:szCs w:val="20"/>
          <w:color w:val="auto"/>
        </w:rPr>
      </w:pPr>
      <w:r>
        <w:rPr>
          <w:rFonts w:ascii="Arial" w:cs="Arial" w:eastAsia="Arial" w:hAnsi="Arial"/>
          <w:sz w:val="20"/>
          <w:szCs w:val="20"/>
          <w:color w:val="auto"/>
        </w:rPr>
        <w:t>Company’s directors or officers, in their capacities as such, to comply in all material respects with any provision of the Sarbanes-Oxley Act in connection therewith with which any of them are required to comply.</w:t>
      </w:r>
    </w:p>
    <w:p>
      <w:pPr>
        <w:spacing w:after="0" w:line="140" w:lineRule="exact"/>
        <w:rPr>
          <w:sz w:val="20"/>
          <w:szCs w:val="20"/>
          <w:color w:val="auto"/>
        </w:rPr>
      </w:pPr>
    </w:p>
    <w:p>
      <w:pPr>
        <w:ind w:right="20" w:firstLine="619"/>
        <w:spacing w:after="0" w:line="294" w:lineRule="auto"/>
        <w:tabs>
          <w:tab w:leader="none" w:pos="123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(to the extent the concept of good standing or an equivalent concept is applicable in such jurisdiction), except to the extent that the failure to be so qualified or be in good standing would not, singly or in the aggregate, have a material adverse effect on the Company and its Subsidiaries, taken as a whole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firstLine="619"/>
        <w:spacing w:after="0" w:line="288" w:lineRule="auto"/>
        <w:tabs>
          <w:tab w:leader="none" w:pos="123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Subsidiary of the Company has been duly incorporated, organized or formed, is validly existing as a corporation or other business entity in good standing under the laws of the jurisdiction of its incorporation, organization or formation (to the extent the concept of good standing or an equivalent concept is applicable in such jurisdiction),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(to the extent the concept of good standing or an equivalent concept is applicable in such jurisdiction), except to the extent that the failure to be so qualified or be in good standing would not, singly or in the aggregate, have a Material Adverse Effect; and all of the issued shares of capital stock or other equity interests of each Subsidiary of the Company have been duly and validly authorized and issued, are fully paid and non-assessable (to the extent that such concepts are applicable in such jurisdiction) and, except as disclosed in each of the Registration Statement, the Time of Sale Prospectus and the Prospectus, are owned directly or indirectly by the Company, free and clear of all liens, encumbrances, equities or claims, except for (i) any such liens or encumbrances arising pursuant to indebtedness or financing arrangements described in the Registration Statement, the Time of Sale Prospectus and the Prospectus and (ii) such other liens, encumbrances, equities or claims as would not, singly or in the aggregate, have a Material Adverse Effect. The Company does not own or control, directly or indirectly, any corporation, association or other entity other than the Subsidiaries listed in Exhibit 21.1 to the Registration Statement.</w:t>
      </w:r>
    </w:p>
    <w:p>
      <w:pPr>
        <w:spacing w:after="0" w:line="146" w:lineRule="exact"/>
        <w:rPr>
          <w:rFonts w:ascii="Arial" w:cs="Arial" w:eastAsia="Arial" w:hAnsi="Arial"/>
          <w:sz w:val="18"/>
          <w:szCs w:val="18"/>
          <w:color w:val="auto"/>
        </w:rPr>
      </w:pPr>
    </w:p>
    <w:p>
      <w:pPr>
        <w:ind w:right="100" w:firstLine="619"/>
        <w:spacing w:after="0" w:line="265" w:lineRule="auto"/>
        <w:tabs>
          <w:tab w:leader="none" w:pos="1232" w:val="left"/>
        </w:tabs>
        <w:numPr>
          <w:ilvl w:val="0"/>
          <w:numId w:val="160"/>
        </w:numPr>
        <w:rPr>
          <w:rFonts w:ascii="Arial" w:cs="Arial" w:eastAsia="Arial" w:hAnsi="Arial"/>
          <w:sz w:val="21"/>
          <w:szCs w:val="21"/>
          <w:color w:val="auto"/>
        </w:rPr>
      </w:pPr>
      <w:r>
        <w:rPr>
          <w:rFonts w:ascii="Arial" w:cs="Arial" w:eastAsia="Arial" w:hAnsi="Arial"/>
          <w:sz w:val="21"/>
          <w:szCs w:val="21"/>
          <w:color w:val="auto"/>
        </w:rPr>
        <w:t>Each ZoomInfo Party has the requisite corporate or limited liability company, as applicable, power and authority to execute, deliver and perform its obligations under this Agreement.</w:t>
      </w:r>
    </w:p>
    <w:p>
      <w:pPr>
        <w:spacing w:after="0" w:line="162" w:lineRule="exact"/>
        <w:rPr>
          <w:rFonts w:ascii="Arial" w:cs="Arial" w:eastAsia="Arial" w:hAnsi="Arial"/>
          <w:sz w:val="21"/>
          <w:szCs w:val="21"/>
          <w:color w:val="auto"/>
        </w:rPr>
      </w:pPr>
    </w:p>
    <w:p>
      <w:pPr>
        <w:ind w:left="1240" w:hanging="621"/>
        <w:spacing w:after="0"/>
        <w:tabs>
          <w:tab w:leader="none" w:pos="124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This Agreement has been duly authorized, executed and delivered by each ZoomInfo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0620"/>
          </w:cols>
          <w:pgMar w:left="940" w:top="1367" w:right="339" w:bottom="1440" w:gutter="0" w:footer="0" w:header="0"/>
        </w:sectPr>
      </w:pPr>
    </w:p>
    <w:bookmarkStart w:id="333" w:name="page334"/>
    <w:bookmarkEnd w:id="333"/>
    <w:p>
      <w:pPr>
        <w:ind w:left="-500" w:right="740" w:firstLine="619"/>
        <w:spacing w:after="0" w:line="265" w:lineRule="auto"/>
        <w:tabs>
          <w:tab w:leader="none" w:pos="72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This Agreement conforms in all material respects to the description thereof contained in the Registration Statement, the Time of Sale Prospectus and the Prospectus.</w:t>
      </w:r>
    </w:p>
    <w:p>
      <w:pPr>
        <w:spacing w:after="0" w:line="162" w:lineRule="exact"/>
        <w:rPr>
          <w:rFonts w:ascii="Arial" w:cs="Arial" w:eastAsia="Arial" w:hAnsi="Arial"/>
          <w:sz w:val="21"/>
          <w:szCs w:val="21"/>
          <w:color w:val="auto"/>
        </w:rPr>
      </w:pPr>
    </w:p>
    <w:p>
      <w:pPr>
        <w:ind w:left="-500" w:right="180" w:firstLine="619"/>
        <w:spacing w:after="0" w:line="254" w:lineRule="auto"/>
        <w:tabs>
          <w:tab w:leader="none" w:pos="72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authorized capital stock of the Company conforms as to legal matters in all material respects to the descriptions thereof contained in the section entitled “Description of Capital Stock” in the Registration Statement, the Time of Sale Prospectus and the Prospectus.</w:t>
      </w:r>
    </w:p>
    <w:p>
      <w:pPr>
        <w:spacing w:after="0" w:line="173" w:lineRule="exact"/>
        <w:rPr>
          <w:rFonts w:ascii="Arial" w:cs="Arial" w:eastAsia="Arial" w:hAnsi="Arial"/>
          <w:sz w:val="21"/>
          <w:szCs w:val="21"/>
          <w:color w:val="auto"/>
        </w:rPr>
      </w:pPr>
    </w:p>
    <w:p>
      <w:pPr>
        <w:ind w:left="-500" w:right="380" w:firstLine="619"/>
        <w:spacing w:after="0" w:line="349" w:lineRule="auto"/>
        <w:tabs>
          <w:tab w:leader="none" w:pos="73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of September 30, 2020, the Company has an authorized capitalization as set forth under the capitalization table in the section entitled “Capitalization” in the Registration Statement, the Time of Sale Prospectus and the Prospectus.</w:t>
      </w:r>
    </w:p>
    <w:p>
      <w:pPr>
        <w:spacing w:after="0" w:line="93" w:lineRule="exact"/>
        <w:rPr>
          <w:rFonts w:ascii="Arial" w:cs="Arial" w:eastAsia="Arial" w:hAnsi="Arial"/>
          <w:sz w:val="18"/>
          <w:szCs w:val="18"/>
          <w:color w:val="auto"/>
        </w:rPr>
      </w:pPr>
    </w:p>
    <w:p>
      <w:pPr>
        <w:ind w:left="-500" w:firstLine="619"/>
        <w:spacing w:after="0" w:line="272" w:lineRule="auto"/>
        <w:tabs>
          <w:tab w:leader="none" w:pos="72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 The issued and outstanding shares of Class A Common Stock (including the Shares) have been duly authorized and are (or, with respect to the Shares, when issued, delivered and paid for in accordance with the terms of this Agreement, will be) validly issued, fully paid and non-assessable (or, in the case of shares of Class A Common Stock that will be issued pursuant to the exercise of outstanding stock options subsequent to the execution of this Agreement but prior to the Closing Date or each Option Closing Date, as applicable, such shares of Class A Common Stock will be duly authorized and validly issued and will be fully paid and non-assessable at the Closing Date or such Option Closing Date, as applicable), and (ii) the issued and outstanding shares of Class B Common Stock and the issued and outstanding shares of Class C Common Stock have been duly authorized and are validly issued, fully paid and non-assessable. Except as described in each of the Registration Statement, the Time of Sale Prospectus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of its Subsidiaries, any such convertible or exchangeable securities or any such rights, warrants or options.</w:t>
      </w:r>
    </w:p>
    <w:p>
      <w:pPr>
        <w:spacing w:after="0" w:line="167" w:lineRule="exact"/>
        <w:rPr>
          <w:rFonts w:ascii="Arial" w:cs="Arial" w:eastAsia="Arial" w:hAnsi="Arial"/>
          <w:sz w:val="19"/>
          <w:szCs w:val="19"/>
          <w:color w:val="auto"/>
        </w:rPr>
      </w:pPr>
    </w:p>
    <w:p>
      <w:pPr>
        <w:ind w:left="-500" w:right="20" w:firstLine="619"/>
        <w:spacing w:after="0" w:line="293" w:lineRule="auto"/>
        <w:tabs>
          <w:tab w:leader="none" w:pos="72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With respect to the stock options granted pursuant to the stock-based compensation plans of the Company and its Subsidiaries (the “</w:t>
      </w:r>
      <w:r>
        <w:rPr>
          <w:rFonts w:ascii="Arial" w:cs="Arial" w:eastAsia="Arial" w:hAnsi="Arial"/>
          <w:sz w:val="19"/>
          <w:szCs w:val="19"/>
          <w:b w:val="1"/>
          <w:bCs w:val="1"/>
          <w:color w:val="auto"/>
        </w:rPr>
        <w:t>Stock Plans</w:t>
      </w:r>
      <w:r>
        <w:rPr>
          <w:rFonts w:ascii="Arial" w:cs="Arial" w:eastAsia="Arial" w:hAnsi="Arial"/>
          <w:sz w:val="19"/>
          <w:szCs w:val="19"/>
          <w:color w:val="auto"/>
        </w:rPr>
        <w:t>”), each grant of a stock option has been made in accordance with the terms of the Stock Plans and all applicable laws and regulatory rules or requirements, including all applicable federal securities laws.</w:t>
      </w:r>
    </w:p>
    <w:p>
      <w:pPr>
        <w:spacing w:after="0" w:line="139" w:lineRule="exact"/>
        <w:rPr>
          <w:rFonts w:ascii="Arial" w:cs="Arial" w:eastAsia="Arial" w:hAnsi="Arial"/>
          <w:sz w:val="19"/>
          <w:szCs w:val="19"/>
          <w:color w:val="auto"/>
        </w:rPr>
      </w:pPr>
    </w:p>
    <w:p>
      <w:pPr>
        <w:ind w:left="-500" w:right="60" w:firstLine="619"/>
        <w:spacing w:after="0" w:line="281" w:lineRule="auto"/>
        <w:tabs>
          <w:tab w:leader="none" w:pos="73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execution and delivery by each ZoomInfo Party of, and the performance by each ZoomInfo Party of its obligations under, this Agreement and the consummation of the Exchange Transactions and the other transactions contemplated by this Agreement will not contravene any provision of (i) applicable law, (ii) the charter or by-laws or similar organizational documents of the applicable ZoomInfo Party, (iii) any agreement or other instrument binding upon the Company or any of its Subsidiaries (other than, for the avoidance of doubt, the “clear market” provisions of the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0080"/>
          </w:cols>
          <w:pgMar w:left="1440" w:top="1367" w:right="379" w:bottom="1440" w:gutter="0" w:footer="0" w:header="0"/>
        </w:sectPr>
      </w:pPr>
    </w:p>
    <w:bookmarkStart w:id="334" w:name="page335"/>
    <w:bookmarkEnd w:id="334"/>
    <w:p>
      <w:pPr>
        <w:spacing w:after="0" w:line="272" w:lineRule="auto"/>
        <w:rPr>
          <w:sz w:val="20"/>
          <w:szCs w:val="20"/>
          <w:color w:val="auto"/>
        </w:rPr>
      </w:pPr>
      <w:r>
        <w:rPr>
          <w:rFonts w:ascii="Arial" w:cs="Arial" w:eastAsia="Arial" w:hAnsi="Arial"/>
          <w:sz w:val="19"/>
          <w:szCs w:val="19"/>
          <w:color w:val="auto"/>
        </w:rPr>
        <w:t>agreement entered into in connection with the Company’s initial public offering, to the extent waived as required thereunder with respect to the offering of the Shares) or (iv) any judgment, order or decree of any governmental body, agency or court having jurisdiction over the Company or any Subsidiary, except any such contravention that, in the case of clauses (i), (iii) and (iv), would not, singly or in the aggregate, have a Material Adverse Effect; and no consent, approval, authorization or order of, or qualification with, any governmental body or agency is required for the performance by any ZoomInfo Party of its obligations under this Agreement and the consummation of the Exchange Transactions and the other transactions contemplated by this Agreement, except for (i) registration under the Securities Act of the Shares, (ii) such as shall have been obtained or waived prior to the date of this Agreement, except where the failure to obtain such consents, approvals, authorizations, orders or qualifications would not impair, in any material respect, the consummation by the ZoomInfo Parties of the transactions contemplated by this Agreement and would not, singly or in the aggregate, have a Material Adverse Effect, (iii) such consents, approvals, authorizations, orders and registrations or qualifications as may be required by the Financial Industry Regulatory Authority, Inc. (“</w:t>
      </w:r>
      <w:r>
        <w:rPr>
          <w:rFonts w:ascii="Arial" w:cs="Arial" w:eastAsia="Arial" w:hAnsi="Arial"/>
          <w:sz w:val="19"/>
          <w:szCs w:val="19"/>
          <w:b w:val="1"/>
          <w:bCs w:val="1"/>
          <w:color w:val="auto"/>
        </w:rPr>
        <w:t>FINRA</w:t>
      </w:r>
      <w:r>
        <w:rPr>
          <w:rFonts w:ascii="Arial" w:cs="Arial" w:eastAsia="Arial" w:hAnsi="Arial"/>
          <w:sz w:val="19"/>
          <w:szCs w:val="19"/>
          <w:color w:val="auto"/>
        </w:rPr>
        <w:t>”) and (iv) such as may be required by the securities or Blue Sky laws of the various states or foreign jurisdictions in connection with the purchase and distribution of the Shares by the Underwriters.</w:t>
      </w:r>
    </w:p>
    <w:p>
      <w:pPr>
        <w:spacing w:after="0" w:line="168" w:lineRule="exact"/>
        <w:rPr>
          <w:sz w:val="20"/>
          <w:szCs w:val="20"/>
          <w:color w:val="auto"/>
        </w:rPr>
      </w:pPr>
    </w:p>
    <w:p>
      <w:pPr>
        <w:ind w:right="140" w:firstLine="619"/>
        <w:spacing w:after="0" w:line="274" w:lineRule="auto"/>
        <w:tabs>
          <w:tab w:leader="none" w:pos="123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or decree of any governmental body, agency or court having jurisdiction over the Company or any of its Subsidiaries, except, in the case of clauses (ii) and (iii) above, for any such default or violation that would not, singly or in the aggregate, have a Material Adverse Effect or materially affect the power or ability of any ZoomInfo Party to perform its obligations under this Agreement.</w:t>
      </w:r>
    </w:p>
    <w:p>
      <w:pPr>
        <w:spacing w:after="0" w:line="163" w:lineRule="exact"/>
        <w:rPr>
          <w:rFonts w:ascii="Arial" w:cs="Arial" w:eastAsia="Arial" w:hAnsi="Arial"/>
          <w:sz w:val="19"/>
          <w:szCs w:val="19"/>
          <w:color w:val="auto"/>
        </w:rPr>
      </w:pPr>
    </w:p>
    <w:p>
      <w:pPr>
        <w:ind w:right="120" w:firstLine="619"/>
        <w:spacing w:after="0" w:line="278" w:lineRule="auto"/>
        <w:tabs>
          <w:tab w:leader="none" w:pos="123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Except as disclosed in each of the Registration Statement, the Time of Sale Prospectus and the Prospectus, and except where such restrictions would not, singly or in the aggregate, have a Material Adverse Effect,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620"/>
          </w:cols>
          <w:pgMar w:left="940" w:top="1367" w:right="339" w:bottom="1440" w:gutter="0" w:footer="0" w:header="0"/>
        </w:sectPr>
      </w:pPr>
    </w:p>
    <w:bookmarkStart w:id="335" w:name="page336"/>
    <w:bookmarkEnd w:id="335"/>
    <w:p>
      <w:pPr>
        <w:ind w:left="-500" w:firstLine="619"/>
        <w:spacing w:after="0" w:line="250" w:lineRule="auto"/>
        <w:tabs>
          <w:tab w:leader="none" w:pos="732"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There has not occurred any material adverse change, or any development involving a prospective material adverse change, in the condition, financial or otherwise, or in the earnings, business, management or operations of the Company and its Subsidiaries, taken as a whole, from that set forth in the Registration Statement, the Time of Sale Prospectus and the Prospectus.</w:t>
      </w:r>
    </w:p>
    <w:p>
      <w:pPr>
        <w:spacing w:after="0" w:line="178" w:lineRule="exact"/>
        <w:rPr>
          <w:rFonts w:ascii="Arial" w:cs="Arial" w:eastAsia="Arial" w:hAnsi="Arial"/>
          <w:sz w:val="21"/>
          <w:szCs w:val="21"/>
          <w:color w:val="auto"/>
        </w:rPr>
      </w:pPr>
    </w:p>
    <w:p>
      <w:pPr>
        <w:ind w:left="-500" w:firstLine="619"/>
        <w:spacing w:after="0" w:line="290" w:lineRule="auto"/>
        <w:tabs>
          <w:tab w:leader="none" w:pos="73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to the knowledge of the Company, threatened, or governmental investigations, to the knowledge of the Company, pending or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have a Material Adverse Effect or a material adverse effect on the power or ability of any ZoomInfo Party to perform its obligations under this Agreement or to consummate the transactions contemplated by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to which the Company or any of its Subsidiaries is subject or by which the Company or any of its Subsidiaries is bound that are required to be described in the Registration Statement, the Time of Sale Prospectus or the Prospectus or to be filed as exhibits to the Registration Statement that are not described or filed as required.</w:t>
      </w:r>
    </w:p>
    <w:p>
      <w:pPr>
        <w:spacing w:after="0" w:line="146" w:lineRule="exact"/>
        <w:rPr>
          <w:rFonts w:ascii="Arial" w:cs="Arial" w:eastAsia="Arial" w:hAnsi="Arial"/>
          <w:sz w:val="18"/>
          <w:szCs w:val="18"/>
          <w:color w:val="auto"/>
        </w:rPr>
      </w:pPr>
    </w:p>
    <w:p>
      <w:pPr>
        <w:ind w:left="-500" w:right="120" w:firstLine="619"/>
        <w:spacing w:after="0" w:line="254" w:lineRule="auto"/>
        <w:tabs>
          <w:tab w:leader="none" w:pos="735" w:val="left"/>
        </w:tabs>
        <w:numPr>
          <w:ilvl w:val="0"/>
          <w:numId w:val="163"/>
        </w:numPr>
        <w:rPr>
          <w:rFonts w:ascii="Arial" w:cs="Arial" w:eastAsia="Arial" w:hAnsi="Arial"/>
          <w:sz w:val="21"/>
          <w:szCs w:val="21"/>
          <w:color w:val="auto"/>
        </w:rPr>
      </w:pPr>
      <w:r>
        <w:rPr>
          <w:rFonts w:ascii="Arial" w:cs="Arial" w:eastAsia="Arial" w:hAnsi="Arial"/>
          <w:sz w:val="21"/>
          <w:szCs w:val="21"/>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73" w:lineRule="exact"/>
        <w:rPr>
          <w:rFonts w:ascii="Arial" w:cs="Arial" w:eastAsia="Arial" w:hAnsi="Arial"/>
          <w:sz w:val="21"/>
          <w:szCs w:val="21"/>
          <w:color w:val="auto"/>
        </w:rPr>
      </w:pPr>
    </w:p>
    <w:p>
      <w:pPr>
        <w:ind w:left="-500" w:right="140" w:firstLine="619"/>
        <w:spacing w:after="0" w:line="254" w:lineRule="auto"/>
        <w:tabs>
          <w:tab w:leader="none" w:pos="724"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Company is not and, after giving effect to the offering will not be, an “investment company” or an entity “controlled” by an “investment company” as such terms are defined in the Investment Company Act of 1940, as amended, and the rules and regulations of the Commission thereunder.</w:t>
      </w:r>
    </w:p>
    <w:p>
      <w:pPr>
        <w:spacing w:after="0" w:line="173" w:lineRule="exact"/>
        <w:rPr>
          <w:rFonts w:ascii="Arial" w:cs="Arial" w:eastAsia="Arial" w:hAnsi="Arial"/>
          <w:sz w:val="21"/>
          <w:szCs w:val="21"/>
          <w:color w:val="auto"/>
        </w:rPr>
      </w:pPr>
    </w:p>
    <w:p>
      <w:pPr>
        <w:ind w:left="-500" w:right="80" w:firstLine="619"/>
        <w:spacing w:after="0" w:line="275" w:lineRule="auto"/>
        <w:tabs>
          <w:tab w:leader="none" w:pos="73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9"/>
          <w:szCs w:val="19"/>
          <w:b w:val="1"/>
          <w:bCs w:val="1"/>
          <w:color w:val="auto"/>
        </w:rPr>
        <w:t>Environmental Laws</w:t>
      </w:r>
      <w:r>
        <w:rPr>
          <w:rFonts w:ascii="Arial" w:cs="Arial" w:eastAsia="Arial" w:hAnsi="Arial"/>
          <w:sz w:val="19"/>
          <w:szCs w:val="19"/>
          <w:color w:val="auto"/>
        </w:rPr>
        <w:t>”), (ii) have received all permits, licenses or other approvals required of them under applicable Environmental Laws to conduct their respective businesses as presently conducted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 None of the Company or any of its Subsidiaries is responsible for any costs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0080"/>
          </w:cols>
          <w:pgMar w:left="1440" w:top="1367" w:right="379" w:bottom="1440" w:gutter="0" w:footer="0" w:header="0"/>
        </w:sectPr>
      </w:pPr>
    </w:p>
    <w:bookmarkStart w:id="336" w:name="page337"/>
    <w:bookmarkEnd w:id="336"/>
    <w:p>
      <w:pPr>
        <w:ind w:right="240"/>
        <w:spacing w:after="0" w:line="250" w:lineRule="auto"/>
        <w:rPr>
          <w:sz w:val="20"/>
          <w:szCs w:val="20"/>
          <w:color w:val="auto"/>
        </w:rPr>
      </w:pPr>
      <w:r>
        <w:rPr>
          <w:rFonts w:ascii="Arial" w:cs="Arial" w:eastAsia="Arial" w:hAnsi="Arial"/>
          <w:sz w:val="21"/>
          <w:szCs w:val="21"/>
          <w:color w:val="auto"/>
        </w:rPr>
        <w:t>liabilities under any applicable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w:t>
      </w:r>
    </w:p>
    <w:p>
      <w:pPr>
        <w:spacing w:after="0" w:line="179" w:lineRule="exact"/>
        <w:rPr>
          <w:sz w:val="20"/>
          <w:szCs w:val="20"/>
          <w:color w:val="auto"/>
        </w:rPr>
      </w:pPr>
    </w:p>
    <w:p>
      <w:pPr>
        <w:ind w:right="120" w:firstLine="619"/>
        <w:spacing w:after="0" w:line="300" w:lineRule="auto"/>
        <w:tabs>
          <w:tab w:leader="none" w:pos="123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Time of Sale Prospectus and the Prospectus or as have been validly waived or complied with in connection with the sale of the Shares contemplated hereby, there are no contracts, agreements or understandings between any ZoomInfo Party and any person granting such person the right to require any ZoomInfo Party to file a registration statement under the Securities Act with respect to any securities of a ZoomInfo Party or to require any ZoomInfo Party to include such securities with the Shares registered pursuant to the Registration Statement.</w:t>
      </w:r>
    </w:p>
    <w:p>
      <w:pPr>
        <w:spacing w:after="0" w:line="135" w:lineRule="exact"/>
        <w:rPr>
          <w:rFonts w:ascii="Arial" w:cs="Arial" w:eastAsia="Arial" w:hAnsi="Arial"/>
          <w:sz w:val="18"/>
          <w:szCs w:val="18"/>
          <w:color w:val="auto"/>
        </w:rPr>
      </w:pPr>
    </w:p>
    <w:p>
      <w:pPr>
        <w:ind w:firstLine="619"/>
        <w:spacing w:after="0" w:line="290" w:lineRule="auto"/>
        <w:tabs>
          <w:tab w:leader="none" w:pos="122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None of the Company or any of its Subsidiaries, or any director or officer thereof, or, to the knowledge of the Company, any agent, controlled affiliate, employee or representative of the Company or of any of its Subsidiaries or controlled affiliates, has taken any action in furtherance of an offer, payment, promise to pay or authorization or approval of the payment, giving or receipt of money, property, gifts or anything else of value, directly or, knowingly,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and (ii) the Company and each of its Subsidiaries has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w:t>
      </w:r>
    </w:p>
    <w:p>
      <w:pPr>
        <w:spacing w:after="0" w:line="151" w:lineRule="exact"/>
        <w:rPr>
          <w:rFonts w:ascii="Arial" w:cs="Arial" w:eastAsia="Arial" w:hAnsi="Arial"/>
          <w:sz w:val="18"/>
          <w:szCs w:val="18"/>
          <w:color w:val="auto"/>
        </w:rPr>
      </w:pPr>
    </w:p>
    <w:p>
      <w:pPr>
        <w:ind w:firstLine="619"/>
        <w:spacing w:after="0" w:line="274" w:lineRule="auto"/>
        <w:tabs>
          <w:tab w:leader="none" w:pos="123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conducts business, the rules and regulations thereunder and any related or similar rules, regulations or guidelines, issued, administered or enforced by any governmental agency having jurisdiction over the Company or any its Subsidiaries (collectively, the “</w:t>
      </w:r>
      <w:r>
        <w:rPr>
          <w:rFonts w:ascii="Arial" w:cs="Arial" w:eastAsia="Arial" w:hAnsi="Arial"/>
          <w:sz w:val="19"/>
          <w:szCs w:val="19"/>
          <w:b w:val="1"/>
          <w:bCs w:val="1"/>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620"/>
          </w:cols>
          <w:pgMar w:left="940" w:top="1367" w:right="339" w:bottom="1440" w:gutter="0" w:footer="0" w:header="0"/>
        </w:sectPr>
      </w:pPr>
    </w:p>
    <w:bookmarkStart w:id="337" w:name="page338"/>
    <w:bookmarkEnd w:id="337"/>
    <w:p>
      <w:pPr>
        <w:ind w:left="-500" w:right="100" w:firstLine="619"/>
        <w:spacing w:after="0" w:line="272" w:lineRule="auto"/>
        <w:tabs>
          <w:tab w:leader="none" w:pos="78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 None of the Company, any of its Subsidiaries or any director or officer thereof, or, to the knowledge of the Company, any agent, controlled affiliate, employee or representative of the Company or any of its Subsidiaries, is an individual or entity (“</w:t>
      </w:r>
      <w:r>
        <w:rPr>
          <w:rFonts w:ascii="Arial" w:cs="Arial" w:eastAsia="Arial" w:hAnsi="Arial"/>
          <w:sz w:val="20"/>
          <w:szCs w:val="20"/>
          <w:b w:val="1"/>
          <w:bCs w:val="1"/>
          <w:color w:val="auto"/>
        </w:rPr>
        <w:t>Person</w:t>
      </w:r>
      <w:r>
        <w:rPr>
          <w:rFonts w:ascii="Arial" w:cs="Arial" w:eastAsia="Arial" w:hAnsi="Arial"/>
          <w:sz w:val="20"/>
          <w:szCs w:val="20"/>
          <w:color w:val="auto"/>
        </w:rPr>
        <w:t>”) that is, or is owned or controlled by one or more Persons that are:</w:t>
      </w:r>
    </w:p>
    <w:p>
      <w:pPr>
        <w:spacing w:after="0" w:line="158" w:lineRule="exact"/>
        <w:rPr>
          <w:rFonts w:ascii="Arial" w:cs="Arial" w:eastAsia="Arial" w:hAnsi="Arial"/>
          <w:sz w:val="20"/>
          <w:szCs w:val="20"/>
          <w:color w:val="auto"/>
        </w:rPr>
      </w:pPr>
    </w:p>
    <w:p>
      <w:pPr>
        <w:ind w:left="120" w:right="120" w:firstLine="617"/>
        <w:spacing w:after="0" w:line="254" w:lineRule="auto"/>
        <w:tabs>
          <w:tab w:leader="none" w:pos="1346" w:val="left"/>
        </w:tabs>
        <w:numPr>
          <w:ilvl w:val="2"/>
          <w:numId w:val="165"/>
        </w:numPr>
        <w:rPr>
          <w:rFonts w:ascii="Arial" w:cs="Arial" w:eastAsia="Arial" w:hAnsi="Arial"/>
          <w:sz w:val="21"/>
          <w:szCs w:val="21"/>
          <w:color w:val="auto"/>
        </w:rPr>
      </w:pPr>
      <w:r>
        <w:rPr>
          <w:rFonts w:ascii="Arial" w:cs="Arial" w:eastAsia="Arial" w:hAnsi="Arial"/>
          <w:sz w:val="21"/>
          <w:szCs w:val="21"/>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21"/>
          <w:szCs w:val="21"/>
          <w:b w:val="1"/>
          <w:bCs w:val="1"/>
          <w:color w:val="auto"/>
        </w:rPr>
        <w:t>Sanctions</w:t>
      </w:r>
      <w:r>
        <w:rPr>
          <w:rFonts w:ascii="Arial" w:cs="Arial" w:eastAsia="Arial" w:hAnsi="Arial"/>
          <w:sz w:val="21"/>
          <w:szCs w:val="21"/>
          <w:color w:val="auto"/>
        </w:rPr>
        <w:t>”); or</w:t>
      </w:r>
    </w:p>
    <w:p>
      <w:pPr>
        <w:spacing w:after="0" w:line="173" w:lineRule="exact"/>
        <w:rPr>
          <w:rFonts w:ascii="Arial" w:cs="Arial" w:eastAsia="Arial" w:hAnsi="Arial"/>
          <w:sz w:val="21"/>
          <w:szCs w:val="21"/>
          <w:color w:val="auto"/>
        </w:rPr>
      </w:pPr>
    </w:p>
    <w:p>
      <w:pPr>
        <w:ind w:left="120" w:right="140" w:firstLine="617"/>
        <w:spacing w:after="0" w:line="265" w:lineRule="auto"/>
        <w:tabs>
          <w:tab w:leader="none" w:pos="1348" w:val="left"/>
        </w:tabs>
        <w:numPr>
          <w:ilvl w:val="2"/>
          <w:numId w:val="165"/>
        </w:numPr>
        <w:rPr>
          <w:rFonts w:ascii="Arial" w:cs="Arial" w:eastAsia="Arial" w:hAnsi="Arial"/>
          <w:sz w:val="21"/>
          <w:szCs w:val="21"/>
          <w:color w:val="auto"/>
        </w:rPr>
      </w:pPr>
      <w:r>
        <w:rPr>
          <w:rFonts w:ascii="Arial" w:cs="Arial" w:eastAsia="Arial" w:hAnsi="Arial"/>
          <w:sz w:val="21"/>
          <w:szCs w:val="21"/>
          <w:color w:val="auto"/>
        </w:rPr>
        <w:t>located, organized or resident in a country or territory that is the subject of Sanctions (including, without limitation, Crimea, Cuba, Iran, North Korea and Syria).</w:t>
      </w:r>
    </w:p>
    <w:p>
      <w:pPr>
        <w:spacing w:after="0" w:line="162" w:lineRule="exact"/>
        <w:rPr>
          <w:rFonts w:ascii="Arial" w:cs="Arial" w:eastAsia="Arial" w:hAnsi="Arial"/>
          <w:sz w:val="21"/>
          <w:szCs w:val="21"/>
          <w:color w:val="auto"/>
        </w:rPr>
      </w:pPr>
    </w:p>
    <w:p>
      <w:pPr>
        <w:ind w:left="-120" w:right="100" w:firstLine="374"/>
        <w:spacing w:after="0" w:line="272" w:lineRule="auto"/>
        <w:tabs>
          <w:tab w:leader="none" w:pos="730" w:val="left"/>
        </w:tabs>
        <w:numPr>
          <w:ilvl w:val="1"/>
          <w:numId w:val="165"/>
        </w:numPr>
        <w:rPr>
          <w:rFonts w:ascii="Arial" w:cs="Arial" w:eastAsia="Arial" w:hAnsi="Arial"/>
          <w:sz w:val="20"/>
          <w:szCs w:val="20"/>
          <w:color w:val="auto"/>
        </w:rPr>
      </w:pPr>
      <w:r>
        <w:rPr>
          <w:rFonts w:ascii="Arial" w:cs="Arial" w:eastAsia="Arial" w:hAnsi="Arial"/>
          <w:sz w:val="20"/>
          <w:szCs w:val="20"/>
          <w:color w:val="auto"/>
        </w:rPr>
        <w:t>For the past five years, the Company and each of its Subsidiaries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158" w:lineRule="exact"/>
        <w:rPr>
          <w:rFonts w:ascii="Arial" w:cs="Arial" w:eastAsia="Arial" w:hAnsi="Arial"/>
          <w:sz w:val="20"/>
          <w:szCs w:val="20"/>
          <w:color w:val="auto"/>
        </w:rPr>
      </w:pPr>
    </w:p>
    <w:p>
      <w:pPr>
        <w:ind w:left="-500" w:firstLine="619"/>
        <w:spacing w:after="0" w:line="288" w:lineRule="auto"/>
        <w:tabs>
          <w:tab w:leader="none" w:pos="73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Subsequent to the respective dates as of which information is given in the Registration Statement, the Time of Sale Prospectus and the Prospectus, (i) the Company and its Subsidiaries, taken as a whole, have not incurred any material liability or obligation, direct or contingent, or entered into any material transaction, (ii) no ZoomInfo Party has purchased any of its outstanding capital stock (other than from its employees or other service-providers in connection with the termination of their service pursuant to equity compensation plans or agreements or in connection with the exercise of a ZoomInfo Party’s right of first refusal upon a proposed transfer) or declared, paid, set aside for payment or otherwise made any dividend or distribution of any kind on its capital stock (other than ordinary and customary dividends, including tax distributions) and (iii) there has not been any material change in the capital stock (other than the exercise or settlement of equity awards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Registration Statement, the Time of Sale Prospectus and the Prospectus), short-term debt or long-term debt of the Company and its Subsidiaries, taken as a whole, and (iv) none of the Company 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described in each of the Registration Statement, the Time of Sale Prospectus and the Prospectus.</w:t>
      </w:r>
    </w:p>
    <w:p>
      <w:pPr>
        <w:spacing w:after="0" w:line="147" w:lineRule="exact"/>
        <w:rPr>
          <w:sz w:val="20"/>
          <w:szCs w:val="20"/>
          <w:color w:val="auto"/>
        </w:rPr>
      </w:pPr>
    </w:p>
    <w:p>
      <w:pPr>
        <w:ind w:left="-500" w:right="680" w:firstLine="619"/>
        <w:spacing w:after="0" w:line="265" w:lineRule="auto"/>
        <w:tabs>
          <w:tab w:leader="none" w:pos="734"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Company and its Subsidiaries own or lease all such properties as are necessary for the conduct of the operations, in all material respects,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0100"/>
          </w:cols>
          <w:pgMar w:left="1440" w:top="1367" w:right="359" w:bottom="1440" w:gutter="0" w:footer="0" w:header="0"/>
        </w:sectPr>
      </w:pPr>
    </w:p>
    <w:bookmarkStart w:id="338" w:name="page339"/>
    <w:bookmarkEnd w:id="338"/>
    <w:p>
      <w:pPr>
        <w:spacing w:after="0" w:line="290" w:lineRule="auto"/>
        <w:rPr>
          <w:sz w:val="20"/>
          <w:szCs w:val="20"/>
          <w:color w:val="auto"/>
        </w:rPr>
      </w:pPr>
      <w:r>
        <w:rPr>
          <w:rFonts w:ascii="Arial" w:cs="Arial" w:eastAsia="Arial" w:hAnsi="Arial"/>
          <w:sz w:val="18"/>
          <w:szCs w:val="18"/>
          <w:color w:val="auto"/>
        </w:rPr>
        <w:t>businesses as presently conducted. The Company and its Subsidiaries have good and marketable title in fee simple to all real property and good and marketable title to all personal property (other than Intellectual Property (as defined below), which is addressed exclusively in Section 1(bb) below) owned by them which is material to the business of the Company and its Subsidiaries, taken as a whole, in each case free and clear of all liens, encumbrances and defects, except such as are described in each of the Registration Statement, the Time of Sale Prospectus and the Prospectus, such as do not materially diminish the value of such property and do not interfere with the use made and proposed to be made of such property by the Company and its Subsidiaries, taken as a whole, or such other liens, encumbrances and defects as would not, singly or in the aggregate, have a Material Adverse Effect; and any real property and buildings held under lease by the Company and its Subsidiaries are held by them under valid, subsisting and, to the Company’s knowledge, enforceable leases, with such exceptions as are not material and do not interfere with the use made and proposed to be made of such property and buildings by the Company and its Subsidiaries, in each case except as described in the Registration Statement, the Time of Sale Prospectus and the Prospectus.</w:t>
      </w:r>
    </w:p>
    <w:p>
      <w:pPr>
        <w:spacing w:after="0" w:line="146" w:lineRule="exact"/>
        <w:rPr>
          <w:sz w:val="20"/>
          <w:szCs w:val="20"/>
          <w:color w:val="auto"/>
        </w:rPr>
      </w:pPr>
    </w:p>
    <w:p>
      <w:pPr>
        <w:ind w:right="40" w:firstLine="619"/>
        <w:spacing w:after="0" w:line="273" w:lineRule="auto"/>
        <w:tabs>
          <w:tab w:leader="none" w:pos="123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 The Company and its Subsidiaries own or have a license or other right to use all material patents, patent rights inventions, copyrights, databases and copyrightable works, know-how (including trade secrets and other unpatented and/or unpatentable proprietary or confidential information, systems or procedures), trademarks, service marks and trade names, domain names and all other material intellectual property and proprietary rights anywhere in the world, and all applications and registrations of the foregoing (collectively, “</w:t>
      </w:r>
      <w:r>
        <w:rPr>
          <w:rFonts w:ascii="Arial" w:cs="Arial" w:eastAsia="Arial" w:hAnsi="Arial"/>
          <w:sz w:val="19"/>
          <w:szCs w:val="19"/>
          <w:b w:val="1"/>
          <w:bCs w:val="1"/>
          <w:color w:val="auto"/>
        </w:rPr>
        <w:t>Intellectual Property</w:t>
      </w:r>
      <w:r>
        <w:rPr>
          <w:rFonts w:ascii="Arial" w:cs="Arial" w:eastAsia="Arial" w:hAnsi="Arial"/>
          <w:sz w:val="19"/>
          <w:szCs w:val="19"/>
          <w:color w:val="auto"/>
        </w:rPr>
        <w:t>”), employed by them in connection with the business; (x) the conduct of the business of the Company and its Subsidiaries does not infringe, misappropriate, dilute or violate any Intellectual Property of any person; (y) none of the Company or any of its Subsidiaries has received any notice of any infringement, misappropriation, dilution or violation of any Intellectual Property rights of others; and, (z) to the knowledge of the Company, the material Intellectual Property of the Company and its Subsidiaries is not being infringed, misappropriated, diluted or violated by any person (in the case of clauses (x) and (y), in a manner that would reasonably be expected to result in either material damages or costs or equitable relief that would materially affect the operations of the business or use of the products and services of the Company or its Subsidiaries).</w:t>
      </w:r>
    </w:p>
    <w:p>
      <w:pPr>
        <w:spacing w:after="0" w:line="159" w:lineRule="exact"/>
        <w:rPr>
          <w:rFonts w:ascii="Arial" w:cs="Arial" w:eastAsia="Arial" w:hAnsi="Arial"/>
          <w:sz w:val="19"/>
          <w:szCs w:val="19"/>
          <w:color w:val="auto"/>
        </w:rPr>
      </w:pPr>
    </w:p>
    <w:p>
      <w:pPr>
        <w:ind w:firstLine="619"/>
        <w:spacing w:after="0" w:line="294" w:lineRule="auto"/>
        <w:tabs>
          <w:tab w:leader="none" w:pos="123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Except as would not, singly or in the aggregate, have a Material Adverse Effect, the Company and its subsidiaries are and have been in compliance in with all applicable licenses with respect to third-party components that constitute computer software and programs (including all software implementation of algorithms, models and methodologies, whether in source code, object code, human readable form or other form, including statements in human readable form, such as comments and definitions, that are generally formed and organized according to the syntax of a computer or programmable logic programming language, and such statements in batch or scripting languages), text, diagrams, descriptions, flow charts and other work product used to design, plan, organize and develop any of the foregoing, screens, user interfaces, report formats, firmware,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620"/>
          </w:cols>
          <w:pgMar w:left="940" w:top="1367" w:right="339" w:bottom="1440" w:gutter="0" w:footer="0" w:header="0"/>
        </w:sectPr>
      </w:pPr>
    </w:p>
    <w:bookmarkStart w:id="339" w:name="page340"/>
    <w:bookmarkEnd w:id="339"/>
    <w:p>
      <w:pPr>
        <w:ind w:right="60"/>
        <w:spacing w:after="0" w:line="289" w:lineRule="auto"/>
        <w:rPr>
          <w:sz w:val="20"/>
          <w:szCs w:val="20"/>
          <w:color w:val="auto"/>
        </w:rPr>
      </w:pPr>
      <w:r>
        <w:rPr>
          <w:rFonts w:ascii="Arial" w:cs="Arial" w:eastAsia="Arial" w:hAnsi="Arial"/>
          <w:sz w:val="18"/>
          <w:szCs w:val="18"/>
          <w:color w:val="auto"/>
        </w:rPr>
        <w:t>microcode and implementations, development tools, templates, menus, buttons and icons, application programming interfaces and all other documentation (including user manuals) and program architecture and other training documentation related to any of the foregoing (collectively, “</w:t>
      </w:r>
      <w:r>
        <w:rPr>
          <w:rFonts w:ascii="Arial" w:cs="Arial" w:eastAsia="Arial" w:hAnsi="Arial"/>
          <w:sz w:val="18"/>
          <w:szCs w:val="18"/>
          <w:b w:val="1"/>
          <w:bCs w:val="1"/>
          <w:color w:val="auto"/>
        </w:rPr>
        <w:t>Software</w:t>
      </w:r>
      <w:r>
        <w:rPr>
          <w:rFonts w:ascii="Arial" w:cs="Arial" w:eastAsia="Arial" w:hAnsi="Arial"/>
          <w:sz w:val="18"/>
          <w:szCs w:val="18"/>
          <w:color w:val="auto"/>
        </w:rPr>
        <w:t>”) that is licensed pursuant to (i) any license that is, or is substantially similar to, a license now or in the future approved by the Open Source Initiative and listed at http://www.opensource.org/licenses (which licenses shall include all versions of GNU GPL, GNU LGPL, GNU Affero GPL, MIT license, Eclipse Public License, Common Public License, CDDL, Mozilla Public License, BSD license and Apache license) and any “copyleft” license or any other license under which such Software or other materials are distributed or licensed as “free software,” “open source software” or under similar terms, and/or (ii) any license of an item of Software that requires or that conditions any rights granted in such license upon: (x) the disclosure, distribution or licensing of any other Software (other than such item of Software in its unmodified form); (y) a requirement that any disclosure, distribution or licensing of any other Software (other than such item of Software in its unmodified form) be at no charge; or (z) a requirement that any other licensee of the Software be permitted to modify, make derivative works of, or reverse-engineer any such other Software (each of clauses (x), (y) and (z), a “</w:t>
      </w:r>
      <w:r>
        <w:rPr>
          <w:rFonts w:ascii="Arial" w:cs="Arial" w:eastAsia="Arial" w:hAnsi="Arial"/>
          <w:sz w:val="18"/>
          <w:szCs w:val="18"/>
          <w:b w:val="1"/>
          <w:bCs w:val="1"/>
          <w:color w:val="auto"/>
        </w:rPr>
        <w:t>Reciprocal</w:t>
      </w:r>
      <w:r>
        <w:rPr>
          <w:rFonts w:ascii="Arial" w:cs="Arial" w:eastAsia="Arial" w:hAnsi="Arial"/>
          <w:sz w:val="18"/>
          <w:szCs w:val="18"/>
          <w:color w:val="auto"/>
        </w:rPr>
        <w:t xml:space="preserve"> </w:t>
      </w:r>
      <w:r>
        <w:rPr>
          <w:rFonts w:ascii="Arial" w:cs="Arial" w:eastAsia="Arial" w:hAnsi="Arial"/>
          <w:sz w:val="18"/>
          <w:szCs w:val="18"/>
          <w:b w:val="1"/>
          <w:bCs w:val="1"/>
          <w:color w:val="auto"/>
        </w:rPr>
        <w:t>License</w:t>
      </w:r>
      <w:r>
        <w:rPr>
          <w:rFonts w:ascii="Arial" w:cs="Arial" w:eastAsia="Arial" w:hAnsi="Arial"/>
          <w:sz w:val="18"/>
          <w:szCs w:val="18"/>
          <w:color w:val="auto"/>
        </w:rPr>
        <w:t>”). No Software that is a third-party component is governed by a Reciprocal License.</w:t>
      </w:r>
    </w:p>
    <w:p>
      <w:pPr>
        <w:spacing w:after="0" w:line="147" w:lineRule="exact"/>
        <w:rPr>
          <w:sz w:val="20"/>
          <w:szCs w:val="20"/>
          <w:color w:val="auto"/>
        </w:rPr>
      </w:pPr>
    </w:p>
    <w:p>
      <w:pPr>
        <w:ind w:right="40" w:firstLine="619"/>
        <w:spacing w:after="0" w:line="273" w:lineRule="auto"/>
        <w:tabs>
          <w:tab w:leader="none" w:pos="123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Company and each of its Subsidiaries have complied and are presently in compliance with their respective posted privacy policies, applicable legal obligations (including, to the extent applicable, the European Union General Data Protection Regulation and the California Consumer Privacy Act) and contractual obligations, in each case, relating to the collection, use, transfer, import, export, storage, protection, disposal and disclosure by the Company or any of its Subsidiaries of personally identifiable, confidential or regulated data and databases (“</w:t>
      </w:r>
      <w:r>
        <w:rPr>
          <w:rFonts w:ascii="Arial" w:cs="Arial" w:eastAsia="Arial" w:hAnsi="Arial"/>
          <w:sz w:val="19"/>
          <w:szCs w:val="19"/>
          <w:b w:val="1"/>
          <w:bCs w:val="1"/>
          <w:color w:val="auto"/>
        </w:rPr>
        <w:t>Data Security Obligations</w:t>
      </w:r>
      <w:r>
        <w:rPr>
          <w:rFonts w:ascii="Arial" w:cs="Arial" w:eastAsia="Arial" w:hAnsi="Arial"/>
          <w:sz w:val="19"/>
          <w:szCs w:val="19"/>
          <w:color w:val="auto"/>
        </w:rPr>
        <w:t>,” and such data processed or stored by or on behalf of the Company and its subsidiaries, “</w:t>
      </w:r>
      <w:r>
        <w:rPr>
          <w:rFonts w:ascii="Arial" w:cs="Arial" w:eastAsia="Arial" w:hAnsi="Arial"/>
          <w:sz w:val="19"/>
          <w:szCs w:val="19"/>
          <w:b w:val="1"/>
          <w:bCs w:val="1"/>
          <w:color w:val="auto"/>
        </w:rPr>
        <w:t>Data</w:t>
      </w:r>
      <w:r>
        <w:rPr>
          <w:rFonts w:ascii="Arial" w:cs="Arial" w:eastAsia="Arial" w:hAnsi="Arial"/>
          <w:sz w:val="19"/>
          <w:szCs w:val="19"/>
          <w:color w:val="auto"/>
        </w:rPr>
        <w:t>”), except in each case to the extent that the failure to do so would not, singly or in the aggregate, have a Material Adverse Effect. None of the Company or any of its Subsidiaries has received any written notification of or written complaint regarding, or is aware of any material facts that would, singly or in the aggregate, reasonably indicate non-compliance by the Company or any of its Subsidiaries with any Data Security Obligation. There is no action, suit or proceeding by or, to the Company’s knowledge, threatened alleging any non-compliance by the Company or any of its Subsidiaries with respect to any Data Security Obligation.</w:t>
      </w:r>
    </w:p>
    <w:p>
      <w:pPr>
        <w:spacing w:after="0" w:line="163" w:lineRule="exact"/>
        <w:rPr>
          <w:rFonts w:ascii="Arial" w:cs="Arial" w:eastAsia="Arial" w:hAnsi="Arial"/>
          <w:sz w:val="19"/>
          <w:szCs w:val="19"/>
          <w:color w:val="auto"/>
        </w:rPr>
      </w:pPr>
    </w:p>
    <w:p>
      <w:pPr>
        <w:ind w:firstLine="619"/>
        <w:spacing w:after="0" w:line="262" w:lineRule="auto"/>
        <w:tabs>
          <w:tab w:leader="none" w:pos="123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Company and each of its Subsidiaries has taken technical and organizational measures to maintain, backup, protect and recover the information technology systems and equipment, computers, systems, databases, networks, hardware, software, websites and applications (collectively, “</w:t>
      </w:r>
      <w:r>
        <w:rPr>
          <w:rFonts w:ascii="Arial" w:cs="Arial" w:eastAsia="Arial" w:hAnsi="Arial"/>
          <w:sz w:val="20"/>
          <w:szCs w:val="20"/>
          <w:b w:val="1"/>
          <w:bCs w:val="1"/>
          <w:color w:val="auto"/>
        </w:rPr>
        <w:t>IT Systems</w:t>
      </w:r>
      <w:r>
        <w:rPr>
          <w:rFonts w:ascii="Arial" w:cs="Arial" w:eastAsia="Arial" w:hAnsi="Arial"/>
          <w:sz w:val="20"/>
          <w:szCs w:val="20"/>
          <w:color w:val="auto"/>
        </w:rPr>
        <w:t>”) and Data controlled by the Company or such Subsidiaries and used in connection with the operation of the businesses of the Company or such Subsidiary, that are commercially reasonably or as required by applicable regulations. The IT Systems operate and perform in all material respects as required in connection with the operation of the businesses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0620"/>
          </w:cols>
          <w:pgMar w:left="940" w:top="1367" w:right="339" w:bottom="1440" w:gutter="0" w:footer="0" w:header="0"/>
        </w:sectPr>
      </w:pPr>
    </w:p>
    <w:bookmarkStart w:id="340" w:name="page341"/>
    <w:bookmarkEnd w:id="340"/>
    <w:p>
      <w:pPr>
        <w:ind w:right="80"/>
        <w:spacing w:after="0" w:line="272" w:lineRule="auto"/>
        <w:rPr>
          <w:sz w:val="20"/>
          <w:szCs w:val="20"/>
          <w:color w:val="auto"/>
        </w:rPr>
      </w:pPr>
      <w:r>
        <w:rPr>
          <w:rFonts w:ascii="Arial" w:cs="Arial" w:eastAsia="Arial" w:hAnsi="Arial"/>
          <w:sz w:val="19"/>
          <w:szCs w:val="19"/>
          <w:color w:val="auto"/>
        </w:rPr>
        <w:t>and its Subsidiaries as currently conducted, and, to the knowledge of Company, are free and clear of all material bugs, errors, defects, Trojan horses, time bombs, malware and other corruptants. Without limiting the foregoing, the Company and its Subsidiaries have established and maintained information technology, information security, cyber security and data protection safeguards, controls, policies and procedures to protect against and prevent breach, violation, outage and unauthorized disclosure, use or access of any IT System controlled by the Company and its Subsidiaries and used in connection with the operation of the businesses of the Company and its Subsidiaries, or notifications of the same (a “</w:t>
      </w:r>
      <w:r>
        <w:rPr>
          <w:rFonts w:ascii="Arial" w:cs="Arial" w:eastAsia="Arial" w:hAnsi="Arial"/>
          <w:sz w:val="19"/>
          <w:szCs w:val="19"/>
          <w:b w:val="1"/>
          <w:bCs w:val="1"/>
          <w:color w:val="auto"/>
        </w:rPr>
        <w:t>Breach</w:t>
      </w:r>
      <w:r>
        <w:rPr>
          <w:rFonts w:ascii="Arial" w:cs="Arial" w:eastAsia="Arial" w:hAnsi="Arial"/>
          <w:sz w:val="19"/>
          <w:szCs w:val="19"/>
          <w:color w:val="auto"/>
        </w:rPr>
        <w:t>”). (x) There are no incidents under internal review or investigations relating to any Breach; (y) each of the Company and its Subsidiaries has no knowledge of any event or condition that could result in a Breach; and (z) to the knowledge of the Company, there has been no such Breach, and none of the Company or any of its Subsidiaries has been notified of any such Breach (in the case of each of (x), (y) and (z), other than those that were or will be resolved without (i) material cost and liability and (ii) to the extent applicable, the duty to notify any person). There is no action, suit or proceeding by or before any court or governmental agency, authority or body pending alleging any Breach by the Company or any of its Subsidiaries, and neither the Company nor any of its Subsidiaries has received any threat in writing thereof.</w:t>
      </w:r>
    </w:p>
    <w:p>
      <w:pPr>
        <w:spacing w:after="0" w:line="168" w:lineRule="exact"/>
        <w:rPr>
          <w:sz w:val="20"/>
          <w:szCs w:val="20"/>
          <w:color w:val="auto"/>
        </w:rPr>
      </w:pPr>
    </w:p>
    <w:p>
      <w:pPr>
        <w:ind w:firstLine="619"/>
        <w:spacing w:after="0" w:line="296" w:lineRule="auto"/>
        <w:tabs>
          <w:tab w:leader="none" w:pos="122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except as described in the Registration Statement, the Time of Sale Prospectus and the Prospectus, or, to the knowledge of the Company, is contemplated, threatened or imminent; and no ZoomInfo Party is aware of any existing, contemplated, threatened or imminent labor disturbance by the employees of any of its principal suppliers, manufacturers or contractors that would, singly or in the aggregate, have a Material Adverse Effect. None of the Company or any of its Subsidiaries is party to any collective bargaining agreement with respect to any employees of the ZoomInfo Parties or any of their respective Subsidiaries.</w:t>
      </w:r>
    </w:p>
    <w:p>
      <w:pPr>
        <w:spacing w:after="0" w:line="142" w:lineRule="exact"/>
        <w:rPr>
          <w:rFonts w:ascii="Arial" w:cs="Arial" w:eastAsia="Arial" w:hAnsi="Arial"/>
          <w:sz w:val="18"/>
          <w:szCs w:val="18"/>
          <w:color w:val="auto"/>
        </w:rPr>
      </w:pPr>
    </w:p>
    <w:p>
      <w:pPr>
        <w:ind w:right="20" w:firstLine="619"/>
        <w:spacing w:after="0" w:line="258" w:lineRule="auto"/>
        <w:tabs>
          <w:tab w:leader="none" w:pos="128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 Each employee benefit plan, within the meaning of Section 3(3) of the Employee Retirement Income Security Act of 1974, as amended (“</w:t>
      </w:r>
      <w:r>
        <w:rPr>
          <w:rFonts w:ascii="Arial" w:cs="Arial" w:eastAsia="Arial" w:hAnsi="Arial"/>
          <w:sz w:val="20"/>
          <w:szCs w:val="20"/>
          <w:b w:val="1"/>
          <w:bCs w:val="1"/>
          <w:color w:val="auto"/>
        </w:rPr>
        <w:t>ERISA</w:t>
      </w:r>
      <w:r>
        <w:rPr>
          <w:rFonts w:ascii="Arial" w:cs="Arial" w:eastAsia="Arial" w:hAnsi="Arial"/>
          <w:sz w:val="20"/>
          <w:szCs w:val="20"/>
          <w:color w:val="auto"/>
        </w:rPr>
        <w:t>”), for which a ZoomInfo Party or any member of its “</w:t>
      </w:r>
      <w:r>
        <w:rPr>
          <w:rFonts w:ascii="Arial" w:cs="Arial" w:eastAsia="Arial" w:hAnsi="Arial"/>
          <w:sz w:val="20"/>
          <w:szCs w:val="20"/>
          <w:b w:val="1"/>
          <w:bCs w:val="1"/>
          <w:color w:val="auto"/>
        </w:rPr>
        <w:t>Controlled Group</w:t>
      </w:r>
      <w:r>
        <w:rPr>
          <w:rFonts w:ascii="Arial" w:cs="Arial" w:eastAsia="Arial" w:hAnsi="Arial"/>
          <w:sz w:val="20"/>
          <w:szCs w:val="20"/>
          <w:color w:val="auto"/>
        </w:rPr>
        <w:t>” (defined as any entity, whether or not incorporated, that would be regarded as a single employer with a ZoomInfo Party under Section 414(b), (c), (m) or (o) of the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 would have any liability (each, a “</w:t>
      </w:r>
      <w:r>
        <w:rPr>
          <w:rFonts w:ascii="Arial" w:cs="Arial" w:eastAsia="Arial" w:hAnsi="Arial"/>
          <w:sz w:val="20"/>
          <w:szCs w:val="20"/>
          <w:b w:val="1"/>
          <w:bCs w:val="1"/>
          <w:color w:val="auto"/>
        </w:rPr>
        <w:t>Plan</w:t>
      </w:r>
      <w:r>
        <w:rPr>
          <w:rFonts w:ascii="Arial" w:cs="Arial" w:eastAsia="Arial" w:hAnsi="Arial"/>
          <w:sz w:val="20"/>
          <w:szCs w:val="20"/>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each Plan that is intended to be qualified under Section 401(a) of the Code is so qualified, and nothing has occurred, whether by action or by failure to act, which would cause the loss of such qualification; (iv) no ZoomInfo Party or any member of the Controlled Group has incurred, nor reasonably expects to incur, any liability under Title IV of ERISA; and (v) no material increase in the aggregate amount of contributions required to be made to all Plans by a ZoomInfo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0620"/>
          </w:cols>
          <w:pgMar w:left="940" w:top="1367" w:right="339" w:bottom="1440" w:gutter="0" w:footer="0" w:header="0"/>
        </w:sectPr>
      </w:pPr>
    </w:p>
    <w:bookmarkStart w:id="341" w:name="page342"/>
    <w:bookmarkEnd w:id="341"/>
    <w:p>
      <w:pPr>
        <w:ind w:right="220"/>
        <w:spacing w:after="0" w:line="285" w:lineRule="auto"/>
        <w:rPr>
          <w:sz w:val="20"/>
          <w:szCs w:val="20"/>
          <w:color w:val="auto"/>
        </w:rPr>
      </w:pPr>
      <w:r>
        <w:rPr>
          <w:rFonts w:ascii="Arial" w:cs="Arial" w:eastAsia="Arial" w:hAnsi="Arial"/>
          <w:sz w:val="19"/>
          <w:szCs w:val="19"/>
          <w:color w:val="auto"/>
        </w:rPr>
        <w:t>or its Controlled Group affiliates in the current fiscal year of such ZoomInfo Party and its Controlled Group affiliates has occurred or is reasonably likely to occur compared to the amount of such contributions made in such ZoomInfo Party’s and its Controlled Group affiliates’ most recently completed fiscal year; except, in each case, with respect to the events or conditions set forth in clause (i) through (v) hereof, as would not, singly or in the aggregate, have a Material Adverse Effect.</w:t>
      </w:r>
    </w:p>
    <w:p>
      <w:pPr>
        <w:spacing w:after="0" w:line="147" w:lineRule="exact"/>
        <w:rPr>
          <w:sz w:val="20"/>
          <w:szCs w:val="20"/>
          <w:color w:val="auto"/>
        </w:rPr>
      </w:pPr>
    </w:p>
    <w:p>
      <w:pPr>
        <w:ind w:right="140" w:firstLine="619"/>
        <w:spacing w:after="0" w:line="261" w:lineRule="auto"/>
        <w:tabs>
          <w:tab w:leader="none" w:pos="123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The Company and its Subsidiaries are insured by insurers of recognized financial responsibility against such losses and risks and in such amounts as are, in the reasonable judgment of the ZoomInfo Parties, prudent and customary in the businesses in which they are engaged; none of the Company or any of its Subsidiaries has been refused any insurance coverage sought or applied for; and none of the Company or any of its Subsidiaries has any reason to believe that it will not be able to renew its existing insurance coverage as and when such coverage expires or to obtain similar coverage from similar insurers as may be necessary to continue its business, in each case other than as would not, singly or in the aggregate, have a Material Adverse Effect.</w:t>
      </w:r>
    </w:p>
    <w:p>
      <w:pPr>
        <w:spacing w:after="0" w:line="168" w:lineRule="exact"/>
        <w:rPr>
          <w:rFonts w:ascii="Arial" w:cs="Arial" w:eastAsia="Arial" w:hAnsi="Arial"/>
          <w:sz w:val="20"/>
          <w:szCs w:val="20"/>
          <w:color w:val="auto"/>
        </w:rPr>
      </w:pPr>
    </w:p>
    <w:p>
      <w:pPr>
        <w:ind w:firstLine="619"/>
        <w:spacing w:after="0" w:line="275" w:lineRule="auto"/>
        <w:tabs>
          <w:tab w:leader="none" w:pos="123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Company and its Subsidiaries, taken as a whole, possess all licenses, certificates, authorizations and permits issued by, and has made all declarations and filings with, the appropriate federal, state or foreign regulatory authorities necessary to conduct their respective businesses, except where the failure to obtain such licenses, certificates, authorizations and permits, or make such declarations and filings, would not, singly or in the aggregate, have a Material Adverse Effect; and none of the Company or any of its Subsidiaries has received any notice of proceedings relating to the revocation or modification of any such license, certificate, authorization or permit or has any reason to believe that any such license, certificate, authorization or permit will not be renewed in the ordinary course, which, singly or in the aggregate, if the subject of an unfavorable decision, ruling or finding, would have a Material Adverse Effect.</w:t>
      </w:r>
    </w:p>
    <w:p>
      <w:pPr>
        <w:spacing w:after="0" w:line="160" w:lineRule="exact"/>
        <w:rPr>
          <w:rFonts w:ascii="Arial" w:cs="Arial" w:eastAsia="Arial" w:hAnsi="Arial"/>
          <w:sz w:val="19"/>
          <w:szCs w:val="19"/>
          <w:color w:val="auto"/>
        </w:rPr>
      </w:pPr>
    </w:p>
    <w:p>
      <w:pPr>
        <w:ind w:right="100" w:firstLine="619"/>
        <w:spacing w:after="0" w:line="290" w:lineRule="auto"/>
        <w:tabs>
          <w:tab w:leader="none" w:pos="123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financial statements (including the related notes thereto) included in the Registration Statement, the Time of Sale Prospectus and the Prospectus, together with the related schedules and notes thereto, comply in all material respects with the applicable requirements of the Securities Act and present fairly in all material respects the financial position of the entities purported to be shown thereby as of the dates shown and the results of their operations and cash flows for the periods shown, and such financial statements have been prepared in conformity with generally accepted accounting principles in the United States (“</w:t>
      </w:r>
      <w:r>
        <w:rPr>
          <w:rFonts w:ascii="Arial" w:cs="Arial" w:eastAsia="Arial" w:hAnsi="Arial"/>
          <w:sz w:val="18"/>
          <w:szCs w:val="18"/>
          <w:b w:val="1"/>
          <w:bCs w:val="1"/>
          <w:color w:val="auto"/>
        </w:rPr>
        <w:t>U.S. GAAP</w:t>
      </w:r>
      <w:r>
        <w:rPr>
          <w:rFonts w:ascii="Arial" w:cs="Arial" w:eastAsia="Arial" w:hAnsi="Arial"/>
          <w:sz w:val="18"/>
          <w:szCs w:val="18"/>
          <w:color w:val="auto"/>
        </w:rPr>
        <w:t>”) applied on a consistent basis throughout the periods covered thereby. The other financial information included in the Registration Statement, the Time of Sale Prospectus and the Prospectus has been derived from the accounting records of the Company, ZoomInfo OpCo and its consolidated Subsidiaries or Zoom Information, Inc. and its consolidated Subsidiaries, as the case may be, and presents fairly the information shown thereby. All disclosures included in the Registration Statement, the Time of Sale Prospectus and the Prospectus regarding “non-GAAP financial measures” (as such term is defined by the rules and regulations of Commission) comply in all material respects with Regulation G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620"/>
          </w:cols>
          <w:pgMar w:left="940" w:top="1367" w:right="339" w:bottom="1440" w:gutter="0" w:footer="0" w:header="0"/>
        </w:sectPr>
      </w:pPr>
    </w:p>
    <w:bookmarkStart w:id="342" w:name="page343"/>
    <w:bookmarkEnd w:id="342"/>
    <w:p>
      <w:pPr>
        <w:spacing w:after="0" w:line="292" w:lineRule="auto"/>
        <w:rPr>
          <w:sz w:val="20"/>
          <w:szCs w:val="20"/>
          <w:color w:val="auto"/>
        </w:rPr>
      </w:pPr>
      <w:r>
        <w:rPr>
          <w:rFonts w:ascii="Arial" w:cs="Arial" w:eastAsia="Arial" w:hAnsi="Arial"/>
          <w:sz w:val="18"/>
          <w:szCs w:val="18"/>
          <w:color w:val="auto"/>
        </w:rPr>
        <w:t>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and Item 10 of Regulation S-K of the Securities Act, to the extent applicable.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statements and the related notes thereto included in the Registration Statement, the Time of Sale Prospectus and the Prospectus present fairly in all material respects the information shown therein and have been prepared in all material respects in accordance with the Commission’s rules and guidelines with respect to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financial statements and have been properly compiled on the bases described therein, and the assumptions used in the preparation thereof are reasonable and the adjustments used therein are appropriate to give effect to the transactions and circumstances referred to therein. The industry-related and market-related data included in the Registration Statement, the Time of Sale Prospectus and the Prospectus are based on or derived from sources that the Company reasonably and in good faith believes are reliable and accurate, and such data is consistent with the sources from which they are derived, in each case in all material respects.</w:t>
      </w:r>
    </w:p>
    <w:p>
      <w:pPr>
        <w:spacing w:after="0" w:line="148" w:lineRule="exact"/>
        <w:rPr>
          <w:sz w:val="20"/>
          <w:szCs w:val="20"/>
          <w:color w:val="auto"/>
        </w:rPr>
      </w:pPr>
    </w:p>
    <w:p>
      <w:pPr>
        <w:ind w:right="120" w:firstLine="619"/>
        <w:spacing w:after="0" w:line="273" w:lineRule="auto"/>
        <w:tabs>
          <w:tab w:leader="none" w:pos="123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 KPMG LLP, who have certified certain financial statements of (1) the Company and (2) ZoomInfo OpCo and its subsidiaries and delivered their report with respect to the audited consolidated financial statements and schedules filed with the Commission as part of the Registration Statement and included in the Registration Statement, the Time of Sale Prospectus and the Prospectus, is an independent registered public accounting firm with respect to such entities within the meaning of the Securities Act and the applicable rules and regulations adopted by the Commission and the Public Company Accounting Oversight Board (United States). (ii) RSM US LLP, who have certified certain financial statements of Zoom Information, Inc. and its subsidiaries and delivered their report with respect to the audited consolidated financial statements and schedules filed with the Commission as part of the Registration Statement and included in the Registration Statement, the Time of Sale Prospectus and the Prospectus, is an independent certified public accountant with respect to such entities within the meaning of the Securities Act and the applicable rules of the Code of Professional Conduct of the American Institute of Certified Public Accountants and its interpretations and rulings.</w:t>
      </w:r>
    </w:p>
    <w:p>
      <w:pPr>
        <w:spacing w:after="0" w:line="163" w:lineRule="exact"/>
        <w:rPr>
          <w:rFonts w:ascii="Arial" w:cs="Arial" w:eastAsia="Arial" w:hAnsi="Arial"/>
          <w:sz w:val="19"/>
          <w:szCs w:val="19"/>
          <w:color w:val="auto"/>
        </w:rPr>
      </w:pPr>
    </w:p>
    <w:p>
      <w:pPr>
        <w:ind w:right="40" w:firstLine="619"/>
        <w:spacing w:after="0" w:line="273" w:lineRule="auto"/>
        <w:tabs>
          <w:tab w:leader="none" w:pos="123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Company and its Subsidiaries on a consolidated basis maintain a system of “internal control over financial reporting” (as defined in Rule 13a-15(f) of the Exchange Act) that has been reasonably designed by, or under the supervision of, the Company’s principal executive and principal financial officers, or persons performing similar functions, to provide, and that is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in the Registration Statement fairly presents the information called for in all material respects and is prepared in accordance with the Commission’s rules and guidelines applicable thereto. Except as described in each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620"/>
          </w:cols>
          <w:pgMar w:left="940" w:top="1361" w:right="339" w:bottom="1440" w:gutter="0" w:footer="0" w:header="0"/>
        </w:sectPr>
      </w:pPr>
    </w:p>
    <w:bookmarkStart w:id="343" w:name="page344"/>
    <w:bookmarkEnd w:id="343"/>
    <w:p>
      <w:pPr>
        <w:ind w:right="20"/>
        <w:spacing w:after="0" w:line="294" w:lineRule="auto"/>
        <w:rPr>
          <w:sz w:val="20"/>
          <w:szCs w:val="20"/>
          <w:color w:val="auto"/>
        </w:rPr>
      </w:pPr>
      <w:r>
        <w:rPr>
          <w:rFonts w:ascii="Arial" w:cs="Arial" w:eastAsia="Arial" w:hAnsi="Arial"/>
          <w:sz w:val="18"/>
          <w:szCs w:val="18"/>
          <w:color w:val="auto"/>
        </w:rPr>
        <w:t>the Time of Sale Prospectus and the Prospectus, since the end of ZoomInfo OpCo’s most recent audited fiscal year, there has been (x) no material weakness in the ZoomInfo Parties’ internal control over financial reporting (whether or not remediated) and</w:t>
      </w:r>
    </w:p>
    <w:p>
      <w:pPr>
        <w:ind w:right="60" w:firstLine="1"/>
        <w:spacing w:after="0" w:line="272" w:lineRule="auto"/>
        <w:tabs>
          <w:tab w:leader="none" w:pos="292"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no change in the ZoomInfo Parties’ internal control over financial reporting that has materially and adversely affected, or is reasonably likely to materially and adversely affect, the ZoomInfo Parties’ internal control over financial reporting (it being understood that subsections (x) and (y) shall not require the Company to comply with Section 404 of the Sarbanes-Oxley Act as of an earlier date than it would otherwise be required to so comply under applicable law). Since the date of the most recent balance sheet of ZoomInfo OpCo reviewed or audited by KPMG LLP, the Company has not been advised of or become aware of: (i) any significant deficiencies and material weaknesses not previously disclosed to ZoomInfo OpCo’s auditors and audit committee in the design or operation of internal controls over financial reporting that have adversely affected or are reasonably likely to adversely affect the ZoomInfo Parties’ ability to record, process, summarize and report financial information; and (ii) any fraud, whether or not material, that involves management or other employees who have a significant role in the internal controls over financial reporting of the Company and its Subsidiaries.</w:t>
      </w:r>
    </w:p>
    <w:p>
      <w:pPr>
        <w:spacing w:after="0" w:line="158" w:lineRule="exact"/>
        <w:rPr>
          <w:rFonts w:ascii="Arial" w:cs="Arial" w:eastAsia="Arial" w:hAnsi="Arial"/>
          <w:sz w:val="19"/>
          <w:szCs w:val="19"/>
          <w:color w:val="auto"/>
        </w:rPr>
      </w:pPr>
    </w:p>
    <w:p>
      <w:pPr>
        <w:ind w:right="40" w:firstLine="619"/>
        <w:spacing w:after="0" w:line="281" w:lineRule="auto"/>
        <w:tabs>
          <w:tab w:leader="none" w:pos="123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The Company and its Subsidiaries on a consolidated basis maintain an effective system of “disclosure controls and procedures” (as defined in Rule 13a-15(e) of the Exchange Act) that has been designed to ensure that material information relating to the Company and its Subsidiaries is made known to the Company’s principal executive officer and principal financial officers by others within those entities; and, other than as described in each of the Registration Statement, the Time of Sale Prospectus and the Prospectus, such disclosure controls and procedures are effective.</w:t>
      </w:r>
    </w:p>
    <w:p>
      <w:pPr>
        <w:spacing w:after="0" w:line="150" w:lineRule="exact"/>
        <w:rPr>
          <w:rFonts w:ascii="Arial" w:cs="Arial" w:eastAsia="Arial" w:hAnsi="Arial"/>
          <w:sz w:val="19"/>
          <w:szCs w:val="19"/>
          <w:color w:val="auto"/>
        </w:rPr>
      </w:pPr>
    </w:p>
    <w:p>
      <w:pPr>
        <w:ind w:right="80" w:firstLine="619"/>
        <w:spacing w:after="0" w:line="272" w:lineRule="auto"/>
        <w:tabs>
          <w:tab w:leader="none" w:pos="1232" w:val="left"/>
        </w:tabs>
        <w:numPr>
          <w:ilvl w:val="1"/>
          <w:numId w:val="172"/>
        </w:numPr>
        <w:rPr>
          <w:rFonts w:ascii="Arial" w:cs="Arial" w:eastAsia="Arial" w:hAnsi="Arial"/>
          <w:sz w:val="20"/>
          <w:szCs w:val="20"/>
          <w:color w:val="auto"/>
        </w:rPr>
      </w:pPr>
      <w:r>
        <w:rPr>
          <w:rFonts w:ascii="Arial" w:cs="Arial" w:eastAsia="Arial" w:hAnsi="Arial"/>
          <w:sz w:val="20"/>
          <w:szCs w:val="20"/>
          <w:color w:val="auto"/>
        </w:rPr>
        <w:t>No ZoomInfo Party has sold, issued or distributed any equity interests during the six-month period preceding the date hereof, including any sales pursuant to Rule 144A under, or Regulation D or S of, the Securities Act, other than as described in each of the Registration Statement, the Time of Sale Prospectus and the Prospectus.</w:t>
      </w:r>
    </w:p>
    <w:p>
      <w:pPr>
        <w:spacing w:after="0" w:line="158" w:lineRule="exact"/>
        <w:rPr>
          <w:rFonts w:ascii="Arial" w:cs="Arial" w:eastAsia="Arial" w:hAnsi="Arial"/>
          <w:sz w:val="20"/>
          <w:szCs w:val="20"/>
          <w:color w:val="auto"/>
        </w:rPr>
      </w:pPr>
    </w:p>
    <w:p>
      <w:pPr>
        <w:jc w:val="both"/>
        <w:ind w:firstLine="619"/>
        <w:spacing w:after="0" w:line="349" w:lineRule="auto"/>
        <w:tabs>
          <w:tab w:leader="none" w:pos="123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None of the Company or any of its Subsidiaries or controlled affiliates has taken, directly or indirectly, any action designed to or that could reasonably be expected to cause or result in any stabilization or manipulation of the price of the Shares.</w:t>
      </w:r>
    </w:p>
    <w:p>
      <w:pPr>
        <w:spacing w:after="0" w:line="93" w:lineRule="exact"/>
        <w:rPr>
          <w:rFonts w:ascii="Arial" w:cs="Arial" w:eastAsia="Arial" w:hAnsi="Arial"/>
          <w:sz w:val="18"/>
          <w:szCs w:val="18"/>
          <w:color w:val="auto"/>
        </w:rPr>
      </w:pPr>
    </w:p>
    <w:p>
      <w:pPr>
        <w:ind w:right="60" w:firstLine="619"/>
        <w:spacing w:after="0" w:line="294" w:lineRule="auto"/>
        <w:tabs>
          <w:tab w:leader="none" w:pos="123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and each of its Subsidiaries have filed all federal, state, local and foreign tax returns required to be filed and have paid all taxes required to be paid by them (except for cases in which the failure to file would not, singly or in the aggregate, have a Material Adverse Effect, except as currently being contested in good faith and for which reserves required by U.S. GAAP have been created in the financial statements of the ZoomInfo Parties), and no tax deficiency has been determined adversely to the Company or any of its Subsidiaries which, singly or in the aggregate, has had (nor, to the knowledge of the Company or any of its Subsidiaries, has any tax deficiency assessment which could reasonably be expected to be determined adversely to the Company or its Subsidiaries been threatened that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620"/>
          </w:cols>
          <w:pgMar w:left="940" w:top="1367" w:right="339" w:bottom="1440" w:gutter="0" w:footer="0" w:header="0"/>
        </w:sectPr>
      </w:pPr>
    </w:p>
    <w:bookmarkStart w:id="344" w:name="page345"/>
    <w:bookmarkEnd w:id="344"/>
    <w:p>
      <w:pPr>
        <w:ind w:left="-500" w:firstLine="619"/>
        <w:spacing w:after="0" w:line="254" w:lineRule="auto"/>
        <w:tabs>
          <w:tab w:leader="none" w:pos="732"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interactive data in eXtensible Business Reporting Language included in the Registration Statement fairly presents the information called for in all material respects and has been prepared in accordance with the Commission’s rules and guidelines applicable thereto.</w:t>
      </w:r>
    </w:p>
    <w:p>
      <w:pPr>
        <w:spacing w:after="0" w:line="173" w:lineRule="exact"/>
        <w:rPr>
          <w:rFonts w:ascii="Arial" w:cs="Arial" w:eastAsia="Arial" w:hAnsi="Arial"/>
          <w:sz w:val="21"/>
          <w:szCs w:val="21"/>
          <w:color w:val="auto"/>
        </w:rPr>
      </w:pPr>
    </w:p>
    <w:p>
      <w:pPr>
        <w:ind w:left="-500" w:right="200" w:firstLine="619"/>
        <w:spacing w:after="0" w:line="254" w:lineRule="auto"/>
        <w:tabs>
          <w:tab w:leader="none" w:pos="727" w:val="left"/>
        </w:tabs>
        <w:numPr>
          <w:ilvl w:val="0"/>
          <w:numId w:val="173"/>
        </w:numPr>
        <w:rPr>
          <w:rFonts w:ascii="Arial" w:cs="Arial" w:eastAsia="Arial" w:hAnsi="Arial"/>
          <w:sz w:val="21"/>
          <w:szCs w:val="21"/>
          <w:color w:val="auto"/>
        </w:rPr>
      </w:pPr>
      <w:r>
        <w:rPr>
          <w:rFonts w:ascii="Arial" w:cs="Arial" w:eastAsia="Arial" w:hAnsi="Arial"/>
          <w:sz w:val="21"/>
          <w:szCs w:val="21"/>
          <w:color w:val="auto"/>
        </w:rPr>
        <w:t>From the time of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21"/>
          <w:szCs w:val="21"/>
          <w:b w:val="1"/>
          <w:bCs w:val="1"/>
          <w:color w:val="auto"/>
        </w:rPr>
        <w:t>Emerging Growth Company</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ind w:left="-500" w:firstLine="619"/>
        <w:spacing w:after="0" w:line="289" w:lineRule="auto"/>
        <w:tabs>
          <w:tab w:leader="none" w:pos="72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(i) has not alone engaged in any Testing-the-Waters Communication with any person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w:t>
      </w:r>
      <w:r>
        <w:rPr>
          <w:rFonts w:ascii="Arial" w:cs="Arial" w:eastAsia="Arial" w:hAnsi="Arial"/>
          <w:sz w:val="18"/>
          <w:szCs w:val="18"/>
          <w:b w:val="1"/>
          <w:bCs w:val="1"/>
          <w:color w:val="auto"/>
        </w:rPr>
        <w:t>Testing-the-Waters</w:t>
      </w:r>
      <w:r>
        <w:rPr>
          <w:rFonts w:ascii="Arial" w:cs="Arial" w:eastAsia="Arial" w:hAnsi="Arial"/>
          <w:sz w:val="18"/>
          <w:szCs w:val="18"/>
          <w:color w:val="auto"/>
        </w:rPr>
        <w:t xml:space="preserve"> </w:t>
      </w:r>
      <w:r>
        <w:rPr>
          <w:rFonts w:ascii="Arial" w:cs="Arial" w:eastAsia="Arial" w:hAnsi="Arial"/>
          <w:sz w:val="18"/>
          <w:szCs w:val="18"/>
          <w:b w:val="1"/>
          <w:bCs w:val="1"/>
          <w:color w:val="auto"/>
        </w:rPr>
        <w:t>Communication</w:t>
      </w:r>
      <w:r>
        <w:rPr>
          <w:rFonts w:ascii="Arial" w:cs="Arial" w:eastAsia="Arial" w:hAnsi="Arial"/>
          <w:sz w:val="18"/>
          <w:szCs w:val="18"/>
          <w:color w:val="auto"/>
        </w:rPr>
        <w:t>” means any oral or written communication with potential investors undertaken in reliance on Section 5(d)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 Any individual Written Testing-the-Waters Communication does not conflict with the information contained in the Registration Statement, the Time of Sale Prospectus or the Prospectus, complied in all material respects with the Securities Act and did not as of its date and, when taken together with the Time of Sale Prospectus, at the time of each sale of the Shares in connection with the offering when the Prospectus is not yet available to prospective purchasers, contain any untrue statement of a material fact or omit to state a material fact necessary in order to make the statements therein, in the light of the circumstances under which they were made, not misleading.</w:t>
      </w:r>
    </w:p>
    <w:p>
      <w:pPr>
        <w:spacing w:after="0" w:line="151" w:lineRule="exact"/>
        <w:rPr>
          <w:rFonts w:ascii="Arial" w:cs="Arial" w:eastAsia="Arial" w:hAnsi="Arial"/>
          <w:sz w:val="18"/>
          <w:szCs w:val="18"/>
          <w:color w:val="auto"/>
        </w:rPr>
      </w:pPr>
    </w:p>
    <w:p>
      <w:pPr>
        <w:ind w:left="-500" w:right="180" w:firstLine="619"/>
        <w:spacing w:after="0" w:line="272" w:lineRule="auto"/>
        <w:tabs>
          <w:tab w:leader="none" w:pos="73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No forward-looking statement (within the meaning of Section 27A of the Securities Act and Section 21E of the Exchange Act) included in the Registration Statement, the Time of Sale Prospectus or the Prospectus has been made or reaffirmed without a reasonable basis or has been disclosed other than in good faith.</w:t>
      </w:r>
    </w:p>
    <w:p>
      <w:pPr>
        <w:spacing w:after="0" w:line="158" w:lineRule="exact"/>
        <w:rPr>
          <w:rFonts w:ascii="Arial" w:cs="Arial" w:eastAsia="Arial" w:hAnsi="Arial"/>
          <w:sz w:val="20"/>
          <w:szCs w:val="20"/>
          <w:color w:val="auto"/>
        </w:rPr>
      </w:pPr>
    </w:p>
    <w:p>
      <w:pPr>
        <w:jc w:val="both"/>
        <w:ind w:left="-500" w:right="160" w:firstLine="619"/>
        <w:spacing w:after="0" w:line="250" w:lineRule="auto"/>
        <w:tabs>
          <w:tab w:leader="none" w:pos="732" w:val="left"/>
        </w:tabs>
        <w:numPr>
          <w:ilvl w:val="0"/>
          <w:numId w:val="173"/>
        </w:numPr>
        <w:rPr>
          <w:rFonts w:ascii="Arial" w:cs="Arial" w:eastAsia="Arial" w:hAnsi="Arial"/>
          <w:sz w:val="21"/>
          <w:szCs w:val="21"/>
          <w:color w:val="auto"/>
        </w:rPr>
      </w:pPr>
      <w:r>
        <w:rPr>
          <w:rFonts w:ascii="Arial" w:cs="Arial" w:eastAsia="Arial" w:hAnsi="Arial"/>
          <w:sz w:val="21"/>
          <w:szCs w:val="21"/>
          <w:color w:val="auto"/>
        </w:rPr>
        <w:t>No relationship, direct or indirect, exists between or among the Company or any of its Subsidiaries, on the one hand, and the directors, officers or stockholders of the Company or any of its Subsidiaries, on the other, that is required by the Securities Act to be described in Registration Statement and the Prospectus and that is not so described in such documents and in the Time of Sale Prospectus.</w:t>
      </w:r>
    </w:p>
    <w:p>
      <w:pPr>
        <w:spacing w:after="0" w:line="178" w:lineRule="exact"/>
        <w:rPr>
          <w:rFonts w:ascii="Arial" w:cs="Arial" w:eastAsia="Arial" w:hAnsi="Arial"/>
          <w:sz w:val="21"/>
          <w:szCs w:val="21"/>
          <w:color w:val="auto"/>
        </w:rPr>
      </w:pPr>
    </w:p>
    <w:p>
      <w:pPr>
        <w:ind w:left="-500" w:right="80" w:firstLine="619"/>
        <w:spacing w:after="0" w:line="293" w:lineRule="auto"/>
        <w:tabs>
          <w:tab w:leader="none" w:pos="73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None of the Company 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080"/>
          </w:cols>
          <w:pgMar w:left="1440" w:top="1367" w:right="379" w:bottom="1440" w:gutter="0" w:footer="0" w:header="0"/>
        </w:sectPr>
      </w:pPr>
    </w:p>
    <w:bookmarkStart w:id="345" w:name="page346"/>
    <w:bookmarkEnd w:id="345"/>
    <w:p>
      <w:pPr>
        <w:ind w:left="600" w:right="120" w:firstLine="619"/>
        <w:spacing w:after="0" w:line="265" w:lineRule="auto"/>
        <w:tabs>
          <w:tab w:leader="none" w:pos="1833" w:val="left"/>
        </w:tabs>
        <w:numPr>
          <w:ilvl w:val="1"/>
          <w:numId w:val="174"/>
        </w:numPr>
        <w:rPr>
          <w:rFonts w:ascii="Arial" w:cs="Arial" w:eastAsia="Arial" w:hAnsi="Arial"/>
          <w:sz w:val="21"/>
          <w:szCs w:val="21"/>
          <w:color w:val="auto"/>
        </w:rPr>
      </w:pPr>
      <w:r>
        <w:rPr>
          <w:rFonts w:ascii="Arial" w:cs="Arial" w:eastAsia="Arial" w:hAnsi="Arial"/>
          <w:sz w:val="21"/>
          <w:szCs w:val="21"/>
          <w:color w:val="auto"/>
        </w:rPr>
        <w:t>None of the Company or any of its Subsidiaries has any securities rated by any “nationally recognized statistical rating organization,” as such term is defined in Section 3(a)(62) of the Exchange Act.</w:t>
      </w:r>
    </w:p>
    <w:p>
      <w:pPr>
        <w:spacing w:after="0" w:line="162" w:lineRule="exact"/>
        <w:rPr>
          <w:rFonts w:ascii="Arial" w:cs="Arial" w:eastAsia="Arial" w:hAnsi="Arial"/>
          <w:sz w:val="21"/>
          <w:szCs w:val="21"/>
          <w:color w:val="auto"/>
        </w:rPr>
      </w:pPr>
    </w:p>
    <w:p>
      <w:pPr>
        <w:ind w:left="-20" w:right="140" w:firstLine="621"/>
        <w:spacing w:after="0" w:line="265" w:lineRule="auto"/>
        <w:tabs>
          <w:tab w:leader="none" w:pos="1216" w:val="left"/>
        </w:tabs>
        <w:numPr>
          <w:ilvl w:val="0"/>
          <w:numId w:val="175"/>
        </w:numPr>
        <w:rPr>
          <w:rFonts w:ascii="Arial" w:cs="Arial" w:eastAsia="Arial" w:hAnsi="Arial"/>
          <w:sz w:val="21"/>
          <w:szCs w:val="21"/>
          <w:color w:val="auto"/>
        </w:rPr>
      </w:pPr>
      <w:r>
        <w:rPr>
          <w:rFonts w:ascii="Arial" w:cs="Arial" w:eastAsia="Arial" w:hAnsi="Arial"/>
          <w:sz w:val="21"/>
          <w:szCs w:val="21"/>
          <w:i w:val="1"/>
          <w:iCs w:val="1"/>
          <w:color w:val="auto"/>
        </w:rPr>
        <w:t xml:space="preserve">Representations and Warranties of the Selling Stockholders. </w:t>
      </w:r>
      <w:r>
        <w:rPr>
          <w:rFonts w:ascii="Arial" w:cs="Arial" w:eastAsia="Arial" w:hAnsi="Arial"/>
          <w:sz w:val="21"/>
          <w:szCs w:val="21"/>
          <w:color w:val="auto"/>
        </w:rPr>
        <w:t>Each of the Selling Stockholders, severally and not jointly,</w:t>
      </w:r>
      <w:r>
        <w:rPr>
          <w:rFonts w:ascii="Arial" w:cs="Arial" w:eastAsia="Arial" w:hAnsi="Arial"/>
          <w:sz w:val="21"/>
          <w:szCs w:val="21"/>
          <w:i w:val="1"/>
          <w:iCs w:val="1"/>
          <w:color w:val="auto"/>
        </w:rPr>
        <w:t xml:space="preserve"> </w:t>
      </w:r>
      <w:r>
        <w:rPr>
          <w:rFonts w:ascii="Arial" w:cs="Arial" w:eastAsia="Arial" w:hAnsi="Arial"/>
          <w:sz w:val="21"/>
          <w:szCs w:val="21"/>
          <w:color w:val="auto"/>
        </w:rPr>
        <w:t>represents and warrants to and agrees with each of the Underwriters and the ZoomInfo Parties that:</w:t>
      </w:r>
    </w:p>
    <w:p>
      <w:pPr>
        <w:spacing w:after="0" w:line="162" w:lineRule="exact"/>
        <w:rPr>
          <w:rFonts w:ascii="Arial" w:cs="Arial" w:eastAsia="Arial" w:hAnsi="Arial"/>
          <w:sz w:val="21"/>
          <w:szCs w:val="21"/>
          <w:color w:val="auto"/>
        </w:rPr>
      </w:pPr>
    </w:p>
    <w:p>
      <w:pPr>
        <w:ind w:left="1840" w:hanging="621"/>
        <w:spacing w:after="0"/>
        <w:tabs>
          <w:tab w:leader="none" w:pos="184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by or on behalf of such Selling Stockholder.</w:t>
      </w:r>
    </w:p>
    <w:p>
      <w:pPr>
        <w:spacing w:after="0" w:line="232" w:lineRule="exact"/>
        <w:rPr>
          <w:rFonts w:ascii="Arial" w:cs="Arial" w:eastAsia="Arial" w:hAnsi="Arial"/>
          <w:sz w:val="19"/>
          <w:szCs w:val="19"/>
          <w:color w:val="auto"/>
        </w:rPr>
      </w:pPr>
    </w:p>
    <w:p>
      <w:pPr>
        <w:ind w:left="600" w:firstLine="619"/>
        <w:spacing w:after="0" w:line="287" w:lineRule="auto"/>
        <w:tabs>
          <w:tab w:leader="none" w:pos="183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execution and delivery by such Selling Stockholder of, and the performance by such Selling Stockholder of its obligations under, this Agreement and the consummation of the Exchange Transactions and the other transactions contemplated by this Agreement by such Selling Stockholder will not contravene any provision of (i) applicable law, (ii) with respect to each Selling Stockholder other than a natural person, the charter or by-laws or similar organizational documents of such Selling Stockholder, (iii) any agreement or other instrument binding upon such Selling Stockholder (other than, for the avoidance of doubt, the “lock-up agreements” entered into by such Selling Stockholder in connection with the Company’s initial public offering, to the extent waived as required thereunder with respect to the offering of the Shares) or (iv) any judgment, order or decree of any governmental body, agency or court having jurisdiction over such Selling Stockholder, except any such contravention that, in the case of clauses (i), (iii) and (iv), would not, singly or in the aggregate, impair in any material respect the ability of any such Selling Stockholder to consummate its obligations hereunder; and no consent, approval, authorization or order of, or qualification with, any governmental body, agency or court is required for the performance by such Selling Stockholder of its obligations under this Agreement and the consummation of the Exchange Transactions and the other transactions contemplated by this Agreement, except for (i) registration under the Securities Act of the Shares, (ii) such as shall have been obtained or waived prior to the date of this Agreement, except where the failure to obtain such consents, approvals, authorizations, orders or qualifications would not impair, in any material respect, the consummation by such Selling Stockholder of the transactions contemplated by this Agreement, (iii) such consents, approvals, authorizations, orders and registrations or qualifications as may be required by FINRA and (iv) such as may be required by the securities or Blue Sky laws of the various states or foreign jurisdictions in connection with the purchase and distribution of the Shares by the Underwriters.</w:t>
      </w:r>
    </w:p>
    <w:p>
      <w:pPr>
        <w:spacing w:after="0" w:line="154" w:lineRule="exact"/>
        <w:rPr>
          <w:rFonts w:ascii="Arial" w:cs="Arial" w:eastAsia="Arial" w:hAnsi="Arial"/>
          <w:sz w:val="18"/>
          <w:szCs w:val="18"/>
          <w:color w:val="auto"/>
        </w:rPr>
      </w:pPr>
    </w:p>
    <w:p>
      <w:pPr>
        <w:ind w:left="600" w:firstLine="619"/>
        <w:spacing w:after="0" w:line="248" w:lineRule="auto"/>
        <w:tabs>
          <w:tab w:leader="none" w:pos="1833" w:val="left"/>
        </w:tabs>
        <w:numPr>
          <w:ilvl w:val="1"/>
          <w:numId w:val="175"/>
        </w:numPr>
        <w:rPr>
          <w:rFonts w:ascii="Arial" w:cs="Arial" w:eastAsia="Arial" w:hAnsi="Arial"/>
          <w:sz w:val="21"/>
          <w:szCs w:val="21"/>
          <w:color w:val="auto"/>
        </w:rPr>
      </w:pPr>
      <w:r>
        <w:rPr>
          <w:rFonts w:ascii="Arial" w:cs="Arial" w:eastAsia="Arial" w:hAnsi="Arial"/>
          <w:sz w:val="21"/>
          <w:szCs w:val="21"/>
          <w:color w:val="auto"/>
        </w:rPr>
        <w:t>Such Selling Stockholder will have, after giving effect to the applicable Exchange Transactions, valid title to, or a valid “security entitlement” within the meaning of Section 8-501 of the New York Uniform Commercial Code (the “</w:t>
      </w:r>
      <w:r>
        <w:rPr>
          <w:rFonts w:ascii="Arial" w:cs="Arial" w:eastAsia="Arial" w:hAnsi="Arial"/>
          <w:sz w:val="21"/>
          <w:szCs w:val="21"/>
          <w:b w:val="1"/>
          <w:bCs w:val="1"/>
          <w:color w:val="auto"/>
        </w:rPr>
        <w:t>UCC</w:t>
      </w:r>
      <w:r>
        <w:rPr>
          <w:rFonts w:ascii="Arial" w:cs="Arial" w:eastAsia="Arial" w:hAnsi="Arial"/>
          <w:sz w:val="21"/>
          <w:szCs w:val="21"/>
          <w:color w:val="auto"/>
        </w:rPr>
        <w:t>”) in respect of, the Shares to be sold by such Selling Stockholder on the Closing Date and each Option Closing Date, free and clear of all security interests, claims, liens, equities or other encumbrances and the legal right and power, and all authorization and approval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00"/>
          </w:cols>
          <w:pgMar w:left="340" w:top="1367" w:right="359" w:bottom="1440" w:gutter="0" w:footer="0" w:header="0"/>
        </w:sectPr>
      </w:pPr>
    </w:p>
    <w:bookmarkStart w:id="346" w:name="page347"/>
    <w:bookmarkEnd w:id="346"/>
    <w:p>
      <w:pPr>
        <w:ind w:right="560"/>
        <w:spacing w:after="0" w:line="265" w:lineRule="auto"/>
        <w:rPr>
          <w:sz w:val="20"/>
          <w:szCs w:val="20"/>
          <w:color w:val="auto"/>
        </w:rPr>
      </w:pPr>
      <w:r>
        <w:rPr>
          <w:rFonts w:ascii="Arial" w:cs="Arial" w:eastAsia="Arial" w:hAnsi="Arial"/>
          <w:sz w:val="21"/>
          <w:szCs w:val="21"/>
          <w:color w:val="auto"/>
        </w:rPr>
        <w:t>by law, to enter into this Agreement and to sell, transfer and deliver the Shares to be sold by such Selling Stockholder or a security entitlement in respect of such Shares.</w:t>
      </w:r>
    </w:p>
    <w:p>
      <w:pPr>
        <w:spacing w:after="0" w:line="162" w:lineRule="exact"/>
        <w:rPr>
          <w:sz w:val="20"/>
          <w:szCs w:val="20"/>
          <w:color w:val="auto"/>
        </w:rPr>
      </w:pPr>
    </w:p>
    <w:p>
      <w:pPr>
        <w:ind w:firstLine="619"/>
        <w:spacing w:after="0" w:line="285" w:lineRule="auto"/>
        <w:tabs>
          <w:tab w:leader="none" w:pos="123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Upon payment for the Shares to be sold by such Selling Stockholder pursuant to this Agreement, delivery of such Shares, as directed by the Underwriters, to Cede &amp; Co. (“</w:t>
      </w:r>
      <w:r>
        <w:rPr>
          <w:rFonts w:ascii="Arial" w:cs="Arial" w:eastAsia="Arial" w:hAnsi="Arial"/>
          <w:sz w:val="18"/>
          <w:szCs w:val="18"/>
          <w:b w:val="1"/>
          <w:bCs w:val="1"/>
          <w:color w:val="auto"/>
        </w:rPr>
        <w:t>Cede</w:t>
      </w:r>
      <w:r>
        <w:rPr>
          <w:rFonts w:ascii="Arial" w:cs="Arial" w:eastAsia="Arial" w:hAnsi="Arial"/>
          <w:sz w:val="18"/>
          <w:szCs w:val="18"/>
          <w:color w:val="auto"/>
        </w:rPr>
        <w:t>”) or such other nominee as may be designated by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UCC)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Amended and Restated Charter, bylaws and applicable law,</w:t>
      </w:r>
    </w:p>
    <w:p>
      <w:pPr>
        <w:spacing w:after="0" w:line="5" w:lineRule="exact"/>
        <w:rPr>
          <w:rFonts w:ascii="Arial" w:cs="Arial" w:eastAsia="Arial" w:hAnsi="Arial"/>
          <w:sz w:val="18"/>
          <w:szCs w:val="18"/>
          <w:color w:val="auto"/>
        </w:rPr>
      </w:pPr>
    </w:p>
    <w:p>
      <w:pPr>
        <w:ind w:right="120" w:firstLine="1"/>
        <w:spacing w:after="0" w:line="245" w:lineRule="auto"/>
        <w:tabs>
          <w:tab w:leader="none" w:pos="292" w:val="left"/>
        </w:tabs>
        <w:numPr>
          <w:ilvl w:val="0"/>
          <w:numId w:val="177"/>
        </w:numPr>
        <w:rPr>
          <w:rFonts w:ascii="Arial" w:cs="Arial" w:eastAsia="Arial" w:hAnsi="Arial"/>
          <w:sz w:val="21"/>
          <w:szCs w:val="21"/>
          <w:color w:val="auto"/>
        </w:rPr>
      </w:pPr>
      <w:r>
        <w:rPr>
          <w:rFonts w:ascii="Arial" w:cs="Arial" w:eastAsia="Arial" w:hAnsi="Arial"/>
          <w:sz w:val="21"/>
          <w:szCs w:val="21"/>
          <w:color w:val="auto"/>
        </w:rPr>
        <w:t>DTC will be registered as a “clearing corporation” within the meaning of Section 8-102 of the UCC and (z) appropriate entries to the accounts of the several Underwriters on the records of DTC will have been made pursuant to Section 8-501 of the UCC.</w:t>
      </w:r>
    </w:p>
    <w:p>
      <w:pPr>
        <w:spacing w:after="0" w:line="182" w:lineRule="exact"/>
        <w:rPr>
          <w:rFonts w:ascii="Arial" w:cs="Arial" w:eastAsia="Arial" w:hAnsi="Arial"/>
          <w:sz w:val="21"/>
          <w:szCs w:val="21"/>
          <w:color w:val="auto"/>
        </w:rPr>
      </w:pPr>
    </w:p>
    <w:p>
      <w:pPr>
        <w:ind w:right="140" w:firstLine="619"/>
        <w:spacing w:after="0" w:line="265" w:lineRule="auto"/>
        <w:tabs>
          <w:tab w:leader="none" w:pos="1233" w:val="left"/>
        </w:tabs>
        <w:numPr>
          <w:ilvl w:val="1"/>
          <w:numId w:val="177"/>
        </w:numPr>
        <w:rPr>
          <w:rFonts w:ascii="Arial" w:cs="Arial" w:eastAsia="Arial" w:hAnsi="Arial"/>
          <w:sz w:val="21"/>
          <w:szCs w:val="21"/>
          <w:color w:val="auto"/>
        </w:rPr>
      </w:pPr>
      <w:r>
        <w:rPr>
          <w:rFonts w:ascii="Arial" w:cs="Arial" w:eastAsia="Arial" w:hAnsi="Arial"/>
          <w:sz w:val="21"/>
          <w:szCs w:val="21"/>
          <w:color w:val="auto"/>
        </w:rPr>
        <w:t>Such Selling Stockholder has not taken, directly or indirectly, any action designed to or that could reasonably be expected to cause or result in any stabilization or manipulation of the price of the Shares.</w:t>
      </w:r>
    </w:p>
    <w:p>
      <w:pPr>
        <w:spacing w:after="0" w:line="162" w:lineRule="exact"/>
        <w:rPr>
          <w:rFonts w:ascii="Arial" w:cs="Arial" w:eastAsia="Arial" w:hAnsi="Arial"/>
          <w:sz w:val="21"/>
          <w:szCs w:val="21"/>
          <w:color w:val="auto"/>
        </w:rPr>
      </w:pPr>
    </w:p>
    <w:p>
      <w:pPr>
        <w:ind w:right="20" w:firstLine="619"/>
        <w:spacing w:after="0" w:line="273" w:lineRule="auto"/>
        <w:tabs>
          <w:tab w:leader="none" w:pos="1236" w:val="left"/>
        </w:tabs>
        <w:numPr>
          <w:ilvl w:val="1"/>
          <w:numId w:val="177"/>
        </w:numPr>
        <w:rPr>
          <w:rFonts w:ascii="Arial" w:cs="Arial" w:eastAsia="Arial" w:hAnsi="Arial"/>
          <w:sz w:val="19"/>
          <w:szCs w:val="19"/>
          <w:color w:val="auto"/>
        </w:rPr>
      </w:pPr>
      <w:r>
        <w:rPr>
          <w:rFonts w:ascii="Arial" w:cs="Arial" w:eastAsia="Arial" w:hAnsi="Arial"/>
          <w:sz w:val="19"/>
          <w:szCs w:val="19"/>
          <w:color w:val="auto"/>
        </w:rPr>
        <w:t>(i)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 the Time of Sale Prospectus does not and, at the time of each sale of the Shares in connection with the offering when the Prospectus is not yet available to prospective purchasers and at the Closing Date,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(iii)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(iv) the Prospectus, as of its date, does not contain, as amended or supplemented, if applicable, as of the date of such amendment or supplement will not contain, and, as then amended or supplemented by the Company, if applicable, as of the Closing Date and each Option Closing Date,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0620"/>
          </w:cols>
          <w:pgMar w:left="940" w:top="1367" w:right="339" w:bottom="1440" w:gutter="0" w:footer="0" w:header="0"/>
        </w:sectPr>
      </w:pPr>
    </w:p>
    <w:bookmarkStart w:id="347" w:name="page348"/>
    <w:bookmarkEnd w:id="347"/>
    <w:p>
      <w:pPr>
        <w:ind w:right="40"/>
        <w:spacing w:after="0" w:line="259" w:lineRule="auto"/>
        <w:rPr>
          <w:sz w:val="20"/>
          <w:szCs w:val="20"/>
          <w:color w:val="auto"/>
        </w:rPr>
      </w:pPr>
      <w:r>
        <w:rPr>
          <w:rFonts w:ascii="Arial" w:cs="Arial" w:eastAsia="Arial" w:hAnsi="Arial"/>
          <w:sz w:val="20"/>
          <w:szCs w:val="20"/>
          <w:color w:val="auto"/>
        </w:rPr>
        <w:t>not contain any untrue statement of a material fact or omit to state a material fact necessary to make the statements therein, in the light of the circumstances under which they were made, not misleading; except that the representations and warranties set forth in this paragraph apply only to statements or omissions in the Registration Statement, the Time of Sale Prospectus or the Prospectus made in reliance upon and in conformity with information relating to any Selling Stockholder furnished to the Company in writing by or on behalf of any such Selling Stockholder expressly for use therein, it being understood and agreed that the only such information furnished by or on behalf of any Selling Stockholder consists only of (i) the legal name, address and the number of shares owned by such Selling Stockholder and (ii) the other information (excluding percentages) with respect to such Selling Stockholder which appears in the table (and corresponding footnotes) under the caption “Principal and Selling Stockholders” in the Registration Statement, the Time of Sale Prospectus or the Prospectus (the “</w:t>
      </w:r>
      <w:r>
        <w:rPr>
          <w:rFonts w:ascii="Arial" w:cs="Arial" w:eastAsia="Arial" w:hAnsi="Arial"/>
          <w:sz w:val="20"/>
          <w:szCs w:val="20"/>
          <w:b w:val="1"/>
          <w:bCs w:val="1"/>
          <w:color w:val="auto"/>
        </w:rPr>
        <w:t>Selling Stockholder</w:t>
      </w:r>
      <w:r>
        <w:rPr>
          <w:rFonts w:ascii="Arial" w:cs="Arial" w:eastAsia="Arial" w:hAnsi="Arial"/>
          <w:sz w:val="20"/>
          <w:szCs w:val="20"/>
          <w:color w:val="auto"/>
        </w:rPr>
        <w:t xml:space="preserve"> </w:t>
      </w:r>
      <w:r>
        <w:rPr>
          <w:rFonts w:ascii="Arial" w:cs="Arial" w:eastAsia="Arial" w:hAnsi="Arial"/>
          <w:sz w:val="20"/>
          <w:szCs w:val="20"/>
          <w:b w:val="1"/>
          <w:bCs w:val="1"/>
          <w:color w:val="auto"/>
        </w:rPr>
        <w:t>Information</w:t>
      </w:r>
      <w:r>
        <w:rPr>
          <w:rFonts w:ascii="Arial" w:cs="Arial" w:eastAsia="Arial" w:hAnsi="Arial"/>
          <w:sz w:val="20"/>
          <w:szCs w:val="20"/>
          <w:color w:val="auto"/>
        </w:rPr>
        <w:t>”).</w:t>
      </w:r>
    </w:p>
    <w:p>
      <w:pPr>
        <w:spacing w:after="0" w:line="171" w:lineRule="exact"/>
        <w:rPr>
          <w:sz w:val="20"/>
          <w:szCs w:val="20"/>
          <w:color w:val="auto"/>
        </w:rPr>
      </w:pPr>
    </w:p>
    <w:p>
      <w:pPr>
        <w:ind w:right="80" w:firstLine="619"/>
        <w:spacing w:after="0" w:line="246" w:lineRule="auto"/>
        <w:tabs>
          <w:tab w:leader="none" w:pos="1232"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Other than the Registration Statement, the Preliminary Prospectus and the Prospectus, such Selling Stockholder (including its agents and representatives, other than the Underwriters in their capacity as such) has not prepared, made, used, authorized, approved or referred to and will not prepare, make, use, authorize, approve or refer to any free writing prospectus or Written Testing-the-Waters Communication, other than (i) any document not constituting a prospectus pursuant to Section 2(a) (10)(a) of the Securities Act or Rule 134 under the Securities Act or (ii) the documents identified in </w:t>
      </w:r>
      <w:r>
        <w:rPr>
          <w:rFonts w:ascii="Arial" w:cs="Arial" w:eastAsia="Arial" w:hAnsi="Arial"/>
          <w:sz w:val="21"/>
          <w:szCs w:val="21"/>
          <w:u w:val="single" w:color="auto"/>
          <w:color w:val="auto"/>
        </w:rPr>
        <w:t>Schedule III</w:t>
      </w:r>
      <w:r>
        <w:rPr>
          <w:rFonts w:ascii="Arial" w:cs="Arial" w:eastAsia="Arial" w:hAnsi="Arial"/>
          <w:sz w:val="21"/>
          <w:szCs w:val="21"/>
          <w:color w:val="auto"/>
        </w:rPr>
        <w:t xml:space="preserve"> hereto, each electronic road show and any other written communications approved in writing in advance by the Company and the Representatives.</w:t>
      </w:r>
    </w:p>
    <w:p>
      <w:pPr>
        <w:spacing w:after="0" w:line="186" w:lineRule="exact"/>
        <w:rPr>
          <w:rFonts w:ascii="Arial" w:cs="Arial" w:eastAsia="Arial" w:hAnsi="Arial"/>
          <w:sz w:val="21"/>
          <w:szCs w:val="21"/>
          <w:color w:val="auto"/>
        </w:rPr>
      </w:pPr>
    </w:p>
    <w:p>
      <w:pPr>
        <w:ind w:right="420" w:firstLine="619"/>
        <w:spacing w:after="0" w:line="318" w:lineRule="auto"/>
        <w:tabs>
          <w:tab w:leader="none" w:pos="1232"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With respect to each Selling Stockholder other than a natural person, such Selling Stockholder has been duly organized and is validly existing and in good standing under the laws of its respective jurisdiction of organization.</w:t>
      </w:r>
    </w:p>
    <w:p>
      <w:pPr>
        <w:spacing w:after="0" w:line="116" w:lineRule="exact"/>
        <w:rPr>
          <w:rFonts w:ascii="Arial" w:cs="Arial" w:eastAsia="Arial" w:hAnsi="Arial"/>
          <w:sz w:val="19"/>
          <w:szCs w:val="19"/>
          <w:color w:val="auto"/>
        </w:rPr>
      </w:pPr>
    </w:p>
    <w:p>
      <w:pPr>
        <w:ind w:right="280" w:firstLine="619"/>
        <w:spacing w:after="0" w:line="316" w:lineRule="auto"/>
        <w:tabs>
          <w:tab w:leader="none" w:pos="12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With respect to each Selling Stockholder other than a natural person, such Selling Stockholder is not (i) an employee benefit plan subject to Title I of ERISA, (ii) a plan or account subject to Section 4975 of the Code or (iii) an entity deemed to hold “plan assets” of any such plan or account under Section 3(42) of ERISA, 29 C.F.R. 2510.3-101, or otherwise.</w:t>
      </w:r>
    </w:p>
    <w:p>
      <w:pPr>
        <w:spacing w:after="0" w:line="122" w:lineRule="exact"/>
        <w:rPr>
          <w:rFonts w:ascii="Arial" w:cs="Arial" w:eastAsia="Arial" w:hAnsi="Arial"/>
          <w:sz w:val="18"/>
          <w:szCs w:val="18"/>
          <w:color w:val="auto"/>
        </w:rPr>
      </w:pPr>
    </w:p>
    <w:p>
      <w:pPr>
        <w:ind w:firstLine="619"/>
        <w:spacing w:after="0" w:line="277" w:lineRule="auto"/>
        <w:tabs>
          <w:tab w:leader="none" w:pos="122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Such Selling Stockholder specifically agrees that the obligations of such Selling Stockholder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corporation or organization, by the dissolution of such partnership, corporation or organization, or by the occurrence of any other event. If any individual Selling Stockholder or any such executor or trustee should die or become incapacitated, or if any such estate or trust should be terminated, or if any such partnership, corporation or similar organization should be dissolved, or if any other event should occur, before the delivery of the Shares hereunder, book-entry entitlements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0620"/>
          </w:cols>
          <w:pgMar w:left="940" w:top="1367" w:right="339" w:bottom="1440" w:gutter="0" w:footer="0" w:header="0"/>
        </w:sectPr>
      </w:pPr>
    </w:p>
    <w:bookmarkStart w:id="348" w:name="page349"/>
    <w:bookmarkEnd w:id="348"/>
    <w:p>
      <w:pPr>
        <w:ind w:left="620" w:right="600"/>
        <w:spacing w:after="0" w:line="265" w:lineRule="auto"/>
        <w:rPr>
          <w:sz w:val="20"/>
          <w:szCs w:val="20"/>
          <w:color w:val="auto"/>
        </w:rPr>
      </w:pPr>
      <w:r>
        <w:rPr>
          <w:rFonts w:ascii="Arial" w:cs="Arial" w:eastAsia="Arial" w:hAnsi="Arial"/>
          <w:sz w:val="21"/>
          <w:szCs w:val="21"/>
          <w:color w:val="auto"/>
        </w:rPr>
        <w:t>representing such Shares shall be delivered by or on behalf of such Selling Stockholder in accordance with the terms and conditions of this Agreement.</w:t>
      </w:r>
    </w:p>
    <w:p>
      <w:pPr>
        <w:spacing w:after="0" w:line="162" w:lineRule="exact"/>
        <w:rPr>
          <w:sz w:val="20"/>
          <w:szCs w:val="20"/>
          <w:color w:val="auto"/>
        </w:rPr>
      </w:pPr>
    </w:p>
    <w:p>
      <w:pPr>
        <w:ind w:firstLine="621"/>
        <w:spacing w:after="0" w:line="296" w:lineRule="auto"/>
        <w:tabs>
          <w:tab w:leader="none" w:pos="1236"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Agreements to Sell and Purchase. </w:t>
      </w:r>
      <w:r>
        <w:rPr>
          <w:rFonts w:ascii="Arial" w:cs="Arial" w:eastAsia="Arial" w:hAnsi="Arial"/>
          <w:sz w:val="18"/>
          <w:szCs w:val="18"/>
          <w:color w:val="auto"/>
        </w:rPr>
        <w:t>Each Selling Stockholder, severally and not jointly, hereby agrees to sell to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and each Underwriter, upon the basis of the representations and warranties herein contained, but subject to the terms and conditions hereinafter stated, agrees, severally and not jointly, to purchase from such Selling Stockholder at $[ l ] a share (the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the number of Firm Shares (subject to such adjustments to eliminate fractional shares as the Representatives may determine) that bears the same proportion to the number of Firm Shares to be sold by such Selling Stockholder as the number of Firm Shares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opposite the name of such Underwriter bears to the total number of Firm Shares.</w:t>
      </w:r>
    </w:p>
    <w:p>
      <w:pPr>
        <w:spacing w:after="0" w:line="142" w:lineRule="exact"/>
        <w:rPr>
          <w:sz w:val="20"/>
          <w:szCs w:val="20"/>
          <w:color w:val="auto"/>
        </w:rPr>
      </w:pPr>
    </w:p>
    <w:p>
      <w:pPr>
        <w:ind w:firstLine="618"/>
        <w:spacing w:after="0" w:line="272" w:lineRule="auto"/>
        <w:rPr>
          <w:sz w:val="20"/>
          <w:szCs w:val="20"/>
          <w:color w:val="auto"/>
        </w:rPr>
      </w:pPr>
      <w:r>
        <w:rPr>
          <w:rFonts w:ascii="Arial" w:cs="Arial" w:eastAsia="Arial" w:hAnsi="Arial"/>
          <w:sz w:val="19"/>
          <w:szCs w:val="19"/>
          <w:color w:val="auto"/>
        </w:rPr>
        <w:t xml:space="preserve">On the basis of the representations and warranties contained in this Agreement, and subject to its terms and conditions, each Selling Stockholder, severally and not jointly, agrees to sell to the Underwriters the Additional Shares, and the Underwriters shall have the right to purchase, severally and not jointly, up to [ l ] Additional Shares at the Purchase Price;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amount paid by the Underwriters for any Additional Shares shall be reduced by an amount per share equal to any dividends declared by the Company and payable on the Firm Shares but not payable on such Additional Shares. You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two business days after the written notice is given and may not be earlier than the Closing Date or later than ten business days after the date of such notice. Additional Shares may be purchased as provided in Section 5 hereof solely for the purpose of covering over-allotments made in connection with the offering of the Firm Shares. On each day, if any, that Additional Shares are to be purchased (an “</w:t>
      </w:r>
      <w:r>
        <w:rPr>
          <w:rFonts w:ascii="Arial" w:cs="Arial" w:eastAsia="Arial" w:hAnsi="Arial"/>
          <w:sz w:val="19"/>
          <w:szCs w:val="19"/>
          <w:b w:val="1"/>
          <w:bCs w:val="1"/>
          <w:color w:val="auto"/>
        </w:rPr>
        <w:t>Option Closing Date</w:t>
      </w:r>
      <w:r>
        <w:rPr>
          <w:rFonts w:ascii="Arial" w:cs="Arial" w:eastAsia="Arial" w:hAnsi="Arial"/>
          <w:sz w:val="19"/>
          <w:szCs w:val="19"/>
          <w:color w:val="auto"/>
        </w:rPr>
        <w:t xml:space="preserve">”),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opposite the name of such Underwriter bears to the total number of Firm Shares. Any such election to purchase Additional Shares shall be made in proportion to the maximum number of Additional Shares to be sold by each Selling Stockholder as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w:t>
      </w:r>
    </w:p>
    <w:p>
      <w:pPr>
        <w:spacing w:after="0" w:line="159" w:lineRule="exact"/>
        <w:rPr>
          <w:sz w:val="20"/>
          <w:szCs w:val="20"/>
          <w:color w:val="auto"/>
        </w:rPr>
      </w:pPr>
    </w:p>
    <w:p>
      <w:pPr>
        <w:ind w:right="100" w:firstLine="621"/>
        <w:spacing w:after="0" w:line="296" w:lineRule="auto"/>
        <w:tabs>
          <w:tab w:leader="none" w:pos="1236"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and the Selling Stockholders are advised by you that the Underwriters propose</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a public offering of their respective portions of the Shares as soon after the Registration Statement and this Agreement have become effective as in your judgment is advisable. The Company and the Selling Stockholders are further advised by you that the Shares are to be offered to the public initially at $[ l ] a share (the “</w:t>
      </w:r>
      <w:r>
        <w:rPr>
          <w:rFonts w:ascii="Arial" w:cs="Arial" w:eastAsia="Arial" w:hAnsi="Arial"/>
          <w:sz w:val="18"/>
          <w:szCs w:val="18"/>
          <w:b w:val="1"/>
          <w:bCs w:val="1"/>
          <w:color w:val="auto"/>
        </w:rPr>
        <w:t>Public Offering Price</w:t>
      </w:r>
      <w:r>
        <w:rPr>
          <w:rFonts w:ascii="Arial" w:cs="Arial" w:eastAsia="Arial" w:hAnsi="Arial"/>
          <w:sz w:val="18"/>
          <w:szCs w:val="18"/>
          <w:color w:val="auto"/>
        </w:rPr>
        <w:t>”) and to certain dealers selected by you at a price that represents a concession not in excess of $[ l ] a share under the Public Offering Price. The Company and the Selling Stockholders acknowledge and agree that the Underwriters may offer and sell Shares to or through any affiliate of an Underwriter.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180"/>
          </w:cols>
          <w:pgMar w:left="320" w:top="1367" w:right="399" w:bottom="1440" w:gutter="0" w:footer="0" w:header="0"/>
        </w:sectPr>
      </w:pPr>
    </w:p>
    <w:bookmarkStart w:id="349" w:name="page350"/>
    <w:bookmarkEnd w:id="349"/>
    <w:p>
      <w:pPr>
        <w:ind w:firstLine="621"/>
        <w:spacing w:after="0" w:line="248" w:lineRule="auto"/>
        <w:tabs>
          <w:tab w:leader="none" w:pos="1236" w:val="left"/>
        </w:tabs>
        <w:numPr>
          <w:ilvl w:val="0"/>
          <w:numId w:val="181"/>
        </w:numPr>
        <w:rPr>
          <w:rFonts w:ascii="Arial" w:cs="Arial" w:eastAsia="Arial" w:hAnsi="Arial"/>
          <w:sz w:val="21"/>
          <w:szCs w:val="21"/>
          <w:color w:val="auto"/>
        </w:rPr>
      </w:pPr>
      <w:r>
        <w:rPr>
          <w:rFonts w:ascii="Arial" w:cs="Arial" w:eastAsia="Arial" w:hAnsi="Arial"/>
          <w:sz w:val="21"/>
          <w:szCs w:val="21"/>
          <w:i w:val="1"/>
          <w:iCs w:val="1"/>
          <w:color w:val="auto"/>
        </w:rPr>
        <w:t xml:space="preserve">Payment and Delivery. </w:t>
      </w:r>
      <w:r>
        <w:rPr>
          <w:rFonts w:ascii="Arial" w:cs="Arial" w:eastAsia="Arial" w:hAnsi="Arial"/>
          <w:sz w:val="21"/>
          <w:szCs w:val="21"/>
          <w:color w:val="auto"/>
        </w:rPr>
        <w:t>Payment for the Firm Shares to be sold by each Selling Stockholder shall be made to such Selling</w:t>
      </w:r>
      <w:r>
        <w:rPr>
          <w:rFonts w:ascii="Arial" w:cs="Arial" w:eastAsia="Arial" w:hAnsi="Arial"/>
          <w:sz w:val="21"/>
          <w:szCs w:val="21"/>
          <w:i w:val="1"/>
          <w:iCs w:val="1"/>
          <w:color w:val="auto"/>
        </w:rPr>
        <w:t xml:space="preserve"> </w:t>
      </w:r>
      <w:r>
        <w:rPr>
          <w:rFonts w:ascii="Arial" w:cs="Arial" w:eastAsia="Arial" w:hAnsi="Arial"/>
          <w:sz w:val="21"/>
          <w:szCs w:val="21"/>
          <w:color w:val="auto"/>
        </w:rPr>
        <w:t>Stockholder in Federal or other funds immediately available in New York City against delivery of such Firm Shares for the respective accounts of the several Underwriters at 10:00 a.m., New York City time, on [ l ], 2020, or at such other time on the same or such other date, not later than [ l ], 2020, as shall be agreed upon in writing by the Company and you. The time and date of such payment are hereinafter referred to as the “</w:t>
      </w:r>
      <w:r>
        <w:rPr>
          <w:rFonts w:ascii="Arial" w:cs="Arial" w:eastAsia="Arial" w:hAnsi="Arial"/>
          <w:sz w:val="21"/>
          <w:szCs w:val="21"/>
          <w:b w:val="1"/>
          <w:bCs w:val="1"/>
          <w:color w:val="auto"/>
        </w:rPr>
        <w:t>Closing Date</w:t>
      </w:r>
      <w:r>
        <w:rPr>
          <w:rFonts w:ascii="Arial" w:cs="Arial" w:eastAsia="Arial" w:hAnsi="Arial"/>
          <w:sz w:val="21"/>
          <w:szCs w:val="21"/>
          <w:color w:val="auto"/>
        </w:rPr>
        <w:t>.”</w:t>
      </w:r>
    </w:p>
    <w:p>
      <w:pPr>
        <w:spacing w:after="0" w:line="182" w:lineRule="exact"/>
        <w:rPr>
          <w:sz w:val="20"/>
          <w:szCs w:val="20"/>
          <w:color w:val="auto"/>
        </w:rPr>
      </w:pPr>
    </w:p>
    <w:p>
      <w:pPr>
        <w:ind w:right="40" w:firstLine="618"/>
        <w:spacing w:after="0" w:line="248" w:lineRule="auto"/>
        <w:rPr>
          <w:sz w:val="20"/>
          <w:szCs w:val="20"/>
          <w:color w:val="auto"/>
        </w:rPr>
      </w:pPr>
      <w:r>
        <w:rPr>
          <w:rFonts w:ascii="Arial" w:cs="Arial" w:eastAsia="Arial" w:hAnsi="Arial"/>
          <w:sz w:val="21"/>
          <w:szCs w:val="21"/>
          <w:color w:val="auto"/>
        </w:rPr>
        <w:t>Payment for any Additional Shares to be sold by each Selling Stockholder shall be made to such Selling Stockholder in Federal or other funds immediately available in New York City against delivery of such Additional Shares for the respective accounts of the several Underwriters at 10:00 a.m., New York City time, on the date specified in the corresponding notice described in Section 3 hereof or at such other time on the same or on such other date, in any event not later than [ l ], 2020, as shall be agreed upon in writing by the Company, the Selling Stockholders and you.</w:t>
      </w:r>
    </w:p>
    <w:p>
      <w:pPr>
        <w:spacing w:after="0" w:line="182" w:lineRule="exact"/>
        <w:rPr>
          <w:sz w:val="20"/>
          <w:szCs w:val="20"/>
          <w:color w:val="auto"/>
        </w:rPr>
      </w:pPr>
    </w:p>
    <w:p>
      <w:pPr>
        <w:ind w:right="20" w:firstLine="618"/>
        <w:spacing w:after="0" w:line="281" w:lineRule="auto"/>
        <w:rPr>
          <w:sz w:val="20"/>
          <w:szCs w:val="20"/>
          <w:color w:val="auto"/>
        </w:rPr>
      </w:pPr>
      <w:r>
        <w:rPr>
          <w:rFonts w:ascii="Arial" w:cs="Arial" w:eastAsia="Arial" w:hAnsi="Arial"/>
          <w:sz w:val="19"/>
          <w:szCs w:val="19"/>
          <w:color w:val="auto"/>
        </w:rPr>
        <w:t>The Firm Shares and Additional Shares shall be registered in such names and in such denominations as you shall request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The Purchase Price payable by the Underwriters shall be reduced by (i) any transfer taxes payable in connection with the transfer of the Shares and (ii) any withholding required by law.</w:t>
      </w:r>
    </w:p>
    <w:p>
      <w:pPr>
        <w:spacing w:after="0" w:line="150" w:lineRule="exact"/>
        <w:rPr>
          <w:sz w:val="20"/>
          <w:szCs w:val="20"/>
          <w:color w:val="auto"/>
        </w:rPr>
      </w:pPr>
    </w:p>
    <w:p>
      <w:pPr>
        <w:ind w:right="80" w:firstLine="621"/>
        <w:spacing w:after="0" w:line="316" w:lineRule="auto"/>
        <w:tabs>
          <w:tab w:leader="none" w:pos="1236"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Selling Stockholders to sell the Shares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and the several obligations of the Underwriters to purchase and pay for the Shares on the Closing Date are subject to the condition that the Registration Statement shall have become effective not later than 5:15 p.m. (New York City time) on the date hereof.</w:t>
      </w:r>
    </w:p>
    <w:p>
      <w:pPr>
        <w:spacing w:after="0" w:line="122" w:lineRule="exact"/>
        <w:rPr>
          <w:sz w:val="20"/>
          <w:szCs w:val="20"/>
          <w:color w:val="auto"/>
        </w:rPr>
      </w:pPr>
    </w:p>
    <w:p>
      <w:pPr>
        <w:ind w:right="460" w:firstLine="618"/>
        <w:spacing w:after="0" w:line="265" w:lineRule="auto"/>
        <w:rPr>
          <w:sz w:val="20"/>
          <w:szCs w:val="20"/>
          <w:color w:val="auto"/>
        </w:rPr>
      </w:pPr>
      <w:r>
        <w:rPr>
          <w:rFonts w:ascii="Arial" w:cs="Arial" w:eastAsia="Arial" w:hAnsi="Arial"/>
          <w:sz w:val="21"/>
          <w:szCs w:val="21"/>
          <w:color w:val="auto"/>
        </w:rPr>
        <w:t>The several obligations of the Underwriters are subject to the performance by the ZoomInfo Parties and each of the Selling Stockholders of their covenants and obligations hereunder and the following further conditions:</w:t>
      </w:r>
    </w:p>
    <w:p>
      <w:pPr>
        <w:spacing w:after="0" w:line="162" w:lineRule="exact"/>
        <w:rPr>
          <w:sz w:val="20"/>
          <w:szCs w:val="20"/>
          <w:color w:val="auto"/>
        </w:rPr>
      </w:pPr>
    </w:p>
    <w:p>
      <w:pPr>
        <w:ind w:left="620" w:right="60" w:firstLine="619"/>
        <w:spacing w:after="0" w:line="260" w:lineRule="auto"/>
        <w:tabs>
          <w:tab w:leader="none" w:pos="1853"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representations and warranties of the ZoomInfo Parties and the Selling Stockholders contained herein shall be true and correct on the date hereof and on and as of the Closing Date or the Option Closing Date, as the case may be, in all material respects (except to the extent already qualified by materiality or Material Adverse Effect, in which case, such representations and warranties shall be true and correct in all respects); and the statements of the ZoomInfo Parties and the Selling Stockholders and each of their respective officers made in any certificates delivered pursuant to this Agreement shall be true and correct on and as of the Closing Date or the Option Closing Date, as the case may be, in all material respects (except to the extent already qualified by materiality or Material Adverse Effect, in which case, such representations and warranties shall be true and correct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20"/>
          </w:cols>
          <w:pgMar w:left="320" w:top="1367" w:right="359" w:bottom="1440" w:gutter="0" w:footer="0" w:header="0"/>
        </w:sectPr>
      </w:pPr>
    </w:p>
    <w:bookmarkStart w:id="350" w:name="page351"/>
    <w:bookmarkEnd w:id="350"/>
    <w:p>
      <w:pPr>
        <w:ind w:left="-500" w:right="160" w:firstLine="619"/>
        <w:spacing w:after="0" w:line="265" w:lineRule="auto"/>
        <w:tabs>
          <w:tab w:leader="none" w:pos="732" w:val="left"/>
        </w:tabs>
        <w:numPr>
          <w:ilvl w:val="0"/>
          <w:numId w:val="184"/>
        </w:numPr>
        <w:rPr>
          <w:rFonts w:ascii="Arial" w:cs="Arial" w:eastAsia="Arial" w:hAnsi="Arial"/>
          <w:sz w:val="21"/>
          <w:szCs w:val="21"/>
          <w:color w:val="auto"/>
        </w:rPr>
      </w:pPr>
      <w:r>
        <w:rPr>
          <w:rFonts w:ascii="Arial" w:cs="Arial" w:eastAsia="Arial" w:hAnsi="Arial"/>
          <w:sz w:val="21"/>
          <w:szCs w:val="21"/>
          <w:color w:val="auto"/>
        </w:rPr>
        <w:t>Subsequent to the execution and delivery of this Agreement and prior to the Closing Date or the Option Closing Date, as the case may be:</w:t>
      </w:r>
    </w:p>
    <w:p>
      <w:pPr>
        <w:spacing w:after="0" w:line="162" w:lineRule="exact"/>
        <w:rPr>
          <w:rFonts w:ascii="Arial" w:cs="Arial" w:eastAsia="Arial" w:hAnsi="Arial"/>
          <w:sz w:val="21"/>
          <w:szCs w:val="21"/>
          <w:color w:val="auto"/>
        </w:rPr>
      </w:pPr>
    </w:p>
    <w:p>
      <w:pPr>
        <w:ind w:left="120" w:right="160" w:firstLine="578"/>
        <w:spacing w:after="0" w:line="254" w:lineRule="auto"/>
        <w:tabs>
          <w:tab w:leader="none" w:pos="1356" w:val="left"/>
        </w:tabs>
        <w:numPr>
          <w:ilvl w:val="1"/>
          <w:numId w:val="184"/>
        </w:numPr>
        <w:rPr>
          <w:rFonts w:ascii="Arial" w:cs="Arial" w:eastAsia="Arial" w:hAnsi="Arial"/>
          <w:sz w:val="21"/>
          <w:szCs w:val="21"/>
          <w:color w:val="auto"/>
        </w:rPr>
      </w:pPr>
      <w:r>
        <w:rPr>
          <w:rFonts w:ascii="Arial" w:cs="Arial" w:eastAsia="Arial" w:hAnsi="Arial"/>
          <w:sz w:val="21"/>
          <w:szCs w:val="21"/>
          <w:color w:val="auto"/>
        </w:rPr>
        <w:t>no order suspending the effectiveness of the Registration Statement shall be in effect, and no proceeding for such purpose or pursuant to Section 8A under the Securities Act shall be pending before or threatened by the Commission; and</w:t>
      </w:r>
    </w:p>
    <w:p>
      <w:pPr>
        <w:spacing w:after="0" w:line="173" w:lineRule="exact"/>
        <w:rPr>
          <w:rFonts w:ascii="Arial" w:cs="Arial" w:eastAsia="Arial" w:hAnsi="Arial"/>
          <w:sz w:val="21"/>
          <w:szCs w:val="21"/>
          <w:color w:val="auto"/>
        </w:rPr>
      </w:pPr>
    </w:p>
    <w:p>
      <w:pPr>
        <w:ind w:left="120" w:firstLine="520"/>
        <w:spacing w:after="0" w:line="300" w:lineRule="auto"/>
        <w:tabs>
          <w:tab w:leader="none" w:pos="135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there shall not have occurred any material adverse change, or any development involving a prospective material adverse change, in the condition, financial or otherwise, or in the earnings, business, management or operations of the Company and its Subsidiaries, taken as a whole, from that set forth in the Time of Sale Prospectus and the Prospectus that, in your judgment, is so material and adverse that makes it, in your judgment, impracticable to market the Shares on the terms and in the manner contemplated by this Agreement, the Time of Sale Prospectus and the Prospectus.</w:t>
      </w:r>
    </w:p>
    <w:p>
      <w:pPr>
        <w:spacing w:after="0" w:line="135" w:lineRule="exact"/>
        <w:rPr>
          <w:rFonts w:ascii="Arial" w:cs="Arial" w:eastAsia="Arial" w:hAnsi="Arial"/>
          <w:sz w:val="18"/>
          <w:szCs w:val="18"/>
          <w:color w:val="auto"/>
        </w:rPr>
      </w:pPr>
    </w:p>
    <w:p>
      <w:pPr>
        <w:ind w:left="-500" w:right="40" w:firstLine="619"/>
        <w:spacing w:after="0" w:line="289" w:lineRule="auto"/>
        <w:tabs>
          <w:tab w:leader="none" w:pos="73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(x) a certificate, dated the Closing Date and signed by an executive officer of each ZoomInfo Party on behalf of such ZoomInfo Party, to the effect set forth in Section 6(b) hereof and to the effect that the representation and warranties of the ZoomInfo Parties contained in this Agreement are true and correct in all material respects (except to the extent already qualified by materiality or Material Adverse Effect, in which case, such representations and warranties shall be true and correct in all respects) as of the Closing Date and that each ZoomInfo Party has complied with all of the agreements and satisfied all of the conditions on its part to be performed or satisfied hereunder on or before the Closing Date, and (y) a certificate of each Selling Stockholder, dated the Closing Date and signed by an executive officer of each Selling Stockholder on behalf of such Selling Stockholder, to the effect that the representations and warranties of such Selling Stockholder contained in this Agreement are true and correct in all material respects (except to the extent already qualified by materiality or Material Adverse Effect, in which case, such representations and warranties shall be true and correct in all respects) as of the Closing Date and that such Selling Stockholder has complied with all of the agreements and satisfied all of the conditions on its part to be performed or satisfied hereunder on or before the Closing Date. Each officer signing and delivering such certificate may rely upon his or her knowledge as to proceedings threatened, if applicable.</w:t>
      </w:r>
    </w:p>
    <w:p>
      <w:pPr>
        <w:spacing w:after="0" w:line="146" w:lineRule="exact"/>
        <w:rPr>
          <w:rFonts w:ascii="Arial" w:cs="Arial" w:eastAsia="Arial" w:hAnsi="Arial"/>
          <w:sz w:val="18"/>
          <w:szCs w:val="18"/>
          <w:color w:val="auto"/>
        </w:rPr>
      </w:pPr>
    </w:p>
    <w:p>
      <w:pPr>
        <w:ind w:left="-500" w:right="260" w:firstLine="619"/>
        <w:spacing w:after="0" w:line="254" w:lineRule="auto"/>
        <w:tabs>
          <w:tab w:leader="none" w:pos="732" w:val="left"/>
        </w:tabs>
        <w:numPr>
          <w:ilvl w:val="0"/>
          <w:numId w:val="184"/>
        </w:numPr>
        <w:rPr>
          <w:rFonts w:ascii="Arial" w:cs="Arial" w:eastAsia="Arial" w:hAnsi="Arial"/>
          <w:sz w:val="21"/>
          <w:szCs w:val="21"/>
          <w:color w:val="auto"/>
        </w:rPr>
      </w:pPr>
      <w:r>
        <w:rPr>
          <w:rFonts w:ascii="Arial" w:cs="Arial" w:eastAsia="Arial" w:hAnsi="Arial"/>
          <w:sz w:val="21"/>
          <w:szCs w:val="21"/>
          <w:color w:val="auto"/>
        </w:rPr>
        <w:t>The Underwriters shall have received on the Closing Date an opinion and negative assurance letter of Simpson Thacher &amp; Bartlett LLP, outside counsel for the ZoomInfo Parties, dated the Closing Date, in form and substance reasonably satisfactory to the Representatives.</w:t>
      </w:r>
    </w:p>
    <w:p>
      <w:pPr>
        <w:spacing w:after="0" w:line="173" w:lineRule="exact"/>
        <w:rPr>
          <w:rFonts w:ascii="Arial" w:cs="Arial" w:eastAsia="Arial" w:hAnsi="Arial"/>
          <w:sz w:val="21"/>
          <w:szCs w:val="21"/>
          <w:color w:val="auto"/>
        </w:rPr>
      </w:pPr>
    </w:p>
    <w:p>
      <w:pPr>
        <w:ind w:left="-500" w:right="140" w:firstLine="619"/>
        <w:spacing w:after="0" w:line="254" w:lineRule="auto"/>
        <w:tabs>
          <w:tab w:leader="none" w:pos="733" w:val="left"/>
        </w:tabs>
        <w:numPr>
          <w:ilvl w:val="0"/>
          <w:numId w:val="184"/>
        </w:numPr>
        <w:rPr>
          <w:rFonts w:ascii="Arial" w:cs="Arial" w:eastAsia="Arial" w:hAnsi="Arial"/>
          <w:sz w:val="21"/>
          <w:szCs w:val="21"/>
          <w:color w:val="auto"/>
        </w:rPr>
      </w:pPr>
      <w:r>
        <w:rPr>
          <w:rFonts w:ascii="Arial" w:cs="Arial" w:eastAsia="Arial" w:hAnsi="Arial"/>
          <w:sz w:val="21"/>
          <w:szCs w:val="21"/>
          <w:color w:val="auto"/>
        </w:rPr>
        <w:t>The Underwriters shall have received on the Closing Date an opinion and negative assurance letter of Latham &amp; Watkins LLP, counsel for the Underwriters, dated the Closing Date, in form and substance reasonably satisfactory to the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0120"/>
          </w:cols>
          <w:pgMar w:left="1440" w:top="1367" w:right="339" w:bottom="1440" w:gutter="0" w:footer="0" w:header="0"/>
        </w:sectPr>
      </w:pPr>
    </w:p>
    <w:bookmarkStart w:id="351" w:name="page352"/>
    <w:bookmarkEnd w:id="351"/>
    <w:p>
      <w:pPr>
        <w:ind w:left="-500" w:right="20" w:firstLine="619"/>
        <w:spacing w:after="0" w:line="274" w:lineRule="auto"/>
        <w:tabs>
          <w:tab w:leader="none" w:pos="73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Underwriters shall have received on the Closing Date an opinion from each of: (x) Goodwin Procter LLP, counsel for TA AP VII-B DO Subsidiary Partnership, L.P.; TA Atlantic and Pacific VII-A, L.P.; TA Atlantic and Pacific VII-B, L.P.; TA Investors IV, L.P.; TA SDF III DO AIV, L.P.; TA SDF III DO AIV II, L.P.; TA SDF III DO Feeder, L.P.; TA XI DO AIV, L.P.; TA XI DO AIV II, L.P.; and TA XI DO Feeder, L.P. (the “</w:t>
      </w:r>
      <w:r>
        <w:rPr>
          <w:rFonts w:ascii="Arial" w:cs="Arial" w:eastAsia="Arial" w:hAnsi="Arial"/>
          <w:sz w:val="19"/>
          <w:szCs w:val="19"/>
          <w:b w:val="1"/>
          <w:bCs w:val="1"/>
          <w:color w:val="auto"/>
        </w:rPr>
        <w:t>TA Selling Stockholders</w:t>
      </w:r>
      <w:r>
        <w:rPr>
          <w:rFonts w:ascii="Arial" w:cs="Arial" w:eastAsia="Arial" w:hAnsi="Arial"/>
          <w:sz w:val="19"/>
          <w:szCs w:val="19"/>
          <w:color w:val="auto"/>
        </w:rPr>
        <w:t>”); (y) (i) Debevoise &amp; Plimpton LLP, special New York counsel for Carlyle Partners VI Evergreen Holdings, L.P.; Carlyle Partners VI Dash Holdings, L.P.; and CP VI Evergreen Holdings, L.P. (the “</w:t>
      </w:r>
      <w:r>
        <w:rPr>
          <w:rFonts w:ascii="Arial" w:cs="Arial" w:eastAsia="Arial" w:hAnsi="Arial"/>
          <w:sz w:val="19"/>
          <w:szCs w:val="19"/>
          <w:b w:val="1"/>
          <w:bCs w:val="1"/>
          <w:color w:val="auto"/>
        </w:rPr>
        <w:t>Carlyle Selling Stockholders</w:t>
      </w:r>
      <w:r>
        <w:rPr>
          <w:rFonts w:ascii="Arial" w:cs="Arial" w:eastAsia="Arial" w:hAnsi="Arial"/>
          <w:sz w:val="19"/>
          <w:szCs w:val="19"/>
          <w:color w:val="auto"/>
        </w:rPr>
        <w:t>”); and (ii) Richards, Layton &amp; Finger, PA, special Delaware counsel for the Carlyle Selling Stockholders; and (z) Sidley Austin LLP, counsel for 22C Magellan Holdings LLC, 22C Capital I-A, L.P., FiveW DiscoverOrg LLC and D. Randall Winn (the “</w:t>
      </w:r>
      <w:r>
        <w:rPr>
          <w:rFonts w:ascii="Arial" w:cs="Arial" w:eastAsia="Arial" w:hAnsi="Arial"/>
          <w:sz w:val="19"/>
          <w:szCs w:val="19"/>
          <w:b w:val="1"/>
          <w:bCs w:val="1"/>
          <w:color w:val="auto"/>
        </w:rPr>
        <w:t>22C Selling Stockholders</w:t>
      </w:r>
      <w:r>
        <w:rPr>
          <w:rFonts w:ascii="Arial" w:cs="Arial" w:eastAsia="Arial" w:hAnsi="Arial"/>
          <w:sz w:val="19"/>
          <w:szCs w:val="19"/>
          <w:color w:val="auto"/>
        </w:rPr>
        <w:t>”), in each case, dated the Closing Date, in form and substance reasonably satisfactory to the Representatives.</w:t>
      </w:r>
    </w:p>
    <w:p>
      <w:pPr>
        <w:spacing w:after="0" w:line="163" w:lineRule="exact"/>
        <w:rPr>
          <w:rFonts w:ascii="Arial" w:cs="Arial" w:eastAsia="Arial" w:hAnsi="Arial"/>
          <w:sz w:val="19"/>
          <w:szCs w:val="19"/>
          <w:color w:val="auto"/>
        </w:rPr>
      </w:pPr>
    </w:p>
    <w:p>
      <w:pPr>
        <w:ind w:left="-500" w:right="120" w:firstLine="619"/>
        <w:spacing w:after="0" w:line="246" w:lineRule="auto"/>
        <w:tabs>
          <w:tab w:leader="none" w:pos="732" w:val="left"/>
        </w:tabs>
        <w:numPr>
          <w:ilvl w:val="0"/>
          <w:numId w:val="185"/>
        </w:numPr>
        <w:rPr>
          <w:rFonts w:ascii="Arial" w:cs="Arial" w:eastAsia="Arial" w:hAnsi="Arial"/>
          <w:sz w:val="21"/>
          <w:szCs w:val="21"/>
          <w:color w:val="auto"/>
        </w:rPr>
      </w:pPr>
      <w:r>
        <w:rPr>
          <w:rFonts w:ascii="Arial" w:cs="Arial" w:eastAsia="Arial" w:hAnsi="Arial"/>
          <w:sz w:val="21"/>
          <w:szCs w:val="21"/>
          <w:color w:val="auto"/>
        </w:rPr>
        <w:t xml:space="preserve">The Underwriters shall have received, on each of the date hereof and the Closing Date, letters dated the date hereof or the Closing Date, as the case may be, in form and substance reasonably satisfactory to the Representatives, from each of KPMG LLP, independent registered public accounting firm, and RSM US LLP, independent certified public accountant,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letters delivered on the Closing Date shall use a “cutoff date” not earlier than the date hereof.</w:t>
      </w:r>
    </w:p>
    <w:p>
      <w:pPr>
        <w:spacing w:after="0" w:line="186" w:lineRule="exact"/>
        <w:rPr>
          <w:rFonts w:ascii="Arial" w:cs="Arial" w:eastAsia="Arial" w:hAnsi="Arial"/>
          <w:sz w:val="21"/>
          <w:szCs w:val="21"/>
          <w:color w:val="auto"/>
        </w:rPr>
      </w:pPr>
    </w:p>
    <w:p>
      <w:pPr>
        <w:ind w:left="-500" w:right="60" w:firstLine="619"/>
        <w:spacing w:after="0" w:line="254" w:lineRule="auto"/>
        <w:tabs>
          <w:tab w:leader="none" w:pos="732" w:val="left"/>
        </w:tabs>
        <w:numPr>
          <w:ilvl w:val="0"/>
          <w:numId w:val="185"/>
        </w:numPr>
        <w:rPr>
          <w:rFonts w:ascii="Arial" w:cs="Arial" w:eastAsia="Arial" w:hAnsi="Arial"/>
          <w:sz w:val="21"/>
          <w:szCs w:val="21"/>
          <w:color w:val="auto"/>
        </w:rPr>
      </w:pPr>
      <w:r>
        <w:rPr>
          <w:rFonts w:ascii="Arial" w:cs="Arial" w:eastAsia="Arial" w:hAnsi="Arial"/>
          <w:sz w:val="21"/>
          <w:szCs w:val="21"/>
          <w:color w:val="auto"/>
        </w:rPr>
        <w:t xml:space="preserve">The “lock-up” agreements, each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(with any modifications or waivers as you shall have previously agreed to), executed by each of the parties listed on </w:t>
      </w:r>
      <w:r>
        <w:rPr>
          <w:rFonts w:ascii="Arial" w:cs="Arial" w:eastAsia="Arial" w:hAnsi="Arial"/>
          <w:sz w:val="21"/>
          <w:szCs w:val="21"/>
          <w:u w:val="single" w:color="auto"/>
          <w:color w:val="auto"/>
        </w:rPr>
        <w:t>Schedule IV</w:t>
      </w:r>
      <w:r>
        <w:rPr>
          <w:rFonts w:ascii="Arial" w:cs="Arial" w:eastAsia="Arial" w:hAnsi="Arial"/>
          <w:sz w:val="21"/>
          <w:szCs w:val="21"/>
          <w:color w:val="auto"/>
        </w:rPr>
        <w:t xml:space="preserve"> hereto shall be in full force and effect.</w:t>
      </w:r>
    </w:p>
    <w:p>
      <w:pPr>
        <w:spacing w:after="0" w:line="173" w:lineRule="exact"/>
        <w:rPr>
          <w:rFonts w:ascii="Arial" w:cs="Arial" w:eastAsia="Arial" w:hAnsi="Arial"/>
          <w:sz w:val="21"/>
          <w:szCs w:val="21"/>
          <w:color w:val="auto"/>
        </w:rPr>
      </w:pPr>
    </w:p>
    <w:p>
      <w:pPr>
        <w:ind w:left="-500" w:firstLine="619"/>
        <w:spacing w:after="0" w:line="285" w:lineRule="auto"/>
        <w:tabs>
          <w:tab w:leader="none" w:pos="72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Underwriters shall have received, on each of the date hereof and the Closing Date, a certificate dated the date hereof or the Closing Date, as the case may be, in form and substance reasonably satisfactory to the Representatives, signed by the chief financial officer of the Company, containing statements and information with respect to certain financial information contained in the Registration Statement, the Time of Sale Prospectus and the Prospectus.</w:t>
      </w:r>
    </w:p>
    <w:p>
      <w:pPr>
        <w:spacing w:after="0" w:line="146" w:lineRule="exact"/>
        <w:rPr>
          <w:rFonts w:ascii="Arial" w:cs="Arial" w:eastAsia="Arial" w:hAnsi="Arial"/>
          <w:sz w:val="19"/>
          <w:szCs w:val="19"/>
          <w:color w:val="auto"/>
        </w:rPr>
      </w:pPr>
    </w:p>
    <w:p>
      <w:pPr>
        <w:ind w:left="-500" w:right="180" w:firstLine="619"/>
        <w:spacing w:after="0" w:line="318" w:lineRule="auto"/>
        <w:tabs>
          <w:tab w:leader="none" w:pos="72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Shares to be delivered on the Closing Date or the Option Closing Date, as the case may be, shall have been approved for listing on the NASDAQ Global Select Market (the “</w:t>
      </w:r>
      <w:r>
        <w:rPr>
          <w:rFonts w:ascii="Arial" w:cs="Arial" w:eastAsia="Arial" w:hAnsi="Arial"/>
          <w:sz w:val="19"/>
          <w:szCs w:val="19"/>
          <w:b w:val="1"/>
          <w:bCs w:val="1"/>
          <w:color w:val="auto"/>
        </w:rPr>
        <w:t>Exchange</w:t>
      </w:r>
      <w:r>
        <w:rPr>
          <w:rFonts w:ascii="Arial" w:cs="Arial" w:eastAsia="Arial" w:hAnsi="Arial"/>
          <w:sz w:val="19"/>
          <w:szCs w:val="19"/>
          <w:color w:val="auto"/>
        </w:rPr>
        <w:t>”), subject to official notice of issuance.</w:t>
      </w:r>
    </w:p>
    <w:p>
      <w:pPr>
        <w:spacing w:after="0" w:line="116" w:lineRule="exact"/>
        <w:rPr>
          <w:rFonts w:ascii="Arial" w:cs="Arial" w:eastAsia="Arial" w:hAnsi="Arial"/>
          <w:sz w:val="19"/>
          <w:szCs w:val="19"/>
          <w:color w:val="auto"/>
        </w:rPr>
      </w:pPr>
    </w:p>
    <w:p>
      <w:pPr>
        <w:ind w:left="-500" w:right="180" w:firstLine="619"/>
        <w:spacing w:after="0" w:line="254" w:lineRule="auto"/>
        <w:tabs>
          <w:tab w:leader="none" w:pos="732"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Underwriters shall have received such other documents as you may reasonably request, including with respect to the good standing of each ZoomInfo Party and Selling Stockholder, the due authorization and issuance of the Shares and other matters related to the issuance and sale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0100"/>
          </w:cols>
          <w:pgMar w:left="1440" w:top="1367" w:right="359" w:bottom="1440" w:gutter="0" w:footer="0" w:header="0"/>
        </w:sectPr>
      </w:pPr>
    </w:p>
    <w:bookmarkStart w:id="352" w:name="page353"/>
    <w:bookmarkEnd w:id="352"/>
    <w:p>
      <w:pPr>
        <w:ind w:left="-500" w:right="100" w:firstLine="619"/>
        <w:spacing w:after="0" w:line="265" w:lineRule="auto"/>
        <w:tabs>
          <w:tab w:leader="none" w:pos="724"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several obligations of the Underwriters to purchase Additional Shares hereunder are subject to the foregoing and the delivery to you on the applicable Option Closing Date of:</w:t>
      </w:r>
    </w:p>
    <w:p>
      <w:pPr>
        <w:spacing w:after="0" w:line="162" w:lineRule="exact"/>
        <w:rPr>
          <w:rFonts w:ascii="Arial" w:cs="Arial" w:eastAsia="Arial" w:hAnsi="Arial"/>
          <w:sz w:val="21"/>
          <w:szCs w:val="21"/>
          <w:color w:val="auto"/>
        </w:rPr>
      </w:pPr>
    </w:p>
    <w:p>
      <w:pPr>
        <w:ind w:left="120" w:right="120" w:firstLine="578"/>
        <w:spacing w:after="0" w:line="248" w:lineRule="auto"/>
        <w:tabs>
          <w:tab w:leader="none" w:pos="1356" w:val="left"/>
        </w:tabs>
        <w:numPr>
          <w:ilvl w:val="1"/>
          <w:numId w:val="186"/>
        </w:numPr>
        <w:rPr>
          <w:rFonts w:ascii="Arial" w:cs="Arial" w:eastAsia="Arial" w:hAnsi="Arial"/>
          <w:sz w:val="21"/>
          <w:szCs w:val="21"/>
          <w:color w:val="auto"/>
        </w:rPr>
      </w:pPr>
      <w:r>
        <w:rPr>
          <w:rFonts w:ascii="Arial" w:cs="Arial" w:eastAsia="Arial" w:hAnsi="Arial"/>
          <w:sz w:val="21"/>
          <w:szCs w:val="21"/>
          <w:color w:val="auto"/>
        </w:rPr>
        <w:t>(x) a certificate, dated the Option Closing Date and signed by an executive officer of each ZoomInfo Party on behalf of such ZoomInfo Party and (y) a certificate of each Selling Stockholder, dated the Option Closing Date and signed by an executive officer of each Selling Stockholder on behalf of such Selling Stockholder, in each case, confirming that the certificate delivered on the Closing Date pursuant to Section 6(c) hereof remains true and correct as of such Option Closing Date;</w:t>
      </w:r>
    </w:p>
    <w:p>
      <w:pPr>
        <w:spacing w:after="0" w:line="181" w:lineRule="exact"/>
        <w:rPr>
          <w:rFonts w:ascii="Arial" w:cs="Arial" w:eastAsia="Arial" w:hAnsi="Arial"/>
          <w:sz w:val="21"/>
          <w:szCs w:val="21"/>
          <w:color w:val="auto"/>
        </w:rPr>
      </w:pPr>
    </w:p>
    <w:p>
      <w:pPr>
        <w:jc w:val="both"/>
        <w:ind w:left="120" w:right="500" w:firstLine="520"/>
        <w:spacing w:after="0" w:line="293" w:lineRule="auto"/>
        <w:tabs>
          <w:tab w:leader="none" w:pos="1356" w:val="left"/>
        </w:tabs>
        <w:numPr>
          <w:ilvl w:val="1"/>
          <w:numId w:val="186"/>
        </w:numPr>
        <w:rPr>
          <w:rFonts w:ascii="Arial" w:cs="Arial" w:eastAsia="Arial" w:hAnsi="Arial"/>
          <w:sz w:val="19"/>
          <w:szCs w:val="19"/>
          <w:color w:val="auto"/>
        </w:rPr>
      </w:pPr>
      <w:r>
        <w:rPr>
          <w:rFonts w:ascii="Arial" w:cs="Arial" w:eastAsia="Arial" w:hAnsi="Arial"/>
          <w:sz w:val="19"/>
          <w:szCs w:val="19"/>
          <w:color w:val="auto"/>
        </w:rPr>
        <w:t>an opinion and negative assurance letter of Simpson Thacher &amp; Bartlett LLP, outside counsel for the ZoomInfo Parties, dated the Option Closing Date, relating to the Additional Shares to be purchased on such Option Closing Date and otherwise to the same effect as the opinion required by Section 6(d) hereof;</w:t>
      </w:r>
    </w:p>
    <w:p>
      <w:pPr>
        <w:spacing w:after="0" w:line="139" w:lineRule="exact"/>
        <w:rPr>
          <w:rFonts w:ascii="Arial" w:cs="Arial" w:eastAsia="Arial" w:hAnsi="Arial"/>
          <w:sz w:val="19"/>
          <w:szCs w:val="19"/>
          <w:color w:val="auto"/>
        </w:rPr>
      </w:pPr>
    </w:p>
    <w:p>
      <w:pPr>
        <w:ind w:left="120" w:firstLine="463"/>
        <w:spacing w:after="0" w:line="254" w:lineRule="auto"/>
        <w:tabs>
          <w:tab w:leader="none" w:pos="1356"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an opinion and negative assurance letter of Latham &amp; Watkins LLP, counsel for the Underwriters, dated the Option Closing Date, relating to the Additional Shares to be purchased on such Option Closing Date and otherwise to the same effect as the opinion required by Section 6(e) hereof;</w:t>
      </w:r>
    </w:p>
    <w:p>
      <w:pPr>
        <w:spacing w:after="0" w:line="173" w:lineRule="exact"/>
        <w:rPr>
          <w:rFonts w:ascii="Arial" w:cs="Arial" w:eastAsia="Arial" w:hAnsi="Arial"/>
          <w:sz w:val="21"/>
          <w:szCs w:val="21"/>
          <w:color w:val="auto"/>
        </w:rPr>
      </w:pPr>
    </w:p>
    <w:p>
      <w:pPr>
        <w:ind w:left="120" w:right="380" w:firstLine="475"/>
        <w:spacing w:after="0" w:line="250" w:lineRule="auto"/>
        <w:tabs>
          <w:tab w:leader="none" w:pos="1356"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an opinion from each of (x) Goodwin Procter LLP, counsel for the TA Selling Stockholders, (y) Debevoise &amp; Plimpton LLP, counsel for the Carlyle Selling Stockholders, and (z) Sidley Austin LLP, counsel for the 22C Selling Stockholders, in each case, dated the Option Closing Date, to the same effect as the opinion required by Section 6(f) hereof;</w:t>
      </w:r>
    </w:p>
    <w:p>
      <w:pPr>
        <w:spacing w:after="0" w:line="178" w:lineRule="exact"/>
        <w:rPr>
          <w:rFonts w:ascii="Arial" w:cs="Arial" w:eastAsia="Arial" w:hAnsi="Arial"/>
          <w:sz w:val="21"/>
          <w:szCs w:val="21"/>
          <w:color w:val="auto"/>
        </w:rPr>
      </w:pPr>
    </w:p>
    <w:p>
      <w:pPr>
        <w:ind w:left="120" w:firstLine="532"/>
        <w:spacing w:after="0" w:line="305" w:lineRule="auto"/>
        <w:tabs>
          <w:tab w:leader="none" w:pos="1356"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letters dated the Option Closing Date, from each of KPMG LLP, independent registered public accounting firm, and RSM US LLP, independent certified public accountant, substantially in the same form and substance as the letters furnished to the Underwriters pursuant to Section 6(g)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letters delivered on the Option Closing Date shall use a “cut-off date” not earlier than three business days prior to such Option Closing Date;</w:t>
      </w:r>
    </w:p>
    <w:p>
      <w:pPr>
        <w:spacing w:after="0" w:line="132" w:lineRule="exact"/>
        <w:rPr>
          <w:rFonts w:ascii="Arial" w:cs="Arial" w:eastAsia="Arial" w:hAnsi="Arial"/>
          <w:sz w:val="18"/>
          <w:szCs w:val="18"/>
          <w:color w:val="auto"/>
        </w:rPr>
      </w:pPr>
    </w:p>
    <w:p>
      <w:pPr>
        <w:ind w:left="120" w:right="400" w:firstLine="475"/>
        <w:spacing w:after="0" w:line="254" w:lineRule="auto"/>
        <w:tabs>
          <w:tab w:leader="none" w:pos="1356"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 certificate dated the Option Closing Date, signed by the chief financial officer of the Company, substantially in the same form and substance as the certificate furnished to the Underwriters pursuant to Section 6(h) hereof; and</w:t>
      </w:r>
    </w:p>
    <w:p>
      <w:pPr>
        <w:spacing w:after="0" w:line="173" w:lineRule="exact"/>
        <w:rPr>
          <w:rFonts w:ascii="Arial" w:cs="Arial" w:eastAsia="Arial" w:hAnsi="Arial"/>
          <w:sz w:val="21"/>
          <w:szCs w:val="21"/>
          <w:color w:val="auto"/>
        </w:rPr>
      </w:pPr>
    </w:p>
    <w:p>
      <w:pPr>
        <w:jc w:val="both"/>
        <w:ind w:left="120" w:right="80" w:firstLine="417"/>
        <w:spacing w:after="0" w:line="293" w:lineRule="auto"/>
        <w:tabs>
          <w:tab w:leader="none" w:pos="1356" w:val="left"/>
        </w:tabs>
        <w:numPr>
          <w:ilvl w:val="1"/>
          <w:numId w:val="186"/>
        </w:numPr>
        <w:rPr>
          <w:rFonts w:ascii="Arial" w:cs="Arial" w:eastAsia="Arial" w:hAnsi="Arial"/>
          <w:sz w:val="19"/>
          <w:szCs w:val="19"/>
          <w:color w:val="auto"/>
        </w:rPr>
      </w:pPr>
      <w:r>
        <w:rPr>
          <w:rFonts w:ascii="Arial" w:cs="Arial" w:eastAsia="Arial" w:hAnsi="Arial"/>
          <w:sz w:val="19"/>
          <w:szCs w:val="19"/>
          <w:color w:val="auto"/>
        </w:rPr>
        <w:t>such other documents as you may reasonably request, including with respect to the good standing of each ZoomInfo Party and Selling Stockholder, the due authorization and issuance of the Additional Shares to be sold on such Option Closing Date and other matters related to the issuance and sale of such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0120"/>
          </w:cols>
          <w:pgMar w:left="1440" w:top="1367" w:right="339" w:bottom="1440" w:gutter="0" w:footer="0" w:header="0"/>
        </w:sectPr>
      </w:pPr>
    </w:p>
    <w:bookmarkStart w:id="353" w:name="page354"/>
    <w:bookmarkEnd w:id="353"/>
    <w:p>
      <w:pPr>
        <w:ind w:right="120" w:firstLine="618"/>
        <w:spacing w:after="0" w:line="248" w:lineRule="auto"/>
        <w:rPr>
          <w:sz w:val="20"/>
          <w:szCs w:val="20"/>
          <w:color w:val="auto"/>
        </w:rPr>
      </w:pPr>
      <w:r>
        <w:rPr>
          <w:rFonts w:ascii="Arial" w:cs="Arial" w:eastAsia="Arial" w:hAnsi="Arial"/>
          <w:sz w:val="21"/>
          <w:szCs w:val="21"/>
          <w:color w:val="auto"/>
        </w:rPr>
        <w:t>With respect to Sections 6(d), 6(e), 6(f), 6(l)(ii), 6(l)(iii) and 6(l)(iv) hereof, Simpson Thacher &amp; Bartlett LLP, Latham &amp; Watkins LLP, Goodwin Procter LLP, Debevoise &amp; Plimpton LLP and Sidley Austin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2" w:lineRule="exact"/>
        <w:rPr>
          <w:sz w:val="20"/>
          <w:szCs w:val="20"/>
          <w:color w:val="auto"/>
        </w:rPr>
      </w:pPr>
    </w:p>
    <w:p>
      <w:pPr>
        <w:ind w:right="120" w:firstLine="618"/>
        <w:spacing w:after="0" w:line="250" w:lineRule="auto"/>
        <w:rPr>
          <w:sz w:val="20"/>
          <w:szCs w:val="20"/>
          <w:color w:val="auto"/>
        </w:rPr>
      </w:pPr>
      <w:r>
        <w:rPr>
          <w:rFonts w:ascii="Arial" w:cs="Arial" w:eastAsia="Arial" w:hAnsi="Arial"/>
          <w:sz w:val="21"/>
          <w:szCs w:val="21"/>
          <w:color w:val="auto"/>
        </w:rPr>
        <w:t>The opinions of Simpson Thacher &amp; Bartlett LLP described in Sections 6(d) and 6(l)(ii) hereof shall be rendered to the Underwriters at the request of the ZoomInfo Parties and shall so state therein. The opinions of Goodwin Procter LLP, Debevoise &amp; Plimpton LLP and Sidley Austin LLP described in Sections 6(f) and 6(l)(iv) hereof shall be rendered to the Underwriters at the request of the applicable Selling Stockholder and shall so state therein.</w:t>
      </w:r>
    </w:p>
    <w:p>
      <w:pPr>
        <w:spacing w:after="0" w:line="179" w:lineRule="exact"/>
        <w:rPr>
          <w:sz w:val="20"/>
          <w:szCs w:val="20"/>
          <w:color w:val="auto"/>
        </w:rPr>
      </w:pPr>
    </w:p>
    <w:p>
      <w:pPr>
        <w:ind w:left="1240" w:hanging="619"/>
        <w:spacing w:after="0"/>
        <w:tabs>
          <w:tab w:leader="none" w:pos="1240" w:val="left"/>
        </w:tabs>
        <w:numPr>
          <w:ilvl w:val="0"/>
          <w:numId w:val="187"/>
        </w:numPr>
        <w:rPr>
          <w:rFonts w:ascii="Arial" w:cs="Arial" w:eastAsia="Arial" w:hAnsi="Arial"/>
          <w:sz w:val="19"/>
          <w:szCs w:val="19"/>
          <w:color w:val="auto"/>
        </w:rPr>
      </w:pPr>
      <w:r>
        <w:rPr>
          <w:rFonts w:ascii="Arial" w:cs="Arial" w:eastAsia="Arial" w:hAnsi="Arial"/>
          <w:sz w:val="19"/>
          <w:szCs w:val="19"/>
          <w:i w:val="1"/>
          <w:iCs w:val="1"/>
          <w:color w:val="auto"/>
        </w:rPr>
        <w:t>Covenants of the ZoomInfo Parties</w:t>
      </w:r>
      <w:r>
        <w:rPr>
          <w:rFonts w:ascii="Arial" w:cs="Arial" w:eastAsia="Arial" w:hAnsi="Arial"/>
          <w:sz w:val="19"/>
          <w:szCs w:val="19"/>
          <w:color w:val="auto"/>
        </w:rPr>
        <w:t>. Each ZoomInfo Party, jointly and severally, covenants with each Underwriter as</w:t>
      </w:r>
    </w:p>
    <w:p>
      <w:pPr>
        <w:spacing w:after="0" w:line="4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follows:</w:t>
      </w:r>
    </w:p>
    <w:p>
      <w:pPr>
        <w:spacing w:after="0" w:line="191" w:lineRule="exact"/>
        <w:rPr>
          <w:rFonts w:ascii="Arial" w:cs="Arial" w:eastAsia="Arial" w:hAnsi="Arial"/>
          <w:sz w:val="19"/>
          <w:szCs w:val="19"/>
          <w:color w:val="auto"/>
        </w:rPr>
      </w:pPr>
    </w:p>
    <w:p>
      <w:pPr>
        <w:ind w:left="620" w:firstLine="619"/>
        <w:spacing w:after="0" w:line="247" w:lineRule="auto"/>
        <w:tabs>
          <w:tab w:leader="none" w:pos="1853" w:val="left"/>
        </w:tabs>
        <w:numPr>
          <w:ilvl w:val="1"/>
          <w:numId w:val="187"/>
        </w:numPr>
        <w:rPr>
          <w:rFonts w:ascii="Arial" w:cs="Arial" w:eastAsia="Arial" w:hAnsi="Arial"/>
          <w:sz w:val="21"/>
          <w:szCs w:val="21"/>
          <w:color w:val="auto"/>
        </w:rPr>
      </w:pPr>
      <w:r>
        <w:rPr>
          <w:rFonts w:ascii="Arial" w:cs="Arial" w:eastAsia="Arial" w:hAnsi="Arial"/>
          <w:sz w:val="21"/>
          <w:szCs w:val="21"/>
          <w:color w:val="auto"/>
        </w:rPr>
        <w:t>To furnish to you, without charge, ten conformed copies of the Registration Statement (including exhibits thereto) and for delivery to each other Underwriter a conformed copy of the Registration Statement (without exhibits thereto) and to furnish to you in New York City, without charge, prior to 10:00 a.m. New York City time on the business day next succeeding the date of this Agreement and during the period mentioned in Section 7(e) or 7(f) hereof, as many copies of the Time of Sale Prospectus, the Prospectus, any free writing prospectus and any supplements and amendments thereto or to the Registration Statement as you may reasonably request.</w:t>
      </w:r>
    </w:p>
    <w:p>
      <w:pPr>
        <w:spacing w:after="0" w:line="182" w:lineRule="exact"/>
        <w:rPr>
          <w:rFonts w:ascii="Arial" w:cs="Arial" w:eastAsia="Arial" w:hAnsi="Arial"/>
          <w:sz w:val="21"/>
          <w:szCs w:val="21"/>
          <w:color w:val="auto"/>
        </w:rPr>
      </w:pPr>
    </w:p>
    <w:p>
      <w:pPr>
        <w:ind w:left="620" w:right="100" w:firstLine="619"/>
        <w:spacing w:after="0" w:line="290" w:lineRule="auto"/>
        <w:tabs>
          <w:tab w:leader="none" w:pos="185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w:t>
      </w:r>
    </w:p>
    <w:p>
      <w:pPr>
        <w:spacing w:after="0" w:line="1"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21"/>
          <w:szCs w:val="21"/>
          <w:color w:val="auto"/>
        </w:rPr>
        <w:t>Rule 424(b) under the Securities Act any prospectus required to be filed pursuant to such Rule.</w:t>
      </w:r>
    </w:p>
    <w:p>
      <w:pPr>
        <w:spacing w:after="0" w:line="191" w:lineRule="exact"/>
        <w:rPr>
          <w:rFonts w:ascii="Arial" w:cs="Arial" w:eastAsia="Arial" w:hAnsi="Arial"/>
          <w:sz w:val="18"/>
          <w:szCs w:val="18"/>
          <w:color w:val="auto"/>
        </w:rPr>
      </w:pPr>
    </w:p>
    <w:p>
      <w:pPr>
        <w:ind w:left="620" w:right="240" w:firstLine="619"/>
        <w:spacing w:after="0" w:line="254" w:lineRule="auto"/>
        <w:tabs>
          <w:tab w:leader="none" w:pos="1853" w:val="left"/>
        </w:tabs>
        <w:numPr>
          <w:ilvl w:val="1"/>
          <w:numId w:val="187"/>
        </w:numPr>
        <w:rPr>
          <w:rFonts w:ascii="Arial" w:cs="Arial" w:eastAsia="Arial" w:hAnsi="Arial"/>
          <w:sz w:val="21"/>
          <w:szCs w:val="21"/>
          <w:color w:val="auto"/>
        </w:rPr>
      </w:pPr>
      <w:r>
        <w:rPr>
          <w:rFonts w:ascii="Arial" w:cs="Arial" w:eastAsia="Arial" w:hAnsi="Arial"/>
          <w:sz w:val="21"/>
          <w:szCs w:val="21"/>
          <w:color w:val="auto"/>
        </w:rPr>
        <w:t>To furnish to you a copy of each proposed free writing prospectus to be prepared by or on behalf of, used by or referred to by any ZoomInfo Party and not to use or refer to any proposed free writing prospectus to which you reasonably object.</w:t>
      </w:r>
    </w:p>
    <w:p>
      <w:pPr>
        <w:spacing w:after="0" w:line="173" w:lineRule="exact"/>
        <w:rPr>
          <w:rFonts w:ascii="Arial" w:cs="Arial" w:eastAsia="Arial" w:hAnsi="Arial"/>
          <w:sz w:val="21"/>
          <w:szCs w:val="21"/>
          <w:color w:val="auto"/>
        </w:rPr>
      </w:pPr>
    </w:p>
    <w:p>
      <w:pPr>
        <w:ind w:left="620" w:right="720" w:firstLine="619"/>
        <w:spacing w:after="0" w:line="272" w:lineRule="auto"/>
        <w:tabs>
          <w:tab w:leader="none" w:pos="1852" w:val="left"/>
        </w:tabs>
        <w:numPr>
          <w:ilvl w:val="1"/>
          <w:numId w:val="187"/>
        </w:numPr>
        <w:rPr>
          <w:rFonts w:ascii="Arial" w:cs="Arial" w:eastAsia="Arial" w:hAnsi="Arial"/>
          <w:sz w:val="20"/>
          <w:szCs w:val="20"/>
          <w:color w:val="auto"/>
        </w:rPr>
      </w:pPr>
      <w:r>
        <w:rPr>
          <w:rFonts w:ascii="Arial" w:cs="Arial" w:eastAsia="Arial" w:hAnsi="Arial"/>
          <w:sz w:val="20"/>
          <w:szCs w:val="20"/>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58" w:lineRule="exact"/>
        <w:rPr>
          <w:rFonts w:ascii="Arial" w:cs="Arial" w:eastAsia="Arial" w:hAnsi="Arial"/>
          <w:sz w:val="20"/>
          <w:szCs w:val="20"/>
          <w:color w:val="auto"/>
        </w:rPr>
      </w:pPr>
    </w:p>
    <w:p>
      <w:pPr>
        <w:ind w:left="620" w:right="120" w:firstLine="619"/>
        <w:spacing w:after="0" w:line="250" w:lineRule="auto"/>
        <w:tabs>
          <w:tab w:leader="none" w:pos="1853" w:val="left"/>
        </w:tabs>
        <w:numPr>
          <w:ilvl w:val="1"/>
          <w:numId w:val="187"/>
        </w:numPr>
        <w:rPr>
          <w:rFonts w:ascii="Arial" w:cs="Arial" w:eastAsia="Arial" w:hAnsi="Arial"/>
          <w:sz w:val="21"/>
          <w:szCs w:val="21"/>
          <w:color w:val="auto"/>
        </w:rPr>
      </w:pPr>
      <w:r>
        <w:rPr>
          <w:rFonts w:ascii="Arial" w:cs="Arial" w:eastAsia="Arial" w:hAnsi="Arial"/>
          <w:sz w:val="21"/>
          <w:szCs w:val="21"/>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67" w:right="339" w:bottom="1440" w:gutter="0" w:footer="0" w:header="0"/>
        </w:sectPr>
      </w:pPr>
    </w:p>
    <w:bookmarkStart w:id="354" w:name="page355"/>
    <w:bookmarkEnd w:id="354"/>
    <w:p>
      <w:pPr>
        <w:ind w:right="40"/>
        <w:spacing w:after="0" w:line="260" w:lineRule="auto"/>
        <w:rPr>
          <w:sz w:val="20"/>
          <w:szCs w:val="20"/>
          <w:color w:val="auto"/>
        </w:rPr>
      </w:pPr>
      <w:r>
        <w:rPr>
          <w:rFonts w:ascii="Arial" w:cs="Arial" w:eastAsia="Arial" w:hAnsi="Arial"/>
          <w:sz w:val="20"/>
          <w:szCs w:val="20"/>
          <w:color w:val="auto"/>
        </w:rPr>
        <w:t>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70" w:lineRule="exact"/>
        <w:rPr>
          <w:sz w:val="20"/>
          <w:szCs w:val="20"/>
          <w:color w:val="auto"/>
        </w:rPr>
      </w:pPr>
    </w:p>
    <w:p>
      <w:pPr>
        <w:ind w:right="20" w:firstLine="619"/>
        <w:spacing w:after="0" w:line="273" w:lineRule="auto"/>
        <w:tabs>
          <w:tab w:leader="none" w:pos="1236" w:val="left"/>
        </w:tabs>
        <w:numPr>
          <w:ilvl w:val="1"/>
          <w:numId w:val="188"/>
        </w:numPr>
        <w:rPr>
          <w:rFonts w:ascii="Arial" w:cs="Arial" w:eastAsia="Arial" w:hAnsi="Arial"/>
          <w:sz w:val="19"/>
          <w:szCs w:val="19"/>
          <w:color w:val="auto"/>
        </w:rPr>
      </w:pPr>
      <w:r>
        <w:rPr>
          <w:rFonts w:ascii="Arial" w:cs="Arial" w:eastAsia="Arial" w:hAnsi="Arial"/>
          <w:sz w:val="19"/>
          <w:szCs w:val="19"/>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59" w:lineRule="exact"/>
        <w:rPr>
          <w:rFonts w:ascii="Arial" w:cs="Arial" w:eastAsia="Arial" w:hAnsi="Arial"/>
          <w:sz w:val="19"/>
          <w:szCs w:val="19"/>
          <w:color w:val="auto"/>
        </w:rPr>
      </w:pPr>
    </w:p>
    <w:p>
      <w:pPr>
        <w:ind w:firstLine="619"/>
        <w:spacing w:after="0" w:line="288" w:lineRule="auto"/>
        <w:tabs>
          <w:tab w:leader="none" w:pos="123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To advise the Representatives promptly after it receives notice or becomes aware thereof: (i) when the Registration Statement has become effective; (ii) when any amendment to the Registration Statement has been filed or becomes effective; (iii) when any supplement to any preliminary prospectus, the Time of Sale Prospectus, the Prospectus, any free writing prospectus or any Written Testing-the-Waters Communication or any amendment to the Prospectus has been filed or distributed;</w:t>
      </w:r>
    </w:p>
    <w:p>
      <w:pPr>
        <w:spacing w:after="0" w:line="3" w:lineRule="exact"/>
        <w:rPr>
          <w:rFonts w:ascii="Arial" w:cs="Arial" w:eastAsia="Arial" w:hAnsi="Arial"/>
          <w:sz w:val="18"/>
          <w:szCs w:val="18"/>
          <w:color w:val="auto"/>
        </w:rPr>
      </w:pPr>
    </w:p>
    <w:p>
      <w:pPr>
        <w:ind w:right="20" w:firstLine="1"/>
        <w:spacing w:after="0" w:line="283" w:lineRule="auto"/>
        <w:tabs>
          <w:tab w:leader="none" w:pos="34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(and to comply with all such requests to the reasonable satisfaction of the Representatives);</w:t>
      </w:r>
    </w:p>
    <w:p>
      <w:pPr>
        <w:spacing w:after="0" w:line="2" w:lineRule="exact"/>
        <w:rPr>
          <w:rFonts w:ascii="Arial" w:cs="Arial" w:eastAsia="Arial" w:hAnsi="Arial"/>
          <w:sz w:val="18"/>
          <w:szCs w:val="18"/>
          <w:color w:val="auto"/>
        </w:rPr>
      </w:pPr>
    </w:p>
    <w:p>
      <w:pPr>
        <w:ind w:right="960" w:firstLine="1"/>
        <w:spacing w:after="0" w:line="247" w:lineRule="auto"/>
        <w:tabs>
          <w:tab w:leader="none" w:pos="292" w:val="left"/>
        </w:tabs>
        <w:numPr>
          <w:ilvl w:val="0"/>
          <w:numId w:val="189"/>
        </w:numPr>
        <w:rPr>
          <w:rFonts w:ascii="Arial" w:cs="Arial" w:eastAsia="Arial" w:hAnsi="Arial"/>
          <w:sz w:val="21"/>
          <w:szCs w:val="21"/>
          <w:color w:val="auto"/>
        </w:rPr>
      </w:pPr>
      <w:r>
        <w:rPr>
          <w:rFonts w:ascii="Arial" w:cs="Arial" w:eastAsia="Arial" w:hAnsi="Arial"/>
          <w:sz w:val="21"/>
          <w:szCs w:val="21"/>
          <w:color w:val="auto"/>
        </w:rPr>
        <w:t>of the issuance by the Commission or any other governmental or regulatory authority of any order suspending the effectiveness of the Registration Statement or preventing or suspending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0620"/>
          </w:cols>
          <w:pgMar w:left="940" w:top="1367" w:right="339" w:bottom="1440" w:gutter="0" w:footer="0" w:header="0"/>
        </w:sectPr>
      </w:pPr>
    </w:p>
    <w:bookmarkStart w:id="355" w:name="page356"/>
    <w:bookmarkEnd w:id="355"/>
    <w:p>
      <w:pPr>
        <w:spacing w:after="0" w:line="288" w:lineRule="auto"/>
        <w:rPr>
          <w:sz w:val="20"/>
          <w:szCs w:val="20"/>
          <w:color w:val="auto"/>
        </w:rPr>
      </w:pPr>
      <w:r>
        <w:rPr>
          <w:rFonts w:ascii="Arial" w:cs="Arial" w:eastAsia="Arial" w:hAnsi="Arial"/>
          <w:sz w:val="18"/>
          <w:szCs w:val="18"/>
          <w:color w:val="auto"/>
        </w:rPr>
        <w:t>the use of any preliminary prospectus, any of the Time of Sale Prospectus, the Prospectus, any free writing prospectus or any Written Testing-the-Waters Communication or the initiation or threatening of any proceeding for that purpose or pursuant to Section 8A of the Securities Act; (vi) of the occurrence of any event or development within the period mentioned in Section 7(e) or 7(f) hereof as a result of which the Prospectus, any of the Time of Sale Prospectus, any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Time of Sale Prospectus, any such free writing prospectus or any Written Testing-the-Waters Communication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Prospectus, the Prospectus, any free writing prospectus or any Written Testing-the-Waters Communication or suspending any such qualification of the Shares and, if any such order is issued, will use its reasonable best efforts to obtain as soon as possible the withdrawal thereof.</w:t>
      </w:r>
    </w:p>
    <w:p>
      <w:pPr>
        <w:spacing w:after="0" w:line="150" w:lineRule="exact"/>
        <w:rPr>
          <w:sz w:val="20"/>
          <w:szCs w:val="20"/>
          <w:color w:val="auto"/>
        </w:rPr>
      </w:pPr>
    </w:p>
    <w:p>
      <w:pPr>
        <w:ind w:right="120" w:firstLine="619"/>
        <w:spacing w:after="0" w:line="247" w:lineRule="auto"/>
        <w:tabs>
          <w:tab w:leader="none" w:pos="1232" w:val="left"/>
        </w:tabs>
        <w:numPr>
          <w:ilvl w:val="0"/>
          <w:numId w:val="190"/>
        </w:numPr>
        <w:rPr>
          <w:rFonts w:ascii="Arial" w:cs="Arial" w:eastAsia="Arial" w:hAnsi="Arial"/>
          <w:sz w:val="21"/>
          <w:szCs w:val="21"/>
          <w:color w:val="auto"/>
        </w:rPr>
      </w:pPr>
      <w:r>
        <w:rPr>
          <w:rFonts w:ascii="Arial" w:cs="Arial" w:eastAsia="Arial" w:hAnsi="Arial"/>
          <w:sz w:val="21"/>
          <w:szCs w:val="21"/>
          <w:color w:val="auto"/>
        </w:rPr>
        <w:t xml:space="preserve">To use its reasonable best efforts to qualify the Shares for offer and sale under the securities or Blue Sky laws of such jurisdictions as you shall reasonably request and will continue such qualifications in effect so long as required for distribution of the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no event shall the Company be obligated to (i) qualify as a foreign corporation or other entity in any such jurisdiction where it would not otherwise be required to so qualify, (ii) execute or file any general consent to service of process in any such jurisdiction or (iii) subject itself to taxation in any such jurisdiction if it is not otherwise so subject.</w:t>
      </w:r>
    </w:p>
    <w:p>
      <w:pPr>
        <w:spacing w:after="0" w:line="182" w:lineRule="exact"/>
        <w:rPr>
          <w:rFonts w:ascii="Arial" w:cs="Arial" w:eastAsia="Arial" w:hAnsi="Arial"/>
          <w:sz w:val="21"/>
          <w:szCs w:val="21"/>
          <w:color w:val="auto"/>
        </w:rPr>
      </w:pPr>
    </w:p>
    <w:p>
      <w:pPr>
        <w:ind w:right="80" w:firstLine="619"/>
        <w:spacing w:after="0" w:line="248" w:lineRule="auto"/>
        <w:tabs>
          <w:tab w:leader="none" w:pos="1224"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To make generally available (which may be satisfied by filing with the Commission on its Electronic Data Gathering Analysis and Retrieval System) to the Company’s security holders and to you as soon as practicable an earning statement covering a period of at least 12 months beginning with the first fiscal quarter of the Company occurring after the date of this Agreement which shall satisfy the provisions of Section 11(a) of the Securities Act and the rules and regulations of the Commission thereunder.</w:t>
      </w:r>
    </w:p>
    <w:p>
      <w:pPr>
        <w:spacing w:after="0" w:line="181" w:lineRule="exact"/>
        <w:rPr>
          <w:rFonts w:ascii="Arial" w:cs="Arial" w:eastAsia="Arial" w:hAnsi="Arial"/>
          <w:sz w:val="21"/>
          <w:szCs w:val="21"/>
          <w:color w:val="auto"/>
        </w:rPr>
      </w:pPr>
    </w:p>
    <w:p>
      <w:pPr>
        <w:ind w:right="160" w:firstLine="619"/>
        <w:spacing w:after="0" w:line="250" w:lineRule="auto"/>
        <w:tabs>
          <w:tab w:leader="none" w:pos="1224" w:val="left"/>
        </w:tabs>
        <w:numPr>
          <w:ilvl w:val="0"/>
          <w:numId w:val="190"/>
        </w:numPr>
        <w:rPr>
          <w:rFonts w:ascii="Arial" w:cs="Arial" w:eastAsia="Arial" w:hAnsi="Arial"/>
          <w:sz w:val="21"/>
          <w:szCs w:val="21"/>
          <w:color w:val="auto"/>
        </w:rPr>
      </w:pPr>
      <w:r>
        <w:rPr>
          <w:rFonts w:ascii="Arial" w:cs="Arial" w:eastAsia="Arial" w:hAnsi="Arial"/>
          <w:sz w:val="21"/>
          <w:szCs w:val="21"/>
          <w:color w:val="auto"/>
        </w:rPr>
        <w:t>Whether or not the transactions contemplated by this Agreement are consummated or this Agreement is terminated, to pay or cause to be paid, all expenses incident to the performance of its and the Selling Stockholders’ obligations under this Agreement, including: (i) the fees, disbursements and expenses of the ZoomInfo Parties’ and the Selling Stockholders’ counsel and the ZoomInfo Parties’ and Zoom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0600"/>
          </w:cols>
          <w:pgMar w:left="940" w:top="1367" w:right="359" w:bottom="1440" w:gutter="0" w:footer="0" w:header="0"/>
        </w:sectPr>
      </w:pPr>
    </w:p>
    <w:bookmarkStart w:id="356" w:name="page357"/>
    <w:bookmarkEnd w:id="356"/>
    <w:p>
      <w:pPr>
        <w:spacing w:after="0" w:line="270" w:lineRule="auto"/>
        <w:rPr>
          <w:sz w:val="20"/>
          <w:szCs w:val="20"/>
          <w:color w:val="auto"/>
        </w:rPr>
      </w:pPr>
      <w:r>
        <w:rPr>
          <w:rFonts w:ascii="Arial" w:cs="Arial" w:eastAsia="Arial" w:hAnsi="Arial"/>
          <w:sz w:val="19"/>
          <w:szCs w:val="19"/>
          <w:color w:val="auto"/>
        </w:rPr>
        <w:t>Inc.’s accountants in connection with the authorization, issuance, sale, preparation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any ZoomInfo Party, any Written Testing-the-Waters Communications and amendments and supplements to any of the foregoing, including all printing costs associated therewith, and the mailing and delivering of copies thereof to the Underwriters and dealers, in the quantities specified above; (ii) all costs and expenses related to the transfer and delivery of the Shares to the Underwriters, including, subject to the penultimate sentence of this paragraph, any taxes payable thereon; (iii) the reasonable and documented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7(h) hereof, including filing fees and the reasonable and documented fees and disbursements of counsel for the Underwriters in connection with such qualification and in connection with the Blue Sky or legal investment memorandum; (iv) all filing fees and the reasonable and documented fees and disbursements of counsel to the Underwriters incurred in connection with the review and qualification of the offering of the Shares by FINRA (</w:t>
      </w:r>
      <w:r>
        <w:rPr>
          <w:rFonts w:ascii="Arial" w:cs="Arial" w:eastAsia="Arial" w:hAnsi="Arial"/>
          <w:sz w:val="19"/>
          <w:szCs w:val="19"/>
          <w:i w:val="1"/>
          <w:iCs w:val="1"/>
          <w:color w:val="auto"/>
        </w:rPr>
        <w:t>provided</w:t>
      </w:r>
      <w:r>
        <w:rPr>
          <w:rFonts w:ascii="Arial" w:cs="Arial" w:eastAsia="Arial" w:hAnsi="Arial"/>
          <w:sz w:val="19"/>
          <w:szCs w:val="19"/>
          <w:color w:val="auto"/>
        </w:rPr>
        <w:t>, that the amount payable by the Company with respect to fees and disbursements of counsel for the Underwriters pursuant to clauses (iii) and (iv) shall not exceed $30,000); (v) all costs and expenses incident to listing the Shares on the Exchange; (vi) the cost of printing certificates representing the Shares; (vii) the costs and charges of any transfer agent, registrar or depositary; (viii) the costs and expenses of the ZoomInfo Parties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and fees and expenses of any consultants engaged in connection with the road show presentations with the prior approval of the Company (but, for the avoidance of doubt, excluding travel (including aircraft and other means of transportation), travel and lodging expenses of the representatives and officers of the Company, and the Underwriters or any of their employees incurred by them which shall be paid in full by the Underwriters); (ix) the document production charges and expenses associated with printing this Agreement; and (x) all other costs and expenses incident to the performance of the obligations of the ZoomInfo Parties hereunder for which provision is not otherwise made in this Section. It is understood, however, that except as provided in this Section, Section 9 hereof and the last paragraph of Section 12 hereof, the Underwriters will pay all of their costs and expenses, including fees and disbursements of their counsel, stock transfer taxes payable on resale of any of the Shares by them and any advertising expenses connected with any offers they may make and all travel (including aircraft and other means of transportation) and lodging expenses of the representatives and officers of the Company, the Underwriters or any of their employees incurred by them in connection with participating in investor presentations on any “road show” undertaken in connection with the marketing of the offering of the Shares. Each Selling Stockholder further agrees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0580"/>
          </w:cols>
          <w:pgMar w:left="940" w:top="1367" w:right="379" w:bottom="1440" w:gutter="0" w:footer="0" w:header="0"/>
        </w:sectPr>
      </w:pPr>
    </w:p>
    <w:bookmarkStart w:id="357" w:name="page358"/>
    <w:bookmarkEnd w:id="357"/>
    <w:p>
      <w:pPr>
        <w:ind w:right="20"/>
        <w:spacing w:after="0" w:line="247" w:lineRule="auto"/>
        <w:rPr>
          <w:sz w:val="20"/>
          <w:szCs w:val="20"/>
          <w:color w:val="auto"/>
        </w:rPr>
      </w:pPr>
      <w:r>
        <w:rPr>
          <w:rFonts w:ascii="Arial" w:cs="Arial" w:eastAsia="Arial" w:hAnsi="Arial"/>
          <w:sz w:val="21"/>
          <w:szCs w:val="21"/>
          <w:color w:val="auto"/>
        </w:rPr>
        <w:t>Underwriters to pay (directly or by reimbursement) any stock transfer taxes, stamp duties and other similar taxes incident to the sale and delivery of the Shares to be sold by such Selling Stockholder to the Underwriters hereunder. The provisions of this Section shall not supersede or otherwise affect any agreement, including the Registration Rights Agreement, dated June 8, 2020, among the Company, the TA Selling Stockholders, the Carlyle Selling Stockholders, the 22C Selling Stockholders and the other parties party thereto, that the ZoomInfo Parties and the Selling Stockholders may otherwise have for the allocation of such expenses among themselves.</w:t>
      </w:r>
    </w:p>
    <w:p>
      <w:pPr>
        <w:spacing w:after="0" w:line="183" w:lineRule="exact"/>
        <w:rPr>
          <w:sz w:val="20"/>
          <w:szCs w:val="20"/>
          <w:color w:val="auto"/>
        </w:rPr>
      </w:pPr>
    </w:p>
    <w:p>
      <w:pPr>
        <w:jc w:val="both"/>
        <w:ind w:right="120" w:firstLine="619"/>
        <w:spacing w:after="0" w:line="254" w:lineRule="auto"/>
        <w:tabs>
          <w:tab w:leader="none" w:pos="1232"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To promptly notify the Representatives if the Company ceases to be an Emerging Growth Company at any time prior to the later of (a) completion of the distribution of the Shares within the meaning of the Securities Act and (b) completion of the Restricted Period (as defined below).</w:t>
      </w:r>
    </w:p>
    <w:p>
      <w:pPr>
        <w:spacing w:after="0" w:line="173" w:lineRule="exact"/>
        <w:rPr>
          <w:rFonts w:ascii="Arial" w:cs="Arial" w:eastAsia="Arial" w:hAnsi="Arial"/>
          <w:sz w:val="21"/>
          <w:szCs w:val="21"/>
          <w:color w:val="auto"/>
        </w:rPr>
      </w:pPr>
    </w:p>
    <w:p>
      <w:pPr>
        <w:ind w:right="20" w:firstLine="619"/>
        <w:spacing w:after="0" w:line="262" w:lineRule="auto"/>
        <w:tabs>
          <w:tab w:leader="none" w:pos="1224"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to promptly notify the Representatives and to promptly amend or supplement, at its own expense, such Written Testing-the-Waters Communication to eliminate or correct such untrue statement or omission.</w:t>
      </w:r>
    </w:p>
    <w:p>
      <w:pPr>
        <w:spacing w:after="0" w:line="167" w:lineRule="exact"/>
        <w:rPr>
          <w:rFonts w:ascii="Arial" w:cs="Arial" w:eastAsia="Arial" w:hAnsi="Arial"/>
          <w:sz w:val="20"/>
          <w:szCs w:val="20"/>
          <w:color w:val="auto"/>
        </w:rPr>
      </w:pPr>
    </w:p>
    <w:p>
      <w:pPr>
        <w:ind w:firstLine="619"/>
        <w:spacing w:after="0" w:line="248" w:lineRule="auto"/>
        <w:tabs>
          <w:tab w:leader="none" w:pos="1224" w:val="left"/>
        </w:tabs>
        <w:numPr>
          <w:ilvl w:val="0"/>
          <w:numId w:val="191"/>
        </w:numPr>
        <w:rPr>
          <w:rFonts w:ascii="Arial" w:cs="Arial" w:eastAsia="Arial" w:hAnsi="Arial"/>
          <w:sz w:val="21"/>
          <w:szCs w:val="21"/>
          <w:color w:val="auto"/>
        </w:rPr>
      </w:pPr>
      <w:r>
        <w:rPr>
          <w:rFonts w:ascii="Arial" w:cs="Arial" w:eastAsia="Arial" w:hAnsi="Arial"/>
          <w:sz w:val="21"/>
          <w:szCs w:val="21"/>
          <w:color w:val="auto"/>
        </w:rPr>
        <w:t>To deliver to each Underwriter (or its agent), on or prior to the date of execution of this Agreement, a properly completed and executed Certification Regarding Beneficial Owners of Legal Entity Customers with respect to the Company, together with copies of identifying documentation, and to undertake to provide such additional supporting documentation as each Underwriter may reasonably request in connection with the verification of the foregoing Certification Regarding Beneficial Owners of Legal Entity Customers.</w:t>
      </w:r>
    </w:p>
    <w:p>
      <w:pPr>
        <w:spacing w:after="0" w:line="181" w:lineRule="exact"/>
        <w:rPr>
          <w:rFonts w:ascii="Arial" w:cs="Arial" w:eastAsia="Arial" w:hAnsi="Arial"/>
          <w:sz w:val="21"/>
          <w:szCs w:val="21"/>
          <w:color w:val="auto"/>
        </w:rPr>
      </w:pPr>
    </w:p>
    <w:p>
      <w:pPr>
        <w:ind w:firstLine="619"/>
        <w:spacing w:after="0" w:line="274" w:lineRule="auto"/>
        <w:tabs>
          <w:tab w:leader="none" w:pos="1232" w:val="left"/>
        </w:tabs>
        <w:numPr>
          <w:ilvl w:val="0"/>
          <w:numId w:val="191"/>
        </w:numPr>
        <w:rPr>
          <w:rFonts w:ascii="Arial" w:cs="Arial" w:eastAsia="Arial" w:hAnsi="Arial"/>
          <w:sz w:val="19"/>
          <w:szCs w:val="19"/>
          <w:color w:val="auto"/>
        </w:rPr>
      </w:pPr>
      <w:r>
        <w:rPr>
          <w:rFonts w:ascii="Arial" w:cs="Arial" w:eastAsia="Arial" w:hAnsi="Arial"/>
          <w:sz w:val="19"/>
          <w:szCs w:val="19"/>
          <w:color w:val="auto"/>
        </w:rPr>
        <w:t>Not to, without the prior written consent of J.P. Morgan Securities LLC and Morgan Stanley &amp; Co. LLC on behalf of the Underwriters, during the period ending 60 days after the date of the Prospectus (the “</w:t>
      </w:r>
      <w:r>
        <w:rPr>
          <w:rFonts w:ascii="Arial" w:cs="Arial" w:eastAsia="Arial" w:hAnsi="Arial"/>
          <w:sz w:val="19"/>
          <w:szCs w:val="19"/>
          <w:b w:val="1"/>
          <w:bCs w:val="1"/>
          <w:color w:val="auto"/>
        </w:rPr>
        <w:t>Restricted Period</w:t>
      </w:r>
      <w:r>
        <w:rPr>
          <w:rFonts w:ascii="Arial" w:cs="Arial" w:eastAsia="Arial" w:hAnsi="Arial"/>
          <w:sz w:val="19"/>
          <w:szCs w:val="19"/>
          <w:color w:val="auto"/>
        </w:rPr>
        <w:t>”), (i) 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Class A Common Stock, including, for the avoidance of doubt, any shares of Class B Common Stock, shares of Class C Common Stock, HoldCo Units, OpCo Units or Class P units of ZoomInfo OpCo (such shares of Class A Common Stock or other securities, collectively, the “</w:t>
      </w:r>
      <w:r>
        <w:rPr>
          <w:rFonts w:ascii="Arial" w:cs="Arial" w:eastAsia="Arial" w:hAnsi="Arial"/>
          <w:sz w:val="19"/>
          <w:szCs w:val="19"/>
          <w:b w:val="1"/>
          <w:bCs w:val="1"/>
          <w:color w:val="auto"/>
        </w:rPr>
        <w:t>Securities</w:t>
      </w:r>
      <w:r>
        <w:rPr>
          <w:rFonts w:ascii="Arial" w:cs="Arial" w:eastAsia="Arial" w:hAnsi="Arial"/>
          <w:sz w:val="19"/>
          <w:szCs w:val="19"/>
          <w:color w:val="auto"/>
        </w:rPr>
        <w:t>”), (ii) enter into any swap or other arrangement that transfers to another, in whole or in part, any of the economic consequences of ownership of Securities, whether any such transaction described in clause (i) or (ii) above is to be settled by delivery of Securities, in cash or otherwise, or (iii) publicly file any registration statement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0600"/>
          </w:cols>
          <w:pgMar w:left="940" w:top="1367" w:right="359" w:bottom="1440" w:gutter="0" w:footer="0" w:header="0"/>
        </w:sectPr>
      </w:pPr>
    </w:p>
    <w:bookmarkStart w:id="358" w:name="page359"/>
    <w:bookmarkEnd w:id="358"/>
    <w:p>
      <w:pPr>
        <w:spacing w:after="0" w:line="285" w:lineRule="auto"/>
        <w:rPr>
          <w:sz w:val="20"/>
          <w:szCs w:val="20"/>
          <w:color w:val="auto"/>
        </w:rPr>
      </w:pPr>
      <w:r>
        <w:rPr>
          <w:rFonts w:ascii="Arial" w:cs="Arial" w:eastAsia="Arial" w:hAnsi="Arial"/>
          <w:sz w:val="18"/>
          <w:szCs w:val="18"/>
          <w:color w:val="auto"/>
        </w:rPr>
        <w:t>relating to the offering of any Securities, or, in each case of clause (i), (ii) and (iii), publicly disclose an intention to do so. The restrictions contained in the preceding paragraph shall not apply to: (A) the securities issued, transferred, redeemed or exchanged in connection with the Exchange Transactions on or prior to the Closing Date or the Option Closing Date, as the case may be; (B) the issuance of shares of Class A Common Stock, HoldCo Units or OpCo Units upon the exercise of an option or warrant or the conversion of a Security or upon the vesting of equity-based awards (in each case, including net exercise, conversion or settlement and in respect of tax withholding payments due upon the exercise of options or the vesting of equity-based awards) outstanding on or prior to the Closing Date as described in the Registration Statement, the Time of Sale Prospectus and the Prospectus; (C) the filing by the Company with the Commission of a registration statement relating to the Company’s employee benefit plans in effect on or prior to the Closing Date and disclosed in the Registration Statement, the Time of Sale Prospectus and the Prospectus; (D) the issuance by the Company of any Securities pursuant to any incentive plan or stock ownership plan in effect on or prior to the Closing Date hereof and described in each of the Registration Statement, the Time of Sale Prospectus and the Prospectus; (E) the issuance of shares of Class A Common Stock (including the Shares) in exchange for shares of Class C Common Stock, HoldCo Units, OpCo Units, long-term incentive plan units in ZoomInfo OpCo, vested Class P units in ZoomInfo OpCo, vested common units in HSKB Funds, LLC (“</w:t>
      </w:r>
      <w:r>
        <w:rPr>
          <w:rFonts w:ascii="Arial" w:cs="Arial" w:eastAsia="Arial" w:hAnsi="Arial"/>
          <w:sz w:val="18"/>
          <w:szCs w:val="18"/>
          <w:b w:val="1"/>
          <w:bCs w:val="1"/>
          <w:color w:val="auto"/>
        </w:rPr>
        <w:t>HSKB</w:t>
      </w:r>
      <w:r>
        <w:rPr>
          <w:rFonts w:ascii="Arial" w:cs="Arial" w:eastAsia="Arial" w:hAnsi="Arial"/>
          <w:sz w:val="18"/>
          <w:szCs w:val="18"/>
          <w:color w:val="auto"/>
        </w:rPr>
        <w:t>”), vested phantom units in HSKB or vested common units in HSKB Funds II, LLC (“</w:t>
      </w:r>
      <w:r>
        <w:rPr>
          <w:rFonts w:ascii="Arial" w:cs="Arial" w:eastAsia="Arial" w:hAnsi="Arial"/>
          <w:sz w:val="18"/>
          <w:szCs w:val="18"/>
          <w:b w:val="1"/>
          <w:bCs w:val="1"/>
          <w:color w:val="auto"/>
        </w:rPr>
        <w:t>HSKB II</w:t>
      </w:r>
      <w:r>
        <w:rPr>
          <w:rFonts w:ascii="Arial" w:cs="Arial" w:eastAsia="Arial" w:hAnsi="Arial"/>
          <w:sz w:val="18"/>
          <w:szCs w:val="18"/>
          <w:color w:val="auto"/>
        </w:rPr>
        <w:t xml:space="preserve">”) in accordance with the Amended and Restated Charter, the ZoomInfo HoldCo LLC Agreement, the ZoomInfo OpCo LLC Agreement, the limited liability company agreement of HSKB or the limited liability company agreement of HSKB II, in each case, as described in the Registration Statement, the Time of Sale Prospectus and the Prospectus that is in effect on or prior to the Closing Date; (F) (x) the issuance of shares of Class A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(y) the issuance of shares of Class A Common Stock or equity-based awards or options to purchase shares of Class A Common Stock, in each case, in connection with joint ventures, commercial relationships or other strategic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clauses (x) and (y), the aggregate number of shares of Class A Common Stock, equity-based awards or options issued in connection with, or issuable pursuant to the exercise of any options issued in connection with, all such acquisitions and other transactions does not exceed 5% of the aggregate number of shares of Class A Common Stock (assuming all outstanding LLC Units, HoldCo Units and shares of Class C Common Stock are exchanged for, or converted into, in each case, newly issued shares of Class A Common Stock on a one-to-one basis) outstanding immediately following the offering of the Shares pursuant to this Agreement, and the recipient of the shares of Class A Common Stock agrees in writing to be bound by the same terms described in the lock-up agreements referred to in Section 6(h) hereof; or (G) facilitating the establishment or amendment of a trading plan on behalf of a stockholder, officer or director of the Company pursuant to Rule 10b5-1 under the Exchange Act for the transfer of shares of Class A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plan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0620"/>
          </w:cols>
          <w:pgMar w:left="940" w:top="1367" w:right="339" w:bottom="1440" w:gutter="0" w:footer="0" w:header="0"/>
        </w:sectPr>
      </w:pPr>
    </w:p>
    <w:bookmarkStart w:id="359" w:name="page360"/>
    <w:bookmarkEnd w:id="359"/>
    <w:p>
      <w:pPr>
        <w:ind w:left="580" w:right="140"/>
        <w:spacing w:after="0" w:line="250" w:lineRule="auto"/>
        <w:rPr>
          <w:sz w:val="20"/>
          <w:szCs w:val="20"/>
          <w:color w:val="auto"/>
        </w:rPr>
      </w:pPr>
      <w:r>
        <w:rPr>
          <w:rFonts w:ascii="Arial" w:cs="Arial" w:eastAsia="Arial" w:hAnsi="Arial"/>
          <w:sz w:val="21"/>
          <w:szCs w:val="21"/>
          <w:color w:val="auto"/>
        </w:rPr>
        <w:t>provide for the transfer of Class A Common Stock during the Restricted Period and (b) to the extent a public announcement or filing under the Exchange Act, if any, is required of or voluntarily made by the Company regarding the establishment of such plan, such announcement or filing shall include a statement to the effect that no transfer of Class A Common Stock may be made under such plan during the Restricted Period.</w:t>
      </w:r>
    </w:p>
    <w:p>
      <w:pPr>
        <w:spacing w:after="0" w:line="179" w:lineRule="exact"/>
        <w:rPr>
          <w:sz w:val="20"/>
          <w:szCs w:val="20"/>
          <w:color w:val="auto"/>
        </w:rPr>
      </w:pPr>
    </w:p>
    <w:p>
      <w:pPr>
        <w:ind w:left="580" w:right="120" w:firstLine="619"/>
        <w:spacing w:after="0" w:line="254" w:lineRule="auto"/>
        <w:tabs>
          <w:tab w:leader="none" w:pos="1812" w:val="left"/>
        </w:tabs>
        <w:numPr>
          <w:ilvl w:val="1"/>
          <w:numId w:val="192"/>
        </w:numPr>
        <w:rPr>
          <w:rFonts w:ascii="Arial" w:cs="Arial" w:eastAsia="Arial" w:hAnsi="Arial"/>
          <w:sz w:val="21"/>
          <w:szCs w:val="21"/>
          <w:color w:val="auto"/>
        </w:rPr>
      </w:pPr>
      <w:r>
        <w:rPr>
          <w:rFonts w:ascii="Arial" w:cs="Arial" w:eastAsia="Arial" w:hAnsi="Arial"/>
          <w:sz w:val="21"/>
          <w:szCs w:val="21"/>
          <w:color w:val="auto"/>
        </w:rPr>
        <w:t>To not, and not permit any of its Subsidiaries or controlled affiliates to, take, directly or indirectly, any action designed to or that could reasonably be expected to cause or result in any stabilization or manipulation of the price of the Class A Common Stock.</w:t>
      </w:r>
    </w:p>
    <w:p>
      <w:pPr>
        <w:spacing w:after="0" w:line="173" w:lineRule="exact"/>
        <w:rPr>
          <w:rFonts w:ascii="Arial" w:cs="Arial" w:eastAsia="Arial" w:hAnsi="Arial"/>
          <w:sz w:val="21"/>
          <w:szCs w:val="21"/>
          <w:color w:val="auto"/>
        </w:rPr>
      </w:pPr>
    </w:p>
    <w:p>
      <w:pPr>
        <w:ind w:left="1820" w:hanging="621"/>
        <w:spacing w:after="0"/>
        <w:tabs>
          <w:tab w:leader="none" w:pos="1820" w:val="left"/>
        </w:tabs>
        <w:numPr>
          <w:ilvl w:val="1"/>
          <w:numId w:val="192"/>
        </w:numPr>
        <w:rPr>
          <w:rFonts w:ascii="Arial" w:cs="Arial" w:eastAsia="Arial" w:hAnsi="Arial"/>
          <w:sz w:val="21"/>
          <w:szCs w:val="21"/>
          <w:color w:val="auto"/>
        </w:rPr>
      </w:pPr>
      <w:r>
        <w:rPr>
          <w:rFonts w:ascii="Arial" w:cs="Arial" w:eastAsia="Arial" w:hAnsi="Arial"/>
          <w:sz w:val="21"/>
          <w:szCs w:val="21"/>
          <w:color w:val="auto"/>
        </w:rPr>
        <w:t>To file with the Commission such reports as may be required by Rule 463 under the Securities Act.</w:t>
      </w:r>
    </w:p>
    <w:p>
      <w:pPr>
        <w:spacing w:after="0" w:line="209" w:lineRule="exact"/>
        <w:rPr>
          <w:rFonts w:ascii="Arial" w:cs="Arial" w:eastAsia="Arial" w:hAnsi="Arial"/>
          <w:sz w:val="21"/>
          <w:szCs w:val="21"/>
          <w:color w:val="auto"/>
        </w:rPr>
      </w:pPr>
    </w:p>
    <w:p>
      <w:pPr>
        <w:ind w:left="1820" w:hanging="621"/>
        <w:spacing w:after="0"/>
        <w:tabs>
          <w:tab w:leader="none" w:pos="1820" w:val="left"/>
        </w:tabs>
        <w:numPr>
          <w:ilvl w:val="1"/>
          <w:numId w:val="192"/>
        </w:numPr>
        <w:rPr>
          <w:rFonts w:ascii="Arial" w:cs="Arial" w:eastAsia="Arial" w:hAnsi="Arial"/>
          <w:sz w:val="21"/>
          <w:szCs w:val="21"/>
          <w:color w:val="auto"/>
        </w:rPr>
      </w:pPr>
      <w:r>
        <w:rPr>
          <w:rFonts w:ascii="Arial" w:cs="Arial" w:eastAsia="Arial" w:hAnsi="Arial"/>
          <w:sz w:val="21"/>
          <w:szCs w:val="21"/>
          <w:color w:val="auto"/>
        </w:rPr>
        <w:t>To take all actions reasonably necessary to effectuate the Exchange Transactions.</w:t>
      </w:r>
    </w:p>
    <w:p>
      <w:pPr>
        <w:spacing w:after="0" w:line="209" w:lineRule="exact"/>
        <w:rPr>
          <w:rFonts w:ascii="Arial" w:cs="Arial" w:eastAsia="Arial" w:hAnsi="Arial"/>
          <w:sz w:val="21"/>
          <w:szCs w:val="21"/>
          <w:color w:val="auto"/>
        </w:rPr>
      </w:pPr>
    </w:p>
    <w:p>
      <w:pPr>
        <w:ind w:left="-40" w:right="780" w:firstLine="621"/>
        <w:spacing w:after="0" w:line="265" w:lineRule="auto"/>
        <w:tabs>
          <w:tab w:leader="none" w:pos="1196" w:val="left"/>
        </w:tabs>
        <w:numPr>
          <w:ilvl w:val="0"/>
          <w:numId w:val="193"/>
        </w:numPr>
        <w:rPr>
          <w:rFonts w:ascii="Arial" w:cs="Arial" w:eastAsia="Arial" w:hAnsi="Arial"/>
          <w:sz w:val="21"/>
          <w:szCs w:val="21"/>
          <w:color w:val="auto"/>
        </w:rPr>
      </w:pPr>
      <w:r>
        <w:rPr>
          <w:rFonts w:ascii="Arial" w:cs="Arial" w:eastAsia="Arial" w:hAnsi="Arial"/>
          <w:sz w:val="21"/>
          <w:szCs w:val="21"/>
          <w:i w:val="1"/>
          <w:iCs w:val="1"/>
          <w:color w:val="auto"/>
        </w:rPr>
        <w:t>Covenants of the Selling Stockholders</w:t>
      </w:r>
      <w:r>
        <w:rPr>
          <w:rFonts w:ascii="Arial" w:cs="Arial" w:eastAsia="Arial" w:hAnsi="Arial"/>
          <w:sz w:val="21"/>
          <w:szCs w:val="21"/>
          <w:color w:val="auto"/>
        </w:rPr>
        <w:t>. Each Selling Stockholder, severally and not jointly, covenants with each</w:t>
      </w:r>
      <w:r>
        <w:rPr>
          <w:rFonts w:ascii="Arial" w:cs="Arial" w:eastAsia="Arial" w:hAnsi="Arial"/>
          <w:sz w:val="21"/>
          <w:szCs w:val="21"/>
          <w:i w:val="1"/>
          <w:iCs w:val="1"/>
          <w:color w:val="auto"/>
        </w:rPr>
        <w:t xml:space="preserve"> </w:t>
      </w:r>
      <w:r>
        <w:rPr>
          <w:rFonts w:ascii="Arial" w:cs="Arial" w:eastAsia="Arial" w:hAnsi="Arial"/>
          <w:sz w:val="21"/>
          <w:szCs w:val="21"/>
          <w:color w:val="auto"/>
        </w:rPr>
        <w:t>Underwriter as follows:</w:t>
      </w:r>
    </w:p>
    <w:p>
      <w:pPr>
        <w:spacing w:after="0" w:line="162" w:lineRule="exact"/>
        <w:rPr>
          <w:rFonts w:ascii="Arial" w:cs="Arial" w:eastAsia="Arial" w:hAnsi="Arial"/>
          <w:sz w:val="21"/>
          <w:szCs w:val="21"/>
          <w:color w:val="auto"/>
        </w:rPr>
      </w:pPr>
    </w:p>
    <w:p>
      <w:pPr>
        <w:ind w:left="580" w:right="160" w:firstLine="619"/>
        <w:spacing w:after="0" w:line="265" w:lineRule="auto"/>
        <w:tabs>
          <w:tab w:leader="none" w:pos="1813" w:val="left"/>
        </w:tabs>
        <w:numPr>
          <w:ilvl w:val="1"/>
          <w:numId w:val="193"/>
        </w:numPr>
        <w:rPr>
          <w:rFonts w:ascii="Arial" w:cs="Arial" w:eastAsia="Arial" w:hAnsi="Arial"/>
          <w:sz w:val="21"/>
          <w:szCs w:val="21"/>
          <w:color w:val="auto"/>
        </w:rPr>
      </w:pPr>
      <w:r>
        <w:rPr>
          <w:rFonts w:ascii="Arial" w:cs="Arial" w:eastAsia="Arial" w:hAnsi="Arial"/>
          <w:sz w:val="21"/>
          <w:szCs w:val="21"/>
          <w:color w:val="auto"/>
        </w:rPr>
        <w:t>To not take, directly or indirectly, any action designed to or that could reasonably be expected to cause or result in any stabilization or manipulation of the price of the Class A Common Stock.</w:t>
      </w:r>
    </w:p>
    <w:p>
      <w:pPr>
        <w:spacing w:after="0" w:line="162" w:lineRule="exact"/>
        <w:rPr>
          <w:rFonts w:ascii="Arial" w:cs="Arial" w:eastAsia="Arial" w:hAnsi="Arial"/>
          <w:sz w:val="21"/>
          <w:szCs w:val="21"/>
          <w:color w:val="auto"/>
        </w:rPr>
      </w:pPr>
    </w:p>
    <w:p>
      <w:pPr>
        <w:ind w:left="580" w:right="140" w:firstLine="619"/>
        <w:spacing w:after="0" w:line="265" w:lineRule="auto"/>
        <w:tabs>
          <w:tab w:leader="none" w:pos="1812" w:val="left"/>
        </w:tabs>
        <w:numPr>
          <w:ilvl w:val="1"/>
          <w:numId w:val="193"/>
        </w:numPr>
        <w:rPr>
          <w:rFonts w:ascii="Arial" w:cs="Arial" w:eastAsia="Arial" w:hAnsi="Arial"/>
          <w:sz w:val="21"/>
          <w:szCs w:val="21"/>
          <w:color w:val="auto"/>
        </w:rPr>
      </w:pPr>
      <w:r>
        <w:rPr>
          <w:rFonts w:ascii="Arial" w:cs="Arial" w:eastAsia="Arial" w:hAnsi="Arial"/>
          <w:sz w:val="21"/>
          <w:szCs w:val="21"/>
          <w:color w:val="auto"/>
        </w:rPr>
        <w:t>To deliver to each Underwriter (or its agent), prior to or at the Closing Date, a properly completed and executed Internal Revenue Service Form W-9 or W-8, as appropriate.</w:t>
      </w:r>
    </w:p>
    <w:p>
      <w:pPr>
        <w:spacing w:after="0" w:line="162" w:lineRule="exact"/>
        <w:rPr>
          <w:rFonts w:ascii="Arial" w:cs="Arial" w:eastAsia="Arial" w:hAnsi="Arial"/>
          <w:sz w:val="21"/>
          <w:szCs w:val="21"/>
          <w:color w:val="auto"/>
        </w:rPr>
      </w:pPr>
    </w:p>
    <w:p>
      <w:pPr>
        <w:ind w:left="580" w:right="260" w:firstLine="619"/>
        <w:spacing w:after="0" w:line="264" w:lineRule="auto"/>
        <w:tabs>
          <w:tab w:leader="none" w:pos="1813" w:val="left"/>
        </w:tabs>
        <w:numPr>
          <w:ilvl w:val="1"/>
          <w:numId w:val="193"/>
        </w:numPr>
        <w:rPr>
          <w:rFonts w:ascii="Arial" w:cs="Arial" w:eastAsia="Arial" w:hAnsi="Arial"/>
          <w:sz w:val="20"/>
          <w:szCs w:val="20"/>
          <w:color w:val="auto"/>
        </w:rPr>
      </w:pPr>
      <w:r>
        <w:rPr>
          <w:rFonts w:ascii="Arial" w:cs="Arial" w:eastAsia="Arial" w:hAnsi="Arial"/>
          <w:sz w:val="20"/>
          <w:szCs w:val="20"/>
          <w:color w:val="auto"/>
        </w:rPr>
        <w:t>To deliver to each Underwriter (or its agent), on or prior to the date of execution of this Agreement, a properly completed and executed Certification Regarding Beneficial Owners of Legal Entity Customers with respect to such Selling Stockholder, together with copies of identifying documentation, and undertake to provide such additional supporting documentation as each Underwriter may reasonably request in connection with the verification of the foregoing Certification Regarding Beneficial Owners of Legal Entity Customers.</w:t>
      </w:r>
    </w:p>
    <w:p>
      <w:pPr>
        <w:spacing w:after="0" w:line="164" w:lineRule="exact"/>
        <w:rPr>
          <w:rFonts w:ascii="Arial" w:cs="Arial" w:eastAsia="Arial" w:hAnsi="Arial"/>
          <w:sz w:val="20"/>
          <w:szCs w:val="20"/>
          <w:color w:val="auto"/>
        </w:rPr>
      </w:pPr>
    </w:p>
    <w:p>
      <w:pPr>
        <w:ind w:left="580" w:right="140" w:firstLine="619"/>
        <w:spacing w:after="0" w:line="265" w:lineRule="auto"/>
        <w:tabs>
          <w:tab w:leader="none" w:pos="1812" w:val="left"/>
        </w:tabs>
        <w:numPr>
          <w:ilvl w:val="1"/>
          <w:numId w:val="193"/>
        </w:numPr>
        <w:rPr>
          <w:rFonts w:ascii="Arial" w:cs="Arial" w:eastAsia="Arial" w:hAnsi="Arial"/>
          <w:sz w:val="21"/>
          <w:szCs w:val="21"/>
          <w:color w:val="auto"/>
        </w:rPr>
      </w:pPr>
      <w:r>
        <w:rPr>
          <w:rFonts w:ascii="Arial" w:cs="Arial" w:eastAsia="Arial" w:hAnsi="Arial"/>
          <w:sz w:val="21"/>
          <w:szCs w:val="21"/>
          <w:color w:val="auto"/>
        </w:rPr>
        <w:t>Not to, directly or, knowingly, indirectly, use the proceeds of the offering, or lend, contribute or otherwise make available such proceeds to any subsidiary, joint venture partner or other Person:</w:t>
      </w:r>
    </w:p>
    <w:p>
      <w:pPr>
        <w:spacing w:after="0" w:line="162" w:lineRule="exact"/>
        <w:rPr>
          <w:rFonts w:ascii="Arial" w:cs="Arial" w:eastAsia="Arial" w:hAnsi="Arial"/>
          <w:sz w:val="21"/>
          <w:szCs w:val="21"/>
          <w:color w:val="auto"/>
        </w:rPr>
      </w:pPr>
    </w:p>
    <w:p>
      <w:pPr>
        <w:ind w:left="1200" w:firstLine="617"/>
        <w:spacing w:after="0" w:line="265" w:lineRule="auto"/>
        <w:tabs>
          <w:tab w:leader="none" w:pos="2425" w:val="left"/>
        </w:tabs>
        <w:numPr>
          <w:ilvl w:val="2"/>
          <w:numId w:val="193"/>
        </w:numPr>
        <w:rPr>
          <w:rFonts w:ascii="Arial" w:cs="Arial" w:eastAsia="Arial" w:hAnsi="Arial"/>
          <w:sz w:val="21"/>
          <w:szCs w:val="21"/>
          <w:color w:val="auto"/>
        </w:rPr>
      </w:pPr>
      <w:r>
        <w:rPr>
          <w:rFonts w:ascii="Arial" w:cs="Arial" w:eastAsia="Arial" w:hAnsi="Arial"/>
          <w:sz w:val="21"/>
          <w:szCs w:val="21"/>
          <w:color w:val="auto"/>
        </w:rPr>
        <w:t>for the purpose of funding or facilitating any activities or business of or with any Person or in any country or territory that, at the time of such funding or facilitation, is the subject of Sanctions;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160"/>
          </w:cols>
          <w:pgMar w:left="360" w:top="1367" w:right="379" w:bottom="1440" w:gutter="0" w:footer="0" w:header="0"/>
        </w:sectPr>
      </w:pPr>
    </w:p>
    <w:bookmarkStart w:id="360" w:name="page361"/>
    <w:bookmarkEnd w:id="360"/>
    <w:p>
      <w:pPr>
        <w:ind w:left="1240" w:right="580" w:firstLine="617"/>
        <w:spacing w:after="0" w:line="265" w:lineRule="auto"/>
        <w:tabs>
          <w:tab w:leader="none" w:pos="2470" w:val="left"/>
        </w:tabs>
        <w:numPr>
          <w:ilvl w:val="3"/>
          <w:numId w:val="194"/>
        </w:numPr>
        <w:rPr>
          <w:rFonts w:ascii="Arial" w:cs="Arial" w:eastAsia="Arial" w:hAnsi="Arial"/>
          <w:sz w:val="21"/>
          <w:szCs w:val="21"/>
          <w:color w:val="auto"/>
        </w:rPr>
      </w:pPr>
      <w:r>
        <w:rPr>
          <w:rFonts w:ascii="Arial" w:cs="Arial" w:eastAsia="Arial" w:hAnsi="Arial"/>
          <w:sz w:val="21"/>
          <w:szCs w:val="21"/>
          <w:color w:val="auto"/>
        </w:rPr>
        <w:t>in any other manner that will result in a violation of Sanctions by any Person (including any Person participating in the offering, whether as underwriter, advisor, investor or otherwise).</w:t>
      </w:r>
    </w:p>
    <w:p>
      <w:pPr>
        <w:spacing w:after="0" w:line="162" w:lineRule="exact"/>
        <w:rPr>
          <w:rFonts w:ascii="Arial" w:cs="Arial" w:eastAsia="Arial" w:hAnsi="Arial"/>
          <w:sz w:val="21"/>
          <w:szCs w:val="21"/>
          <w:color w:val="auto"/>
        </w:rPr>
      </w:pPr>
    </w:p>
    <w:p>
      <w:pPr>
        <w:ind w:left="1860" w:hanging="389"/>
        <w:spacing w:after="0"/>
        <w:tabs>
          <w:tab w:leader="none" w:pos="1860" w:val="left"/>
        </w:tabs>
        <w:numPr>
          <w:ilvl w:val="2"/>
          <w:numId w:val="195"/>
        </w:numPr>
        <w:rPr>
          <w:rFonts w:ascii="Arial" w:cs="Arial" w:eastAsia="Arial" w:hAnsi="Arial"/>
          <w:sz w:val="21"/>
          <w:szCs w:val="21"/>
          <w:color w:val="auto"/>
        </w:rPr>
      </w:pPr>
      <w:r>
        <w:rPr>
          <w:rFonts w:ascii="Arial" w:cs="Arial" w:eastAsia="Arial" w:hAnsi="Arial"/>
          <w:sz w:val="21"/>
          <w:szCs w:val="21"/>
          <w:color w:val="auto"/>
        </w:rPr>
        <w:t>To take all actions reasonably necessary to effectuate the Exchange Transactions.</w:t>
      </w:r>
    </w:p>
    <w:p>
      <w:pPr>
        <w:spacing w:after="0" w:line="209" w:lineRule="exact"/>
        <w:rPr>
          <w:rFonts w:ascii="Arial" w:cs="Arial" w:eastAsia="Arial" w:hAnsi="Arial"/>
          <w:sz w:val="21"/>
          <w:szCs w:val="21"/>
          <w:color w:val="auto"/>
        </w:rPr>
      </w:pPr>
    </w:p>
    <w:p>
      <w:pPr>
        <w:ind w:firstLine="698"/>
        <w:spacing w:after="0" w:line="250" w:lineRule="auto"/>
        <w:tabs>
          <w:tab w:leader="none" w:pos="1236" w:val="left"/>
        </w:tabs>
        <w:numPr>
          <w:ilvl w:val="0"/>
          <w:numId w:val="196"/>
        </w:numPr>
        <w:rPr>
          <w:rFonts w:ascii="Arial" w:cs="Arial" w:eastAsia="Arial" w:hAnsi="Arial"/>
          <w:sz w:val="21"/>
          <w:szCs w:val="21"/>
          <w:color w:val="auto"/>
        </w:rPr>
      </w:pPr>
      <w:r>
        <w:rPr>
          <w:rFonts w:ascii="Arial" w:cs="Arial" w:eastAsia="Arial" w:hAnsi="Arial"/>
          <w:sz w:val="21"/>
          <w:szCs w:val="21"/>
          <w:i w:val="1"/>
          <w:iCs w:val="1"/>
          <w:color w:val="auto"/>
        </w:rPr>
        <w:t>Covenants of the Underwriters</w:t>
      </w:r>
      <w:r>
        <w:rPr>
          <w:rFonts w:ascii="Arial" w:cs="Arial" w:eastAsia="Arial" w:hAnsi="Arial"/>
          <w:sz w:val="21"/>
          <w:szCs w:val="21"/>
          <w:color w:val="auto"/>
        </w:rPr>
        <w:t>. Each Underwriter severally, and not jointly, covenants with the ZoomInfo Parties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Selling Stockholders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8" w:lineRule="exact"/>
        <w:rPr>
          <w:rFonts w:ascii="Arial" w:cs="Arial" w:eastAsia="Arial" w:hAnsi="Arial"/>
          <w:sz w:val="21"/>
          <w:szCs w:val="21"/>
          <w:color w:val="auto"/>
        </w:rPr>
      </w:pPr>
    </w:p>
    <w:p>
      <w:pPr>
        <w:ind w:right="80" w:firstLine="698"/>
        <w:spacing w:after="0" w:line="275" w:lineRule="auto"/>
        <w:tabs>
          <w:tab w:leader="none" w:pos="1236" w:val="left"/>
        </w:tabs>
        <w:numPr>
          <w:ilvl w:val="0"/>
          <w:numId w:val="196"/>
        </w:numPr>
        <w:rPr>
          <w:rFonts w:ascii="Arial" w:cs="Arial" w:eastAsia="Arial" w:hAnsi="Arial"/>
          <w:sz w:val="19"/>
          <w:szCs w:val="19"/>
          <w:color w:val="auto"/>
        </w:rPr>
      </w:pPr>
      <w:r>
        <w:rPr>
          <w:rFonts w:ascii="Arial" w:cs="Arial" w:eastAsia="Arial" w:hAnsi="Arial"/>
          <w:sz w:val="19"/>
          <w:szCs w:val="19"/>
          <w:i w:val="1"/>
          <w:iCs w:val="1"/>
          <w:color w:val="auto"/>
        </w:rPr>
        <w:t xml:space="preserve">Indemnity and Contribution. </w:t>
      </w:r>
      <w:r>
        <w:rPr>
          <w:rFonts w:ascii="Arial" w:cs="Arial" w:eastAsia="Arial" w:hAnsi="Arial"/>
          <w:sz w:val="19"/>
          <w:szCs w:val="19"/>
          <w:color w:val="auto"/>
        </w:rPr>
        <w:t>(a) The ZoomInfo Parties, jointly and severally, agree to indemnify and hold harmless each</w:t>
      </w:r>
      <w:r>
        <w:rPr>
          <w:rFonts w:ascii="Arial" w:cs="Arial" w:eastAsia="Arial" w:hAnsi="Arial"/>
          <w:sz w:val="19"/>
          <w:szCs w:val="19"/>
          <w:i w:val="1"/>
          <w:iCs w:val="1"/>
          <w:color w:val="auto"/>
        </w:rPr>
        <w:t xml:space="preserve"> </w:t>
      </w:r>
      <w:r>
        <w:rPr>
          <w:rFonts w:ascii="Arial" w:cs="Arial" w:eastAsia="Arial" w:hAnsi="Arial"/>
          <w:sz w:val="19"/>
          <w:szCs w:val="19"/>
          <w:color w:val="auto"/>
        </w:rPr>
        <w:t>Underwriter, its directors, officers and employees, each person, if any, who controls any Underwriter within the meaning of either Section 15 of the Securities Act or Section 20 of the Exchange Act and each affiliate of any Underwriter within the meaning of</w:t>
      </w:r>
    </w:p>
    <w:p>
      <w:pPr>
        <w:spacing w:after="0" w:line="271" w:lineRule="auto"/>
        <w:rPr>
          <w:rFonts w:ascii="Arial" w:cs="Arial" w:eastAsia="Arial" w:hAnsi="Arial"/>
          <w:sz w:val="19"/>
          <w:szCs w:val="19"/>
          <w:color w:val="auto"/>
        </w:rPr>
      </w:pPr>
      <w:r>
        <w:rPr>
          <w:rFonts w:ascii="Arial" w:cs="Arial" w:eastAsia="Arial" w:hAnsi="Arial"/>
          <w:sz w:val="19"/>
          <w:szCs w:val="19"/>
          <w:color w:val="auto"/>
        </w:rPr>
        <w:t>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ZoomInfo Party information that any ZoomInfo Party has filed, or is required to file, pursuant to Rule 433(d) under the Securities Act, any “road show” as defined in Rule 433(h) under the Securities Act, the Prospectus or any amendment or supplement thereto or any Written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(i) information relating to any Underwriter furnished to the Company in writing by or on behalf of any such Underwriter through you expressly for use therein, it being understood and agreed that the only such information furnished by any Underwriter consists of the information described as such in paragraph (c) below or (ii) the Selling Stockholder Information.</w:t>
      </w:r>
    </w:p>
    <w:p>
      <w:pPr>
        <w:spacing w:after="0" w:line="161" w:lineRule="exact"/>
        <w:rPr>
          <w:rFonts w:ascii="Arial" w:cs="Arial" w:eastAsia="Arial" w:hAnsi="Arial"/>
          <w:sz w:val="19"/>
          <w:szCs w:val="19"/>
          <w:color w:val="auto"/>
        </w:rPr>
      </w:pPr>
    </w:p>
    <w:p>
      <w:pPr>
        <w:ind w:left="620" w:right="260" w:firstLine="619"/>
        <w:spacing w:after="0" w:line="262" w:lineRule="auto"/>
        <w:tabs>
          <w:tab w:leader="none" w:pos="1852" w:val="left"/>
        </w:tabs>
        <w:numPr>
          <w:ilvl w:val="1"/>
          <w:numId w:val="196"/>
        </w:numPr>
        <w:rPr>
          <w:rFonts w:ascii="Arial" w:cs="Arial" w:eastAsia="Arial" w:hAnsi="Arial"/>
          <w:sz w:val="20"/>
          <w:szCs w:val="20"/>
          <w:color w:val="auto"/>
        </w:rPr>
      </w:pPr>
      <w:r>
        <w:rPr>
          <w:rFonts w:ascii="Arial" w:cs="Arial" w:eastAsia="Arial" w:hAnsi="Arial"/>
          <w:sz w:val="20"/>
          <w:szCs w:val="20"/>
          <w:color w:val="auto"/>
        </w:rPr>
        <w:t>Each of the Selling Stockholder agrees, severally and not jointly, to indemnify and hold harmless each Underwriter, its directors, officers and employees, each person, if any, who controls any Underwriter within the meaning of either Section 15 of the Securities Act or Section 20 of the Exchange Act and each affiliate of any Underwriter within the meaning of Rule 405 under the Securities Act to the same extent as the foregoing indemnity from the ZoomInfo Parties to the Underwriters set forth in paragraph (a) above, but only with reference to information relating to such Selling Stockholder furnished in writing by or on behalf of any such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367" w:right="339" w:bottom="1440" w:gutter="0" w:footer="0" w:header="0"/>
        </w:sectPr>
      </w:pPr>
    </w:p>
    <w:bookmarkStart w:id="361" w:name="page362"/>
    <w:bookmarkEnd w:id="361"/>
    <w:p>
      <w:pPr>
        <w:ind w:right="60"/>
        <w:spacing w:after="0" w:line="293" w:lineRule="auto"/>
        <w:rPr>
          <w:sz w:val="20"/>
          <w:szCs w:val="20"/>
          <w:color w:val="auto"/>
        </w:rPr>
      </w:pPr>
      <w:r>
        <w:rPr>
          <w:rFonts w:ascii="Arial" w:cs="Arial" w:eastAsia="Arial" w:hAnsi="Arial"/>
          <w:sz w:val="18"/>
          <w:szCs w:val="18"/>
          <w:color w:val="auto"/>
        </w:rPr>
        <w:t>expressly for use in the Registration Statement, any preliminary prospectus, the Time of Sale Prospectus, any issuer free writing prospectus as defined in Rule 433(h) under the Securities Act, any “road show” as defined in Rule 433(h) under the Securities Act, the Prospectus or any amendment or supplement thereto or any Written Testing-the-Waters Communication, it being understood and agreed that the only such information furnished by any Selling Stockholder consists of such Selling Stockholder’s Selling Stockholder Information. The aggregate liability of each Selling Stockholder under the indemnification agreement contained in this paragraph and the contribution agreement contained in this Section 10 shall be limited to an amount equal to the aggregate net proceeds (after deducting underwriting commissions and discounts, but before deducting expenses) applicable to the Shares sold by such Selling Stockholder pursuant to this Agreement (the “</w:t>
      </w:r>
      <w:r>
        <w:rPr>
          <w:rFonts w:ascii="Arial" w:cs="Arial" w:eastAsia="Arial" w:hAnsi="Arial"/>
          <w:sz w:val="18"/>
          <w:szCs w:val="18"/>
          <w:b w:val="1"/>
          <w:bCs w:val="1"/>
          <w:color w:val="auto"/>
        </w:rPr>
        <w:t>Selling Stockholder Proceeds</w:t>
      </w:r>
      <w:r>
        <w:rPr>
          <w:rFonts w:ascii="Arial" w:cs="Arial" w:eastAsia="Arial" w:hAnsi="Arial"/>
          <w:sz w:val="18"/>
          <w:szCs w:val="18"/>
          <w:color w:val="auto"/>
        </w:rPr>
        <w:t>”).</w:t>
      </w:r>
    </w:p>
    <w:p>
      <w:pPr>
        <w:spacing w:after="0" w:line="142" w:lineRule="exact"/>
        <w:rPr>
          <w:sz w:val="20"/>
          <w:szCs w:val="20"/>
          <w:color w:val="auto"/>
        </w:rPr>
      </w:pPr>
    </w:p>
    <w:p>
      <w:pPr>
        <w:ind w:right="40" w:firstLine="619"/>
        <w:spacing w:after="0" w:line="289" w:lineRule="auto"/>
        <w:tabs>
          <w:tab w:leader="none" w:pos="123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ZoomInfo Parties, the Selling Stockholders, the Company’s directors, the Company’s officers who sign the Registration Statement and each person, if any, who controls the Company or any Selling Stockholder within the meaning of either Section 15 of the Securities Act or Section 20 of the Exchange Act to the same extent as the foregoing indemnity from the ZoomInfo Parties to such Underwriter set forth in paragraph (a) above, but only with reference to information relating to such Underwriter furnished to the Company in writing by or on behalf of any such Underwriter through you expressly for use in the Registration Statement, any preliminary prospectus, the Time of Sale Prospectus, any issuer free writing prospectus as defined in Rule 433(h) under the Securities Act, any “road show” as defined in Rule 433(h) under the Securities Act, the Prospectus or any amendment or supplement thereto or any Written Testing-the-Waters Communication, it being understood and agreed that the only such information furnished by any Underwriter consists of the following information in the Registration Statement, the Time of Sale Prospectus and the Prospectus furnished on behalf of each Underwriter: (i) the concession and reallowance figures appearing in the first and second sentences of the third paragraph under the caption “Underwriting” and (ii) the information contained in the seventh and thirteenth paragraphs under the caption “Underwriting” relating to distributions, price stabilization, short positions and penalty bids.</w:t>
      </w:r>
    </w:p>
    <w:p>
      <w:pPr>
        <w:spacing w:after="0" w:line="146" w:lineRule="exact"/>
        <w:rPr>
          <w:rFonts w:ascii="Arial" w:cs="Arial" w:eastAsia="Arial" w:hAnsi="Arial"/>
          <w:sz w:val="18"/>
          <w:szCs w:val="18"/>
          <w:color w:val="auto"/>
        </w:rPr>
      </w:pPr>
    </w:p>
    <w:p>
      <w:pPr>
        <w:ind w:firstLine="619"/>
        <w:spacing w:after="0" w:line="259" w:lineRule="auto"/>
        <w:tabs>
          <w:tab w:leader="none" w:pos="1232"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In case any proceeding (including any governmental investigation) shall be instituted involving any person in respect of which indemnity may be sought pursuant to Section 10(a), 10(b) or 10(c) hereof, such person (the “</w:t>
      </w:r>
      <w:r>
        <w:rPr>
          <w:rFonts w:ascii="Arial" w:cs="Arial" w:eastAsia="Arial" w:hAnsi="Arial"/>
          <w:sz w:val="20"/>
          <w:szCs w:val="20"/>
          <w:b w:val="1"/>
          <w:bCs w:val="1"/>
          <w:color w:val="auto"/>
        </w:rPr>
        <w:t>indemnified</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shall promptly notify the person against whom such indemnity may be sought (the “</w:t>
      </w:r>
      <w:r>
        <w:rPr>
          <w:rFonts w:ascii="Arial" w:cs="Arial" w:eastAsia="Arial" w:hAnsi="Arial"/>
          <w:sz w:val="20"/>
          <w:szCs w:val="20"/>
          <w:b w:val="1"/>
          <w:bCs w:val="1"/>
          <w:color w:val="auto"/>
        </w:rPr>
        <w:t>indemnifying party</w:t>
      </w:r>
      <w:r>
        <w:rPr>
          <w:rFonts w:ascii="Arial" w:cs="Arial" w:eastAsia="Arial" w:hAnsi="Arial"/>
          <w:sz w:val="20"/>
          <w:szCs w:val="20"/>
          <w:color w:val="auto"/>
        </w:rPr>
        <w:t>”)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and the indemnifying party, upon request of the indemnified party, shall retain counsel reasonably satisfactory to the indemnified party (who shall not, without the consent of the indemnified person, be counsel to the indemnifying person) to represent the indemnified party and any others the indemnifying party may designate in such proceeding and shall pay the reasonably incurred fees and disbursements of such counsel related to such proceeding;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to notify the indemnifying person shall not relieve it from any liability that it may have under the preceding paragraphs of this Section 10 except to the extent that it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0620"/>
          </w:cols>
          <w:pgMar w:left="940" w:top="1367" w:right="339" w:bottom="1440" w:gutter="0" w:footer="0" w:header="0"/>
        </w:sectPr>
      </w:pPr>
    </w:p>
    <w:bookmarkStart w:id="362" w:name="page363"/>
    <w:bookmarkEnd w:id="362"/>
    <w:p>
      <w:pPr>
        <w:spacing w:after="0" w:line="270" w:lineRule="auto"/>
        <w:rPr>
          <w:sz w:val="20"/>
          <w:szCs w:val="20"/>
          <w:color w:val="auto"/>
        </w:rPr>
      </w:pPr>
      <w:r>
        <w:rPr>
          <w:rFonts w:ascii="Arial" w:cs="Arial" w:eastAsia="Arial" w:hAnsi="Arial"/>
          <w:sz w:val="19"/>
          <w:szCs w:val="19"/>
          <w:color w:val="auto"/>
        </w:rPr>
        <w:t xml:space="preserve">materially prejudiced (through the forfeiture of substantive rights or defenses) by such failure;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failure to notify the indemnifying person shall not relieve it from any liability that it may have to an indemnified person otherwise than under the preceding paragraphs of this Section 10.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(iii) the indemnifying party has failed within a reasonable time to retain counsel reasonably satisfactory to the indemnified party or (iv) the indemnified party shall have reasonably concluded that there may be legal defenses available to it that are different from or in addition to those available to the indemnifying party. It is understood that the indemnifying party shall not, in respect of the legal expenses of any indemnified party in connection with any proceeding or related proceedings in the same jurisdiction, be liable for the fees and expenses of more than one separate firm (together with one local counsel in each jurisdiction) for all such indemnified parties and that all such fees and expenses shall be reimbursed as they are incurred. Such firm shall be designated in writing by the Representatives, in the case of parties indemnified pursuant to Section 10(a) or 10(b) hereof, by the Company, in the case the ZoomInfo Parties, the Company’s directors, the Company’s officers who sign the Registration Statement and each person, if any, who controls the Company within the meaning of either Section 15 of the Securities Act or Section 20 of the Exchange Act, and by the Selling Stockholders, in the case of the Selling Stockholders and each person, if any, who controls any Selling Stockholder within the meaning of either Section 15 of the Securities Act or Section 20 of the Exchange Act.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in form and substance satisfactory to such indemnified party, from all liability on claims that are the subject matter of such proceeding and (y) does not include any statements to, or any admission of, fault, culpability or failure to act by or on behalf of any indemnified party.</w:t>
      </w:r>
    </w:p>
    <w:p>
      <w:pPr>
        <w:spacing w:after="0" w:line="176" w:lineRule="exact"/>
        <w:rPr>
          <w:sz w:val="20"/>
          <w:szCs w:val="20"/>
          <w:color w:val="auto"/>
        </w:rPr>
      </w:pPr>
    </w:p>
    <w:p>
      <w:pPr>
        <w:ind w:right="40" w:firstLine="619"/>
        <w:spacing w:after="0" w:line="248" w:lineRule="auto"/>
        <w:tabs>
          <w:tab w:leader="none" w:pos="1233"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To the extent the indemnification provided for in Section 10(a), 10(b) or 10(c) hereof is unavailable to an indemnified party or insufficient in respect of any losses, claims, damages or liabilities referred to therein (other than by virtue of the failure of an indemnified party to notify the indemnifying party of its right to indemnification pursuant to subsection (d) above, where such failure materially prejudices the indemnifying party (through the forfeiture of substantial rights or defenses)), then each indemnifying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0620"/>
          </w:cols>
          <w:pgMar w:left="940" w:top="1367" w:right="339" w:bottom="1440" w:gutter="0" w:footer="0" w:header="0"/>
        </w:sectPr>
      </w:pPr>
    </w:p>
    <w:bookmarkStart w:id="363" w:name="page364"/>
    <w:bookmarkEnd w:id="363"/>
    <w:p>
      <w:pPr>
        <w:spacing w:after="0" w:line="287" w:lineRule="auto"/>
        <w:rPr>
          <w:sz w:val="20"/>
          <w:szCs w:val="20"/>
          <w:color w:val="auto"/>
        </w:rPr>
      </w:pPr>
      <w:r>
        <w:rPr>
          <w:rFonts w:ascii="Arial" w:cs="Arial" w:eastAsia="Arial" w:hAnsi="Arial"/>
          <w:sz w:val="18"/>
          <w:szCs w:val="18"/>
          <w:color w:val="auto"/>
        </w:rPr>
        <w:t>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10(e)(i) above is not permitted by applicable law, in such proportion as is appropriate to reflect not only the relative benefits referred to in clause 10(e)(i) above but also the relative fault of the indemnifying party or parties, on the one hand, and the indemnified party or parties, on the other hand, in connection with the statements or omissions that resulted in such losses, claims, damages or liabilities, as well as any other relevant equitable considerations. The relative benefits received by the indemnifying party or parties, on the one hand, and the indemnified party or parties, on the other hand, in connection with the offering of the Shares shall be deemed to be in the same respective proportions as the net proceeds from the offering of the Shares (before deducting expenses) received by the Selling Stockholders and the total underwriting discounts and commissions received by the Underwriters, in each case as set forth in the table on the cover of the Prospectus, bear to the aggregate Public Offering Price of the Shares. The relative fault of the indemnifying party or parties, on the one hand, and the indemnified party or parties, on the other hand, shall be determined by reference to, among other things, whether the untrue or alleged untrue statement of a material fact or the omission or alleged omission to state a material fact relates to information supplied by a ZoomInfo Party, a Selling Stockholder or by the Underwriters and the parties’ relative intent, knowledge, access to information and opportunity to correct or prevent such statement or omission. The Underwriters’ respective obligations to contribute pursuant to this Section 10 are several in proportion to the respective number of Shares they have purchased hereunder, and not joint. The aggregate liability of each Selling Stockholder under the contribution agreement contained in this paragraph and the indemnification agreement contained in this Section 10 shall be limited to such Selling Stockholder’s Selling Stockholder Proceeds.</w:t>
      </w:r>
    </w:p>
    <w:p>
      <w:pPr>
        <w:spacing w:after="0" w:line="149" w:lineRule="exact"/>
        <w:rPr>
          <w:sz w:val="20"/>
          <w:szCs w:val="20"/>
          <w:color w:val="auto"/>
        </w:rPr>
      </w:pPr>
    </w:p>
    <w:p>
      <w:pPr>
        <w:ind w:firstLine="619"/>
        <w:spacing w:after="0" w:line="273" w:lineRule="auto"/>
        <w:tabs>
          <w:tab w:leader="none" w:pos="1236"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The ZoomInfo Parties, the Selling Stockholders and the Underwriters agree that it would not be just or equitable if contribution pursuant to this Section 10 was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(even if the Underwriters were treated as one entity for such purpose) or by any other method of allocation that does not take account of the equitable considerations referred to in Section 10(e) hereof. The amount paid or payable by an indemnified party as a result of the losses, claims, damages and liabilities referred to in Section 10(e) hereof shall be deemed to include, subject to the limitations set forth above, any legal or other expenses reasonably incurred by such indemnified party in connection with investigating or defending any such action or claim. Notwithstanding the provisions of this Section 10, no Underwriter shall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0580"/>
          </w:cols>
          <w:pgMar w:left="940" w:top="1367" w:right="379" w:bottom="1440" w:gutter="0" w:footer="0" w:header="0"/>
        </w:sectPr>
      </w:pPr>
    </w:p>
    <w:bookmarkStart w:id="364" w:name="page365"/>
    <w:bookmarkEnd w:id="364"/>
    <w:p>
      <w:pPr>
        <w:ind w:left="600" w:right="140"/>
        <w:spacing w:after="0" w:line="248" w:lineRule="auto"/>
        <w:rPr>
          <w:sz w:val="20"/>
          <w:szCs w:val="20"/>
          <w:color w:val="auto"/>
        </w:rPr>
      </w:pPr>
      <w:r>
        <w:rPr>
          <w:rFonts w:ascii="Arial" w:cs="Arial" w:eastAsia="Arial" w:hAnsi="Arial"/>
          <w:sz w:val="21"/>
          <w:szCs w:val="21"/>
          <w:color w:val="auto"/>
        </w:rPr>
        <w:t>Securities Act) shall be entitled to contribution from any person who was not guilty of such fraudulent misrepresentation. The remedies provided for in this Section 10 are not exclusive and shall not limit any rights or remedies which may otherwise be available to any indemnified party at law or in equity. The aggregate liability of each Selling Stockholder under the indemnification and contribution agreements contained in this Section 10 shall be limited to such Selling Stockholder’s Selling Stockholder Proceeds.</w:t>
      </w:r>
    </w:p>
    <w:p>
      <w:pPr>
        <w:spacing w:after="0" w:line="182" w:lineRule="exact"/>
        <w:rPr>
          <w:sz w:val="20"/>
          <w:szCs w:val="20"/>
          <w:color w:val="auto"/>
        </w:rPr>
      </w:pPr>
    </w:p>
    <w:p>
      <w:pPr>
        <w:ind w:left="600" w:firstLine="619"/>
        <w:spacing w:after="0" w:line="260" w:lineRule="auto"/>
        <w:tabs>
          <w:tab w:leader="none" w:pos="1832" w:val="left"/>
        </w:tabs>
        <w:numPr>
          <w:ilvl w:val="1"/>
          <w:numId w:val="200"/>
        </w:numPr>
        <w:rPr>
          <w:rFonts w:ascii="Arial" w:cs="Arial" w:eastAsia="Arial" w:hAnsi="Arial"/>
          <w:sz w:val="20"/>
          <w:szCs w:val="20"/>
          <w:color w:val="auto"/>
        </w:rPr>
      </w:pPr>
      <w:r>
        <w:rPr>
          <w:rFonts w:ascii="Arial" w:cs="Arial" w:eastAsia="Arial" w:hAnsi="Arial"/>
          <w:sz w:val="20"/>
          <w:szCs w:val="20"/>
          <w:color w:val="auto"/>
        </w:rPr>
        <w:t>The indemnity and contribution provisions contained in this Section 10, the agreements regarding expense reimbursement and the representations, warranties and other statements made by or on behalf of any ZoomInfo Party or any Selling Stockholder contained in this Agreement or any certificate delivered pursuant hereto shall remain operative and in full force and effect regardless of (i) any termination of this Agreement, (ii) any investigation made by or on behalf of any Underwriter or its director, officers or employees, any person controlling any Underwriter or any affiliate of any Underwriter, by or on behalf of the any ZoomInfo Party, the Company’s officers or directors or any person controlling the Company, or by or on behalf of any Selling Stockholder or any person controlling any Selling Stockholder and (iii) acceptance of and payment for any of the Shares.</w:t>
      </w:r>
    </w:p>
    <w:p>
      <w:pPr>
        <w:spacing w:after="0" w:line="170" w:lineRule="exact"/>
        <w:rPr>
          <w:rFonts w:ascii="Arial" w:cs="Arial" w:eastAsia="Arial" w:hAnsi="Arial"/>
          <w:sz w:val="20"/>
          <w:szCs w:val="20"/>
          <w:color w:val="auto"/>
        </w:rPr>
      </w:pPr>
    </w:p>
    <w:p>
      <w:pPr>
        <w:ind w:left="-20" w:right="140" w:firstLine="621"/>
        <w:spacing w:after="0" w:line="259" w:lineRule="auto"/>
        <w:tabs>
          <w:tab w:leader="none" w:pos="1209" w:val="left"/>
        </w:tabs>
        <w:numPr>
          <w:ilvl w:val="0"/>
          <w:numId w:val="201"/>
        </w:numPr>
        <w:rPr>
          <w:rFonts w:ascii="Arial" w:cs="Arial" w:eastAsia="Arial" w:hAnsi="Arial"/>
          <w:sz w:val="20"/>
          <w:szCs w:val="20"/>
          <w:color w:val="auto"/>
        </w:rPr>
      </w:pPr>
      <w:r>
        <w:rPr>
          <w:rFonts w:ascii="Arial" w:cs="Arial" w:eastAsia="Arial" w:hAnsi="Arial"/>
          <w:sz w:val="20"/>
          <w:szCs w:val="20"/>
          <w:i w:val="1"/>
          <w:iCs w:val="1"/>
          <w:color w:val="auto"/>
        </w:rPr>
        <w:t>Termination</w:t>
      </w:r>
      <w:r>
        <w:rPr>
          <w:rFonts w:ascii="Arial" w:cs="Arial" w:eastAsia="Arial" w:hAnsi="Arial"/>
          <w:sz w:val="20"/>
          <w:szCs w:val="20"/>
          <w:color w:val="auto"/>
        </w:rPr>
        <w:t>. The Underwriters may terminate this Agreement by notice given by you to the Company, if after the</w:t>
      </w:r>
      <w:r>
        <w:rPr>
          <w:rFonts w:ascii="Arial" w:cs="Arial" w:eastAsia="Arial" w:hAnsi="Arial"/>
          <w:sz w:val="20"/>
          <w:szCs w:val="20"/>
          <w:i w:val="1"/>
          <w:iCs w:val="1"/>
          <w:color w:val="auto"/>
        </w:rPr>
        <w:t xml:space="preserve"> </w:t>
      </w:r>
      <w:r>
        <w:rPr>
          <w:rFonts w:ascii="Arial" w:cs="Arial" w:eastAsia="Arial" w:hAnsi="Arial"/>
          <w:sz w:val="20"/>
          <w:szCs w:val="20"/>
          <w:color w:val="auto"/>
        </w:rPr>
        <w:t>execution and delivery of this Agreement and on or prior to the Closing Date (a) trading generally shall have been suspended or materially limited on, or by, as the case may be, any of the Exchange or the New York Stock Exchange, (b) trading of any securities of the Company shall have been suspended on any exchange or in any over-the-counter market, (c) a material disruption in securities settlement, payment or clearance services in the United States shall have occurred, (d) any moratorium on commercial banking activities shall have been declared by Federal or New York State authorities or (e) there shall have occurred any outbreak or escalation of hostilities, or any change in financial markets or any calamity or crisis that, in your judgment, is material and adverse and which, singly or together with any other event specified in this clause (e), makes it, in your judgment, impracticable or inadvisable to proceed with the offer, sale or delivery of the Shares on the terms and in the manner contemplated by this Agreement, the Time of Sale Prospectus or the Prospectus.</w:t>
      </w:r>
    </w:p>
    <w:p>
      <w:pPr>
        <w:spacing w:after="0" w:line="170" w:lineRule="exact"/>
        <w:rPr>
          <w:rFonts w:ascii="Arial" w:cs="Arial" w:eastAsia="Arial" w:hAnsi="Arial"/>
          <w:sz w:val="20"/>
          <w:szCs w:val="20"/>
          <w:color w:val="auto"/>
        </w:rPr>
      </w:pPr>
    </w:p>
    <w:p>
      <w:pPr>
        <w:ind w:left="1220" w:hanging="619"/>
        <w:spacing w:after="0"/>
        <w:tabs>
          <w:tab w:leader="none" w:pos="1220" w:val="left"/>
        </w:tabs>
        <w:numPr>
          <w:ilvl w:val="0"/>
          <w:numId w:val="201"/>
        </w:numPr>
        <w:rPr>
          <w:rFonts w:ascii="Arial" w:cs="Arial" w:eastAsia="Arial" w:hAnsi="Arial"/>
          <w:sz w:val="21"/>
          <w:szCs w:val="21"/>
          <w:color w:val="auto"/>
        </w:rPr>
      </w:pPr>
      <w:r>
        <w:rPr>
          <w:rFonts w:ascii="Arial" w:cs="Arial" w:eastAsia="Arial" w:hAnsi="Arial"/>
          <w:sz w:val="21"/>
          <w:szCs w:val="21"/>
          <w:i w:val="1"/>
          <w:iCs w:val="1"/>
          <w:color w:val="auto"/>
        </w:rPr>
        <w:t>Effectiveness; Defaulting Underwriters</w:t>
      </w:r>
      <w:r>
        <w:rPr>
          <w:rFonts w:ascii="Arial" w:cs="Arial" w:eastAsia="Arial" w:hAnsi="Arial"/>
          <w:sz w:val="21"/>
          <w:szCs w:val="21"/>
          <w:color w:val="auto"/>
        </w:rPr>
        <w:t>.</w:t>
      </w:r>
    </w:p>
    <w:p>
      <w:pPr>
        <w:spacing w:after="0" w:line="209" w:lineRule="exact"/>
        <w:rPr>
          <w:rFonts w:ascii="Arial" w:cs="Arial" w:eastAsia="Arial" w:hAnsi="Arial"/>
          <w:sz w:val="21"/>
          <w:szCs w:val="21"/>
          <w:color w:val="auto"/>
        </w:rPr>
      </w:pPr>
    </w:p>
    <w:p>
      <w:pPr>
        <w:ind w:left="1840" w:hanging="621"/>
        <w:spacing w:after="0"/>
        <w:tabs>
          <w:tab w:leader="none" w:pos="1840" w:val="left"/>
        </w:tabs>
        <w:numPr>
          <w:ilvl w:val="1"/>
          <w:numId w:val="201"/>
        </w:numPr>
        <w:rPr>
          <w:rFonts w:ascii="Arial" w:cs="Arial" w:eastAsia="Arial" w:hAnsi="Arial"/>
          <w:sz w:val="21"/>
          <w:szCs w:val="21"/>
          <w:color w:val="auto"/>
        </w:rPr>
      </w:pPr>
      <w:r>
        <w:rPr>
          <w:rFonts w:ascii="Arial" w:cs="Arial" w:eastAsia="Arial" w:hAnsi="Arial"/>
          <w:sz w:val="21"/>
          <w:szCs w:val="21"/>
          <w:color w:val="auto"/>
        </w:rPr>
        <w:t>This Agreement shall become effective upon the execution and delivery hereof by the parties hereto.</w:t>
      </w:r>
    </w:p>
    <w:p>
      <w:pPr>
        <w:spacing w:after="0" w:line="209" w:lineRule="exact"/>
        <w:rPr>
          <w:rFonts w:ascii="Arial" w:cs="Arial" w:eastAsia="Arial" w:hAnsi="Arial"/>
          <w:sz w:val="21"/>
          <w:szCs w:val="21"/>
          <w:color w:val="auto"/>
        </w:rPr>
      </w:pPr>
    </w:p>
    <w:p>
      <w:pPr>
        <w:ind w:left="600" w:right="20" w:firstLine="619"/>
        <w:spacing w:after="0" w:line="278" w:lineRule="auto"/>
        <w:tabs>
          <w:tab w:leader="none" w:pos="1832" w:val="left"/>
        </w:tabs>
        <w:numPr>
          <w:ilvl w:val="1"/>
          <w:numId w:val="201"/>
        </w:numPr>
        <w:rPr>
          <w:rFonts w:ascii="Arial" w:cs="Arial" w:eastAsia="Arial" w:hAnsi="Arial"/>
          <w:sz w:val="19"/>
          <w:szCs w:val="19"/>
          <w:color w:val="auto"/>
        </w:rPr>
      </w:pPr>
      <w:r>
        <w:rPr>
          <w:rFonts w:ascii="Arial" w:cs="Arial" w:eastAsia="Arial" w:hAnsi="Arial"/>
          <w:sz w:val="19"/>
          <w:szCs w:val="19"/>
          <w:color w:val="auto"/>
        </w:rPr>
        <w:t>If, on the Closing Date or the Option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00"/>
          </w:cols>
          <w:pgMar w:left="340" w:top="1367" w:right="359" w:bottom="1440" w:gutter="0" w:footer="0" w:header="0"/>
        </w:sectPr>
      </w:pPr>
    </w:p>
    <w:bookmarkStart w:id="365" w:name="page366"/>
    <w:bookmarkEnd w:id="365"/>
    <w:p>
      <w:pPr>
        <w:spacing w:after="0" w:line="274" w:lineRule="auto"/>
        <w:rPr>
          <w:sz w:val="20"/>
          <w:szCs w:val="20"/>
          <w:color w:val="auto"/>
        </w:rPr>
      </w:pPr>
      <w:r>
        <w:rPr>
          <w:rFonts w:ascii="Arial" w:cs="Arial" w:eastAsia="Arial" w:hAnsi="Arial"/>
          <w:sz w:val="19"/>
          <w:szCs w:val="19"/>
          <w:color w:val="auto"/>
        </w:rPr>
        <w:t>satisfactory to the non-defaulting Underwriters to purchase such Shares on such terms. If other persons become obligated or agree to purchase the Shares of a defaulting Underwriter, either the non-defaulting Underwriters or the Company or the Selling Stockholders may postpone the Closing Date or the Option Closing Date, as the case may be, for up to seven days in order to effect any changes that in the opinion of counsel for the Company, counsel for the Underwriters or counsel for any of the Selling Stockholders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w:t>
      </w:r>
      <w:r>
        <w:rPr>
          <w:rFonts w:ascii="Arial" w:cs="Arial" w:eastAsia="Arial" w:hAnsi="Arial"/>
          <w:sz w:val="19"/>
          <w:szCs w:val="19"/>
          <w:b w:val="1"/>
          <w:bCs w:val="1"/>
          <w:color w:val="auto"/>
        </w:rPr>
        <w:t>Underwriter</w:t>
      </w:r>
      <w:r>
        <w:rPr>
          <w:rFonts w:ascii="Arial" w:cs="Arial" w:eastAsia="Arial" w:hAnsi="Arial"/>
          <w:sz w:val="19"/>
          <w:szCs w:val="19"/>
          <w:color w:val="auto"/>
        </w:rPr>
        <w:t xml:space="preserve">” includes, for all purposes of this Agreement unless the context otherwise requires, any person not listed in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that, pursuant to this Section 12, purchases Shares that a defaulting Underwriter agreed but failed to purchase.</w:t>
      </w:r>
    </w:p>
    <w:p>
      <w:pPr>
        <w:spacing w:after="0" w:line="163" w:lineRule="exact"/>
        <w:rPr>
          <w:sz w:val="20"/>
          <w:szCs w:val="20"/>
          <w:color w:val="auto"/>
        </w:rPr>
      </w:pPr>
    </w:p>
    <w:p>
      <w:pPr>
        <w:ind w:right="20" w:firstLine="619"/>
        <w:spacing w:after="0" w:line="286" w:lineRule="auto"/>
        <w:tabs>
          <w:tab w:leader="none" w:pos="123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If, after giving effect to any arrangements for the purchase of the Shares of a defaulting Underwriter or Underwriters by the non-defaulting Underwriters, the Company and the Selling Stockholders as provided in paragraph (b) above,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for which arrangements have not been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number of Shares that any Underwriter has agreed to purchase pursuant to this Agreement be increased pursuant to this Section 12 by an amount in excess of one-ninth of such number of Shares without the written consent of such Underwriter. If, on the Closing Date, after giving effect to any arrangements for the purchase of the Shares of a defaulting Underwriter or Underwriters by the non-defaulting Underwriters, the Company and the Selling Stockholders as provided in paragraph (b) above, the aggregate number of Firm Shares with respect to which such default occurs is more than one-tenth of the aggregate number of Firm Shares to be purchased on the Closing Date, this Agreement shall terminate without liability on the part of any non-defaulting Underwriter, any ZoomInfo Party or any Selling Stockholder, except that the Company will continue to be liable for the payment of expenses as set forth in paragraph (d) below and Section 7(j) hereof and except that the provisions of Section 10 hereof shall not terminate and shall remain in effect. If, on an Option Closing Date, after giving effect to any arrangements for the purchase of the Shares of a defaulting Underwriter or Underwriters by the non-defaulting Underwriters, the Company and the Selling Stockholders as provided in paragraph (b) above,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0600"/>
          </w:cols>
          <w:pgMar w:left="940" w:top="1367" w:right="359" w:bottom="1440" w:gutter="0" w:footer="0" w:header="0"/>
        </w:sectPr>
      </w:pPr>
    </w:p>
    <w:bookmarkStart w:id="366" w:name="page367"/>
    <w:bookmarkEnd w:id="366"/>
    <w:p>
      <w:pPr>
        <w:jc w:val="both"/>
        <w:ind w:left="600" w:right="120"/>
        <w:spacing w:after="0" w:line="254" w:lineRule="auto"/>
        <w:rPr>
          <w:sz w:val="20"/>
          <w:szCs w:val="20"/>
          <w:color w:val="auto"/>
        </w:rPr>
      </w:pPr>
      <w:r>
        <w:rPr>
          <w:rFonts w:ascii="Arial" w:cs="Arial" w:eastAsia="Arial" w:hAnsi="Arial"/>
          <w:sz w:val="21"/>
          <w:szCs w:val="21"/>
          <w:color w:val="auto"/>
        </w:rPr>
        <w:t>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73" w:lineRule="exact"/>
        <w:rPr>
          <w:sz w:val="20"/>
          <w:szCs w:val="20"/>
          <w:color w:val="auto"/>
        </w:rPr>
      </w:pPr>
    </w:p>
    <w:p>
      <w:pPr>
        <w:ind w:left="600" w:firstLine="619"/>
        <w:spacing w:after="0" w:line="274" w:lineRule="auto"/>
        <w:tabs>
          <w:tab w:leader="none" w:pos="1832" w:val="left"/>
        </w:tabs>
        <w:numPr>
          <w:ilvl w:val="1"/>
          <w:numId w:val="203"/>
        </w:numPr>
        <w:rPr>
          <w:rFonts w:ascii="Arial" w:cs="Arial" w:eastAsia="Arial" w:hAnsi="Arial"/>
          <w:sz w:val="19"/>
          <w:szCs w:val="19"/>
          <w:color w:val="auto"/>
        </w:rPr>
      </w:pPr>
      <w:r>
        <w:rPr>
          <w:rFonts w:ascii="Arial" w:cs="Arial" w:eastAsia="Arial" w:hAnsi="Arial"/>
          <w:sz w:val="19"/>
          <w:szCs w:val="19"/>
          <w:color w:val="auto"/>
        </w:rPr>
        <w:t>If this Agreement shall be terminated by the Underwriters, or any of them, because of any failure or refusal on the part of any ZoomInfo Party or any Selling Stockholder to comply with the terms or to fulfill any of the conditions of this Agreement required to be complied with or fulfilled by the ZoomInfo Parties or the Selling Stockholders, or if for any reason any ZoomInfo Party or any Selling Stockholder shall be unable to perform its obligations under this Agreement (other than, with respect to a defaulting Underwriter, by reason of a default by such Underwriter or the occurrence of any of the events described in clauses (a), (c), (d) or (e) of Section 11), the ZoomInfo Parties will reimburse the Underwriters or such Underwriters as have so terminated this Agreement with respect to themselves, severally, for all out-of-pocket expenses (including the reasonable and documented fees and disbursements of their counsel) reasonably incurred by such Underwriters in connection with this Agreement or the offering contemplated hereunder.</w:t>
      </w:r>
    </w:p>
    <w:p>
      <w:pPr>
        <w:spacing w:after="0" w:line="163" w:lineRule="exact"/>
        <w:rPr>
          <w:rFonts w:ascii="Arial" w:cs="Arial" w:eastAsia="Arial" w:hAnsi="Arial"/>
          <w:sz w:val="19"/>
          <w:szCs w:val="19"/>
          <w:color w:val="auto"/>
        </w:rPr>
      </w:pPr>
    </w:p>
    <w:p>
      <w:pPr>
        <w:ind w:left="-20" w:right="220" w:firstLine="621"/>
        <w:spacing w:after="0" w:line="281" w:lineRule="auto"/>
        <w:tabs>
          <w:tab w:leader="none" w:pos="1216" w:val="left"/>
        </w:tabs>
        <w:numPr>
          <w:ilvl w:val="0"/>
          <w:numId w:val="204"/>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(a) This Agreement, together with any contemporaneous written agreements and any prior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agreements (to the extent not superseded by this Agreement) that relate to the offering of the Shares, represents the entire agreement between the ZoomInfo Parties and the Selling Stockholders, on the one hand, and the Underwriters, on the other hand, with respect to the preparation of any preliminary prospectus, the Time of Sale Prospectus, the Prospectus, any free writing prospectus, any Written Testing-the-Waters Communication, the conduct of the offering and the purchase and sale of the Shares.</w:t>
      </w:r>
    </w:p>
    <w:p>
      <w:pPr>
        <w:spacing w:after="0" w:line="150" w:lineRule="exact"/>
        <w:rPr>
          <w:rFonts w:ascii="Arial" w:cs="Arial" w:eastAsia="Arial" w:hAnsi="Arial"/>
          <w:sz w:val="19"/>
          <w:szCs w:val="19"/>
          <w:color w:val="auto"/>
        </w:rPr>
      </w:pPr>
    </w:p>
    <w:p>
      <w:pPr>
        <w:ind w:left="600" w:right="100" w:firstLine="619"/>
        <w:spacing w:after="0" w:line="274" w:lineRule="auto"/>
        <w:tabs>
          <w:tab w:leader="none" w:pos="1832" w:val="left"/>
        </w:tabs>
        <w:numPr>
          <w:ilvl w:val="1"/>
          <w:numId w:val="204"/>
        </w:numPr>
        <w:rPr>
          <w:rFonts w:ascii="Arial" w:cs="Arial" w:eastAsia="Arial" w:hAnsi="Arial"/>
          <w:sz w:val="19"/>
          <w:szCs w:val="19"/>
          <w:color w:val="auto"/>
        </w:rPr>
      </w:pPr>
      <w:r>
        <w:rPr>
          <w:rFonts w:ascii="Arial" w:cs="Arial" w:eastAsia="Arial" w:hAnsi="Arial"/>
          <w:sz w:val="19"/>
          <w:szCs w:val="19"/>
          <w:color w:val="auto"/>
        </w:rPr>
        <w:t>Each ZoomInfo Party and each Selling Stockholder acknowledges that, in connection with the offering of the Shares: (i) the Underwriters have acted at arm’s length, are not agents of, and owe no fiduciary duties to, any ZoomInfo Party, any Selling Stockholder or any other person; (ii) the Underwriters owe the ZoomInfo Parties and the Selling Stockholders only those duties and obligations set forth in this Agreement, any contemporaneous written agreements and prior written agreements (to the extent not superseded by this Agreement), if any; (iii) none of the activities of the Underwriters in connection with the transactions contemplated herein constitutes a recommendation, investment advice or solicitation of any action by the Underwriters with respect to any entity or natural person; and (iv) the Underwriters may have interests that differ from those of the ZoomInfo Parties and/or the Selling Stockholders. Each ZoomInfo Party and each Selling Stockholder waives to the full extent permitted by applicable law any claims it may have against the Underwriters arising from an alleged breach of fiduciary duty in connection with the offering of the Shares.</w:t>
      </w:r>
    </w:p>
    <w:p>
      <w:pPr>
        <w:spacing w:after="0" w:line="158" w:lineRule="exact"/>
        <w:rPr>
          <w:rFonts w:ascii="Arial" w:cs="Arial" w:eastAsia="Arial" w:hAnsi="Arial"/>
          <w:sz w:val="19"/>
          <w:szCs w:val="19"/>
          <w:color w:val="auto"/>
        </w:rPr>
      </w:pPr>
    </w:p>
    <w:p>
      <w:pPr>
        <w:ind w:left="600" w:right="200" w:firstLine="619"/>
        <w:spacing w:after="0" w:line="254" w:lineRule="auto"/>
        <w:tabs>
          <w:tab w:leader="none" w:pos="1833" w:val="left"/>
        </w:tabs>
        <w:numPr>
          <w:ilvl w:val="1"/>
          <w:numId w:val="204"/>
        </w:numPr>
        <w:rPr>
          <w:rFonts w:ascii="Arial" w:cs="Arial" w:eastAsia="Arial" w:hAnsi="Arial"/>
          <w:sz w:val="21"/>
          <w:szCs w:val="21"/>
          <w:color w:val="auto"/>
        </w:rPr>
      </w:pPr>
      <w:r>
        <w:rPr>
          <w:rFonts w:ascii="Arial" w:cs="Arial" w:eastAsia="Arial" w:hAnsi="Arial"/>
          <w:sz w:val="21"/>
          <w:szCs w:val="21"/>
          <w:color w:val="auto"/>
        </w:rPr>
        <w:t>Each Selling Stockholder further acknowledges and agrees that, although the Underwriters may provide certain Selling Stockholders with certain Regulation Best Interest and Form CRS disclosures or other related documentation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20"/>
          </w:cols>
          <w:pgMar w:left="340" w:top="1367" w:right="339" w:bottom="1440" w:gutter="0" w:footer="0" w:header="0"/>
        </w:sectPr>
      </w:pPr>
    </w:p>
    <w:bookmarkStart w:id="367" w:name="page368"/>
    <w:bookmarkEnd w:id="367"/>
    <w:p>
      <w:pPr>
        <w:ind w:left="620" w:right="80"/>
        <w:spacing w:after="0" w:line="254" w:lineRule="auto"/>
        <w:rPr>
          <w:sz w:val="20"/>
          <w:szCs w:val="20"/>
          <w:color w:val="auto"/>
        </w:rPr>
      </w:pPr>
      <w:r>
        <w:rPr>
          <w:rFonts w:ascii="Arial" w:cs="Arial" w:eastAsia="Arial" w:hAnsi="Arial"/>
          <w:sz w:val="21"/>
          <w:szCs w:val="21"/>
          <w:color w:val="auto"/>
        </w:rPr>
        <w:t>offering, the Underwriters are not making a recommendation to any Selling Stockholder to participate in the offering or sell any Shares at the Purchase Price, and nothing set forth in such disclosures or documentation is intended to suggest that any Underwriter is making such recommendation.</w:t>
      </w:r>
    </w:p>
    <w:p>
      <w:pPr>
        <w:spacing w:after="0" w:line="173" w:lineRule="exact"/>
        <w:rPr>
          <w:sz w:val="20"/>
          <w:szCs w:val="20"/>
          <w:color w:val="auto"/>
        </w:rPr>
      </w:pPr>
    </w:p>
    <w:p>
      <w:pPr>
        <w:ind w:left="620" w:right="180" w:firstLine="619"/>
        <w:spacing w:after="0" w:line="281" w:lineRule="auto"/>
        <w:tabs>
          <w:tab w:leader="none" w:pos="1852"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10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50" w:lineRule="exact"/>
        <w:rPr>
          <w:rFonts w:ascii="Arial" w:cs="Arial" w:eastAsia="Arial" w:hAnsi="Arial"/>
          <w:sz w:val="19"/>
          <w:szCs w:val="19"/>
          <w:color w:val="auto"/>
        </w:rPr>
      </w:pPr>
    </w:p>
    <w:p>
      <w:pPr>
        <w:ind w:right="20" w:firstLine="621"/>
        <w:spacing w:after="0" w:line="248" w:lineRule="auto"/>
        <w:tabs>
          <w:tab w:leader="none" w:pos="1236" w:val="left"/>
        </w:tabs>
        <w:numPr>
          <w:ilvl w:val="0"/>
          <w:numId w:val="206"/>
        </w:numPr>
        <w:rPr>
          <w:rFonts w:ascii="Arial" w:cs="Arial" w:eastAsia="Arial" w:hAnsi="Arial"/>
          <w:sz w:val="21"/>
          <w:szCs w:val="21"/>
          <w:color w:val="auto"/>
        </w:rPr>
      </w:pPr>
      <w:r>
        <w:rPr>
          <w:rFonts w:ascii="Arial" w:cs="Arial" w:eastAsia="Arial" w:hAnsi="Arial"/>
          <w:sz w:val="21"/>
          <w:szCs w:val="21"/>
          <w:i w:val="1"/>
          <w:iCs w:val="1"/>
          <w:color w:val="auto"/>
        </w:rPr>
        <w:t>Recognition of the U.S. Special Resolution Regimes</w:t>
      </w:r>
      <w:r>
        <w:rPr>
          <w:rFonts w:ascii="Arial" w:cs="Arial" w:eastAsia="Arial" w:hAnsi="Arial"/>
          <w:sz w:val="21"/>
          <w:szCs w:val="21"/>
          <w:color w:val="auto"/>
        </w:rPr>
        <w:t>. (a) In the event that any Underwriter that is a Covered Entity</w:t>
      </w:r>
      <w:r>
        <w:rPr>
          <w:rFonts w:ascii="Arial" w:cs="Arial" w:eastAsia="Arial" w:hAnsi="Arial"/>
          <w:sz w:val="21"/>
          <w:szCs w:val="21"/>
          <w:i w:val="1"/>
          <w:iCs w:val="1"/>
          <w:color w:val="auto"/>
        </w:rPr>
        <w:t xml:space="preserve"> </w:t>
      </w:r>
      <w:r>
        <w:rPr>
          <w:rFonts w:ascii="Arial" w:cs="Arial" w:eastAsia="Arial" w:hAnsi="Arial"/>
          <w:sz w:val="21"/>
          <w:szCs w:val="21"/>
          <w:color w:val="auto"/>
        </w:rPr>
        <w:t>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1" w:lineRule="exact"/>
        <w:rPr>
          <w:rFonts w:ascii="Arial" w:cs="Arial" w:eastAsia="Arial" w:hAnsi="Arial"/>
          <w:sz w:val="21"/>
          <w:szCs w:val="21"/>
          <w:color w:val="auto"/>
        </w:rPr>
      </w:pPr>
    </w:p>
    <w:p>
      <w:pPr>
        <w:ind w:left="620" w:right="240" w:firstLine="619"/>
        <w:spacing w:after="0" w:line="248" w:lineRule="auto"/>
        <w:tabs>
          <w:tab w:leader="none" w:pos="1852" w:val="left"/>
        </w:tabs>
        <w:numPr>
          <w:ilvl w:val="1"/>
          <w:numId w:val="206"/>
        </w:numPr>
        <w:rPr>
          <w:rFonts w:ascii="Arial" w:cs="Arial" w:eastAsia="Arial" w:hAnsi="Arial"/>
          <w:sz w:val="21"/>
          <w:szCs w:val="21"/>
          <w:color w:val="auto"/>
        </w:rPr>
      </w:pPr>
      <w:r>
        <w:rPr>
          <w:rFonts w:ascii="Arial" w:cs="Arial" w:eastAsia="Arial" w:hAnsi="Arial"/>
          <w:sz w:val="21"/>
          <w:szCs w:val="21"/>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For purposes of this Section 14:</w:t>
      </w:r>
    </w:p>
    <w:p>
      <w:pPr>
        <w:spacing w:after="0" w:line="203" w:lineRule="exact"/>
        <w:rPr>
          <w:sz w:val="20"/>
          <w:szCs w:val="20"/>
          <w:color w:val="auto"/>
        </w:rPr>
      </w:pPr>
    </w:p>
    <w:p>
      <w:pPr>
        <w:ind w:right="120" w:firstLine="61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BHC Act Affiliate</w:t>
      </w:r>
      <w:r>
        <w:rPr>
          <w:rFonts w:ascii="Arial" w:cs="Arial" w:eastAsia="Arial" w:hAnsi="Arial"/>
          <w:sz w:val="21"/>
          <w:szCs w:val="21"/>
          <w:color w:val="auto"/>
        </w:rPr>
        <w:t>” has the meaning assigned to the term “affiliate” in, and shall be interpreted in accordance with, 12 U.S.C. § 1841(k);</w:t>
      </w:r>
    </w:p>
    <w:p>
      <w:pPr>
        <w:spacing w:after="0" w:line="150" w:lineRule="exact"/>
        <w:rPr>
          <w:sz w:val="20"/>
          <w:szCs w:val="20"/>
          <w:color w:val="auto"/>
        </w:rPr>
      </w:pPr>
    </w:p>
    <w:p>
      <w:pPr>
        <w:ind w:right="120" w:firstLine="618"/>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50" w:lineRule="exact"/>
        <w:rPr>
          <w:sz w:val="20"/>
          <w:szCs w:val="20"/>
          <w:color w:val="auto"/>
        </w:rPr>
      </w:pPr>
    </w:p>
    <w:p>
      <w:pPr>
        <w:ind w:firstLine="61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 Right</w:t>
      </w:r>
      <w:r>
        <w:rPr>
          <w:rFonts w:ascii="Arial" w:cs="Arial" w:eastAsia="Arial" w:hAnsi="Arial"/>
          <w:sz w:val="21"/>
          <w:szCs w:val="21"/>
          <w:color w:val="auto"/>
        </w:rPr>
        <w:t>” has the meaning assigned to that term in, and shall be interpreted in accordance with, 12 C.F.R. §§ 252.81, 47.2 or 382.1, as applicable; and</w:t>
      </w:r>
    </w:p>
    <w:p>
      <w:pPr>
        <w:spacing w:after="0" w:line="150" w:lineRule="exact"/>
        <w:rPr>
          <w:sz w:val="20"/>
          <w:szCs w:val="20"/>
          <w:color w:val="auto"/>
        </w:rPr>
      </w:pPr>
    </w:p>
    <w:p>
      <w:pPr>
        <w:jc w:val="both"/>
        <w:ind w:right="620" w:firstLine="61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Special Resolution Regime</w:t>
      </w:r>
      <w:r>
        <w:rPr>
          <w:rFonts w:ascii="Arial" w:cs="Arial" w:eastAsia="Arial" w:hAnsi="Arial"/>
          <w:sz w:val="21"/>
          <w:szCs w:val="21"/>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67" w:right="339" w:bottom="1440" w:gutter="0" w:footer="0" w:header="0"/>
        </w:sectPr>
      </w:pPr>
    </w:p>
    <w:bookmarkStart w:id="368" w:name="page369"/>
    <w:bookmarkEnd w:id="368"/>
    <w:p>
      <w:pPr>
        <w:ind w:right="80" w:firstLine="621"/>
        <w:spacing w:after="0" w:line="305" w:lineRule="auto"/>
        <w:tabs>
          <w:tab w:leader="none" w:pos="1236"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ZoomInfo Parties and the Selling Stockholders, which information may include the name and address of their respective clients, as well as other information that will allow the Underwriters to properly identify their respective clients.</w:t>
      </w:r>
    </w:p>
    <w:p>
      <w:pPr>
        <w:spacing w:after="0" w:line="132" w:lineRule="exact"/>
        <w:rPr>
          <w:rFonts w:ascii="Arial" w:cs="Arial" w:eastAsia="Arial" w:hAnsi="Arial"/>
          <w:sz w:val="18"/>
          <w:szCs w:val="18"/>
          <w:color w:val="auto"/>
        </w:rPr>
      </w:pPr>
    </w:p>
    <w:p>
      <w:pPr>
        <w:ind w:right="20" w:firstLine="621"/>
        <w:spacing w:after="0" w:line="277" w:lineRule="auto"/>
        <w:tabs>
          <w:tab w:leader="none" w:pos="1236" w:val="left"/>
        </w:tabs>
        <w:numPr>
          <w:ilvl w:val="0"/>
          <w:numId w:val="207"/>
        </w:numPr>
        <w:rPr>
          <w:rFonts w:ascii="Arial" w:cs="Arial" w:eastAsia="Arial" w:hAnsi="Arial"/>
          <w:sz w:val="19"/>
          <w:szCs w:val="19"/>
          <w:color w:val="auto"/>
        </w:rPr>
      </w:pPr>
      <w:r>
        <w:rPr>
          <w:rFonts w:ascii="Arial" w:cs="Arial" w:eastAsia="Arial" w:hAnsi="Arial"/>
          <w:sz w:val="19"/>
          <w:szCs w:val="19"/>
          <w:i w:val="1"/>
          <w:iCs w:val="1"/>
          <w:color w:val="auto"/>
        </w:rPr>
        <w:t>Counterparts</w:t>
      </w:r>
      <w:r>
        <w:rPr>
          <w:rFonts w:ascii="Arial" w:cs="Arial" w:eastAsia="Arial" w:hAnsi="Arial"/>
          <w:sz w:val="19"/>
          <w:szCs w:val="19"/>
          <w:color w:val="auto"/>
        </w:rPr>
        <w:t>. This Agreement may be signed in two or more counterparts (which may include counterparts delivered by</w:t>
      </w:r>
      <w:r>
        <w:rPr>
          <w:rFonts w:ascii="Arial" w:cs="Arial" w:eastAsia="Arial" w:hAnsi="Arial"/>
          <w:sz w:val="19"/>
          <w:szCs w:val="19"/>
          <w:i w:val="1"/>
          <w:iCs w:val="1"/>
          <w:color w:val="auto"/>
        </w:rPr>
        <w:t xml:space="preserve"> </w:t>
      </w:r>
      <w:r>
        <w:rPr>
          <w:rFonts w:ascii="Arial" w:cs="Arial" w:eastAsia="Arial" w:hAnsi="Arial"/>
          <w:sz w:val="19"/>
          <w:szCs w:val="19"/>
          <w:color w:val="auto"/>
        </w:rPr>
        <w:t>any standard form of telecommunication), each of which shall be an original, with the same effect as if the signatures thereto and hereto were upon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53" w:lineRule="exact"/>
        <w:rPr>
          <w:rFonts w:ascii="Arial" w:cs="Arial" w:eastAsia="Arial" w:hAnsi="Arial"/>
          <w:sz w:val="19"/>
          <w:szCs w:val="19"/>
          <w:color w:val="auto"/>
        </w:rPr>
      </w:pPr>
    </w:p>
    <w:p>
      <w:pPr>
        <w:ind w:right="100" w:firstLine="621"/>
        <w:spacing w:after="0" w:line="254" w:lineRule="auto"/>
        <w:tabs>
          <w:tab w:leader="none" w:pos="1236" w:val="left"/>
        </w:tabs>
        <w:numPr>
          <w:ilvl w:val="0"/>
          <w:numId w:val="207"/>
        </w:numPr>
        <w:rPr>
          <w:rFonts w:ascii="Arial" w:cs="Arial" w:eastAsia="Arial" w:hAnsi="Arial"/>
          <w:sz w:val="21"/>
          <w:szCs w:val="21"/>
          <w:color w:val="auto"/>
        </w:rPr>
      </w:pPr>
      <w:r>
        <w:rPr>
          <w:rFonts w:ascii="Arial" w:cs="Arial" w:eastAsia="Arial" w:hAnsi="Arial"/>
          <w:sz w:val="21"/>
          <w:szCs w:val="21"/>
          <w:i w:val="1"/>
          <w:iCs w:val="1"/>
          <w:color w:val="auto"/>
        </w:rPr>
        <w:t>Applicable Law; Submission to Jurisdiction; Waiver of Jury Trial</w:t>
      </w:r>
      <w:r>
        <w:rPr>
          <w:rFonts w:ascii="Arial" w:cs="Arial" w:eastAsia="Arial" w:hAnsi="Arial"/>
          <w:sz w:val="21"/>
          <w:szCs w:val="21"/>
          <w:color w:val="auto"/>
        </w:rPr>
        <w:t>. (a) This Agreement, and any claim, controversy or</w:t>
      </w:r>
      <w:r>
        <w:rPr>
          <w:rFonts w:ascii="Arial" w:cs="Arial" w:eastAsia="Arial" w:hAnsi="Arial"/>
          <w:sz w:val="21"/>
          <w:szCs w:val="21"/>
          <w:i w:val="1"/>
          <w:iCs w:val="1"/>
          <w:color w:val="auto"/>
        </w:rPr>
        <w:t xml:space="preserve"> </w:t>
      </w:r>
      <w:r>
        <w:rPr>
          <w:rFonts w:ascii="Arial" w:cs="Arial" w:eastAsia="Arial" w:hAnsi="Arial"/>
          <w:sz w:val="21"/>
          <w:szCs w:val="21"/>
          <w:color w:val="auto"/>
        </w:rPr>
        <w:t>dispute arising under or related to this Agreement, shall be governed by and construed in accordance with the internal laws of the State of New York.</w:t>
      </w:r>
    </w:p>
    <w:p>
      <w:pPr>
        <w:spacing w:after="0" w:line="173" w:lineRule="exact"/>
        <w:rPr>
          <w:rFonts w:ascii="Arial" w:cs="Arial" w:eastAsia="Arial" w:hAnsi="Arial"/>
          <w:sz w:val="21"/>
          <w:szCs w:val="21"/>
          <w:color w:val="auto"/>
        </w:rPr>
      </w:pPr>
    </w:p>
    <w:p>
      <w:pPr>
        <w:ind w:left="620" w:right="20" w:firstLine="619"/>
        <w:spacing w:after="0" w:line="262" w:lineRule="auto"/>
        <w:tabs>
          <w:tab w:leader="none" w:pos="1852" w:val="left"/>
        </w:tabs>
        <w:numPr>
          <w:ilvl w:val="1"/>
          <w:numId w:val="207"/>
        </w:numPr>
        <w:rPr>
          <w:rFonts w:ascii="Arial" w:cs="Arial" w:eastAsia="Arial" w:hAnsi="Arial"/>
          <w:sz w:val="20"/>
          <w:szCs w:val="20"/>
          <w:color w:val="auto"/>
        </w:rPr>
      </w:pPr>
      <w:r>
        <w:rPr>
          <w:rFonts w:ascii="Arial" w:cs="Arial" w:eastAsia="Arial" w:hAnsi="Arial"/>
          <w:sz w:val="20"/>
          <w:szCs w:val="20"/>
          <w:color w:val="auto"/>
        </w:rPr>
        <w:t>Each party hereby submits to the exclusive jurisdiction of the U.S. federal and New York state courts in the Borough of Manhattan in The City of New York in any suit or proceeding arising out of or relating to this Agreement or the transactions contemplated hereby. Each party waives any objection which it may now or hereafter have to the laying of venue of any such suit or proceeding in such courts. Each party agrees that final judgment in any such suit, action or proceeding brought in such court shall be conclusive and binding upon each party and may be enforced in any court to the jurisdiction of which any party is subject by a suit upon such judgment.</w:t>
      </w:r>
    </w:p>
    <w:p>
      <w:pPr>
        <w:spacing w:after="0" w:line="167" w:lineRule="exact"/>
        <w:rPr>
          <w:rFonts w:ascii="Arial" w:cs="Arial" w:eastAsia="Arial" w:hAnsi="Arial"/>
          <w:sz w:val="20"/>
          <w:szCs w:val="20"/>
          <w:color w:val="auto"/>
        </w:rPr>
      </w:pPr>
    </w:p>
    <w:p>
      <w:pPr>
        <w:ind w:left="620" w:right="520" w:firstLine="619"/>
        <w:spacing w:after="0" w:line="265" w:lineRule="auto"/>
        <w:tabs>
          <w:tab w:leader="none" w:pos="1853" w:val="left"/>
        </w:tabs>
        <w:numPr>
          <w:ilvl w:val="1"/>
          <w:numId w:val="207"/>
        </w:numPr>
        <w:rPr>
          <w:rFonts w:ascii="Arial" w:cs="Arial" w:eastAsia="Arial" w:hAnsi="Arial"/>
          <w:sz w:val="21"/>
          <w:szCs w:val="21"/>
          <w:color w:val="auto"/>
        </w:rPr>
      </w:pPr>
      <w:r>
        <w:rPr>
          <w:rFonts w:ascii="Arial" w:cs="Arial" w:eastAsia="Arial" w:hAnsi="Arial"/>
          <w:sz w:val="21"/>
          <w:szCs w:val="21"/>
          <w:color w:val="auto"/>
        </w:rPr>
        <w:t>Each of the parties hereto hereby waives any right to trial by jury in any suit or proceeding arising out of or relating to this Agreement.</w:t>
      </w:r>
    </w:p>
    <w:p>
      <w:pPr>
        <w:spacing w:after="0" w:line="162" w:lineRule="exact"/>
        <w:rPr>
          <w:rFonts w:ascii="Arial" w:cs="Arial" w:eastAsia="Arial" w:hAnsi="Arial"/>
          <w:sz w:val="21"/>
          <w:szCs w:val="21"/>
          <w:color w:val="auto"/>
        </w:rPr>
      </w:pPr>
    </w:p>
    <w:p>
      <w:pPr>
        <w:ind w:firstLine="621"/>
        <w:spacing w:after="0" w:line="265" w:lineRule="auto"/>
        <w:tabs>
          <w:tab w:leader="none" w:pos="1236" w:val="left"/>
        </w:tabs>
        <w:numPr>
          <w:ilvl w:val="0"/>
          <w:numId w:val="207"/>
        </w:numPr>
        <w:rPr>
          <w:rFonts w:ascii="Arial" w:cs="Arial" w:eastAsia="Arial" w:hAnsi="Arial"/>
          <w:sz w:val="21"/>
          <w:szCs w:val="21"/>
          <w:color w:val="auto"/>
        </w:rPr>
      </w:pPr>
      <w:r>
        <w:rPr>
          <w:rFonts w:ascii="Arial" w:cs="Arial" w:eastAsia="Arial" w:hAnsi="Arial"/>
          <w:sz w:val="21"/>
          <w:szCs w:val="21"/>
          <w:i w:val="1"/>
          <w:iCs w:val="1"/>
          <w:color w:val="auto"/>
        </w:rPr>
        <w:t>Headings</w:t>
      </w:r>
      <w:r>
        <w:rPr>
          <w:rFonts w:ascii="Arial" w:cs="Arial" w:eastAsia="Arial" w:hAnsi="Arial"/>
          <w:sz w:val="21"/>
          <w:szCs w:val="21"/>
          <w:color w:val="auto"/>
        </w:rPr>
        <w:t>. The headings of the sections of this Agreement have been inserted for convenience of reference only and shall</w:t>
      </w:r>
      <w:r>
        <w:rPr>
          <w:rFonts w:ascii="Arial" w:cs="Arial" w:eastAsia="Arial" w:hAnsi="Arial"/>
          <w:sz w:val="21"/>
          <w:szCs w:val="21"/>
          <w:i w:val="1"/>
          <w:iCs w:val="1"/>
          <w:color w:val="auto"/>
        </w:rPr>
        <w:t xml:space="preserve"> </w:t>
      </w:r>
      <w:r>
        <w:rPr>
          <w:rFonts w:ascii="Arial" w:cs="Arial" w:eastAsia="Arial" w:hAnsi="Arial"/>
          <w:sz w:val="21"/>
          <w:szCs w:val="21"/>
          <w:color w:val="auto"/>
        </w:rPr>
        <w:t>not be deemed a part of this Agreement.</w:t>
      </w:r>
    </w:p>
    <w:p>
      <w:pPr>
        <w:spacing w:after="0" w:line="162" w:lineRule="exact"/>
        <w:rPr>
          <w:rFonts w:ascii="Arial" w:cs="Arial" w:eastAsia="Arial" w:hAnsi="Arial"/>
          <w:sz w:val="21"/>
          <w:szCs w:val="21"/>
          <w:color w:val="auto"/>
        </w:rPr>
      </w:pPr>
    </w:p>
    <w:p>
      <w:pPr>
        <w:ind w:right="200" w:firstLine="621"/>
        <w:spacing w:after="0" w:line="275" w:lineRule="auto"/>
        <w:tabs>
          <w:tab w:leader="none" w:pos="1236" w:val="left"/>
        </w:tabs>
        <w:numPr>
          <w:ilvl w:val="0"/>
          <w:numId w:val="207"/>
        </w:numPr>
        <w:rPr>
          <w:rFonts w:ascii="Arial" w:cs="Arial" w:eastAsia="Arial" w:hAnsi="Arial"/>
          <w:sz w:val="19"/>
          <w:szCs w:val="19"/>
          <w:color w:val="auto"/>
        </w:rPr>
      </w:pPr>
      <w:r>
        <w:rPr>
          <w:rFonts w:ascii="Arial" w:cs="Arial" w:eastAsia="Arial" w:hAnsi="Arial"/>
          <w:sz w:val="19"/>
          <w:szCs w:val="19"/>
          <w:i w:val="1"/>
          <w:iCs w:val="1"/>
          <w:color w:val="auto"/>
        </w:rPr>
        <w:t>Notices</w:t>
      </w:r>
      <w:r>
        <w:rPr>
          <w:rFonts w:ascii="Arial" w:cs="Arial" w:eastAsia="Arial" w:hAnsi="Arial"/>
          <w:sz w:val="19"/>
          <w:szCs w:val="19"/>
          <w:color w:val="auto"/>
        </w:rPr>
        <w:t>. All communications hereunder shall be in writing and effective only upon receipt and if to the Underwriters</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delivered, mailed or sent to you (i) in care of J.P. Morgan Securities LLC, 383 Madison Avenue, New York, New York 10179 (fax: (212) 622-8358), Attention: Equity Syndicate Desk, with a copy to the Legal Department, and (ii) in care of Morgan</w:t>
      </w:r>
    </w:p>
    <w:p>
      <w:pPr>
        <w:ind w:right="120"/>
        <w:spacing w:after="0" w:line="263" w:lineRule="auto"/>
        <w:rPr>
          <w:rFonts w:ascii="Arial" w:cs="Arial" w:eastAsia="Arial" w:hAnsi="Arial"/>
          <w:sz w:val="19"/>
          <w:szCs w:val="19"/>
          <w:color w:val="auto"/>
        </w:rPr>
      </w:pPr>
      <w:r>
        <w:rPr>
          <w:rFonts w:ascii="Arial" w:cs="Arial" w:eastAsia="Arial" w:hAnsi="Arial"/>
          <w:sz w:val="20"/>
          <w:szCs w:val="20"/>
          <w:color w:val="auto"/>
        </w:rPr>
        <w:t>Stanley &amp; Co. LLC, 1585 Broadway, New York, New York 10036, Attention: Equity Syndicate Desk, with a copy to the Legal Department; if to a ZoomInfo Party shall be delivered, mailed or sent to ZoomInfo Technologies Inc., 805 Broadway Street, Suite 900, Vancouver, Washington 98660, Attention: General Counsel; if to the TA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20"/>
          </w:cols>
          <w:pgMar w:left="320" w:top="1367" w:right="359" w:bottom="1440" w:gutter="0" w:footer="0" w:header="0"/>
        </w:sectPr>
      </w:pPr>
    </w:p>
    <w:bookmarkStart w:id="369" w:name="page370"/>
    <w:bookmarkEnd w:id="369"/>
    <w:p>
      <w:pPr>
        <w:spacing w:after="0" w:line="265" w:lineRule="auto"/>
        <w:rPr>
          <w:sz w:val="20"/>
          <w:szCs w:val="20"/>
          <w:color w:val="auto"/>
        </w:rPr>
      </w:pPr>
      <w:r>
        <w:rPr>
          <w:rFonts w:ascii="Arial" w:cs="Arial" w:eastAsia="Arial" w:hAnsi="Arial"/>
          <w:sz w:val="19"/>
          <w:szCs w:val="19"/>
          <w:color w:val="auto"/>
        </w:rPr>
        <w:t>shall be delivered, mailed or sent to TA Associates Management L.P., 64 Willow Place, Suite 100, Menlo Park, CA 94025, Attention: Todd Crockett and Jason Mironov, with a copy (which shall not constitute notice) to Goodwin Procter LLP, Three Embarcadero Center, 24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Floor, San Francisco, CA 94111, Attention: Brian McPeake; if to the Carlyle Selling Stockholders shall be delivered, mailed or sent to c/o The Carlyle Group, 2710 Sand Hill Road, 1st Floor, Menlo Park, CA 94025, Attention: Patrick McCarter, with a copy (which shall not constitute notice) to Debevoise &amp; Plimpton LLP, 919 Third Avenue, New York, NY 10022, Attention: Paul M. Rodel; and if to the 22C Selling Stockholders shall be delivered, mailed or sent to 22C Capital LLC, 445 Park Avenue, 13th Floor, New York, NY 10022, Attention: D. Randall Winn and Eric Edell, with a copy (which shall not constitute notice) to Sidley Austin LLP, One South Dearborn, Chicago, IL 60603, Attention: Chris Abbinante, Michael Heinz and Ian Helmuth, email: cabbinante@sidley.com.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Pages Follow</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20"/>
          </w:cols>
          <w:pgMar w:left="320" w:top="1367" w:right="359" w:bottom="1440" w:gutter="0" w:footer="0" w:header="0"/>
        </w:sectPr>
      </w:pPr>
    </w:p>
    <w:bookmarkStart w:id="370" w:name="page371"/>
    <w:bookmarkEnd w:id="370"/>
    <w:p>
      <w:pPr>
        <w:ind w:left="4700"/>
        <w:spacing w:after="0"/>
        <w:rPr>
          <w:sz w:val="20"/>
          <w:szCs w:val="20"/>
          <w:color w:val="auto"/>
        </w:rPr>
      </w:pPr>
      <w:r>
        <w:rPr>
          <w:rFonts w:ascii="Arial" w:cs="Arial" w:eastAsia="Arial" w:hAnsi="Arial"/>
          <w:sz w:val="21"/>
          <w:szCs w:val="21"/>
          <w:color w:val="auto"/>
        </w:rPr>
        <w:t>Very truly yours,</w:t>
      </w:r>
    </w:p>
    <w:p>
      <w:pPr>
        <w:spacing w:after="0" w:line="312" w:lineRule="exact"/>
        <w:rPr>
          <w:sz w:val="20"/>
          <w:szCs w:val="20"/>
          <w:color w:val="auto"/>
        </w:rPr>
      </w:pPr>
    </w:p>
    <w:p>
      <w:pPr>
        <w:jc w:val="right"/>
        <w:ind w:right="1159"/>
        <w:spacing w:after="0"/>
        <w:rPr>
          <w:sz w:val="20"/>
          <w:szCs w:val="20"/>
          <w:color w:val="auto"/>
        </w:rPr>
      </w:pPr>
      <w:r>
        <w:rPr>
          <w:rFonts w:ascii="Arial" w:cs="Arial" w:eastAsia="Arial" w:hAnsi="Arial"/>
          <w:sz w:val="21"/>
          <w:szCs w:val="21"/>
          <w:color w:val="auto"/>
        </w:rPr>
        <w:t>ZOOMINFO TECHNOLOGIES INC.</w:t>
      </w:r>
    </w:p>
    <w:p>
      <w:pPr>
        <w:spacing w:after="0" w:line="200" w:lineRule="exact"/>
        <w:rPr>
          <w:sz w:val="20"/>
          <w:szCs w:val="20"/>
          <w:color w:val="auto"/>
        </w:rPr>
      </w:pPr>
    </w:p>
    <w:p>
      <w:pPr>
        <w:spacing w:after="0" w:line="370"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8">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ZOOMINFO INTERMEDIATE</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HOLDINGS LLC</w:t>
      </w:r>
    </w:p>
    <w:p>
      <w:pPr>
        <w:spacing w:after="0" w:line="200" w:lineRule="exact"/>
        <w:rPr>
          <w:sz w:val="20"/>
          <w:szCs w:val="20"/>
          <w:color w:val="auto"/>
        </w:rPr>
      </w:pPr>
    </w:p>
    <w:p>
      <w:pPr>
        <w:spacing w:after="0" w:line="352"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ZOOMINFO HOLDINGS LLC</w:t>
      </w:r>
    </w:p>
    <w:p>
      <w:pPr>
        <w:spacing w:after="0" w:line="200" w:lineRule="exact"/>
        <w:rPr>
          <w:sz w:val="20"/>
          <w:szCs w:val="20"/>
          <w:color w:val="auto"/>
        </w:rPr>
      </w:pPr>
    </w:p>
    <w:p>
      <w:pPr>
        <w:spacing w:after="0" w:line="370"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9019"/>
          </w:cols>
          <w:pgMar w:left="1440" w:top="1418" w:right="1440" w:bottom="1440" w:gutter="0" w:footer="0" w:header="0"/>
        </w:sectPr>
      </w:pPr>
    </w:p>
    <w:bookmarkStart w:id="371" w:name="page372"/>
    <w:bookmarkEnd w:id="371"/>
    <w:p>
      <w:pPr>
        <w:ind w:left="4700"/>
        <w:spacing w:after="0"/>
        <w:rPr>
          <w:sz w:val="20"/>
          <w:szCs w:val="20"/>
          <w:color w:val="auto"/>
        </w:rPr>
      </w:pPr>
      <w:r>
        <w:rPr>
          <w:rFonts w:ascii="Arial" w:cs="Arial" w:eastAsia="Arial" w:hAnsi="Arial"/>
          <w:sz w:val="21"/>
          <w:szCs w:val="21"/>
          <w:b w:val="1"/>
          <w:bCs w:val="1"/>
          <w:color w:val="auto"/>
        </w:rPr>
        <w:t>TA XI DO AIV,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XI GP, L.P., its general partner</w:t>
      </w:r>
    </w:p>
    <w:p>
      <w:pPr>
        <w:spacing w:after="0" w:line="235"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L.P., its general partner</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TA SDF III DO AIV,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By: TA Associates SDF III GP, L.P., its general partner</w:t>
      </w:r>
    </w:p>
    <w:p>
      <w:pPr>
        <w:spacing w:after="0" w:line="25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L.P., its general partner</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TA ATLANTIC AND PACIFIC VII-A,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By: TA Associates AP VII GP L.P., its general partner</w:t>
      </w:r>
    </w:p>
    <w:p>
      <w:pPr>
        <w:spacing w:after="0" w:line="25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L.P., its general partner</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Underwriting Agreement</w:t>
      </w:r>
      <w:r>
        <w:rPr>
          <w:rFonts w:ascii="Arial" w:cs="Arial" w:eastAsia="Arial" w:hAnsi="Arial"/>
          <w:sz w:val="21"/>
          <w:szCs w:val="21"/>
          <w:color w:val="auto"/>
        </w:rPr>
        <w:t>]</w:t>
      </w:r>
    </w:p>
    <w:p>
      <w:pPr>
        <w:sectPr>
          <w:pgSz w:w="11900" w:h="16838" w:orient="portrait"/>
          <w:cols w:equalWidth="0" w:num="1">
            <w:col w:w="9380"/>
          </w:cols>
          <w:pgMar w:left="1440" w:top="1413" w:right="1079" w:bottom="1440" w:gutter="0" w:footer="0" w:header="0"/>
        </w:sectPr>
      </w:pPr>
    </w:p>
    <w:bookmarkStart w:id="372" w:name="page373"/>
    <w:bookmarkEnd w:id="372"/>
    <w:p>
      <w:pPr>
        <w:ind w:left="4700"/>
        <w:spacing w:after="0"/>
        <w:rPr>
          <w:sz w:val="20"/>
          <w:szCs w:val="20"/>
          <w:color w:val="auto"/>
        </w:rPr>
      </w:pPr>
      <w:r>
        <w:rPr>
          <w:rFonts w:ascii="Arial" w:cs="Arial" w:eastAsia="Arial" w:hAnsi="Arial"/>
          <w:sz w:val="21"/>
          <w:szCs w:val="21"/>
          <w:b w:val="1"/>
          <w:bCs w:val="1"/>
          <w:color w:val="auto"/>
        </w:rPr>
        <w:t>TA INVESTORS IV,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L.P., its general partner</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4">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9"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TA XI DO FEEDER,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XI GP, L.P., its general</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partner</w:t>
      </w:r>
    </w:p>
    <w:p>
      <w:pPr>
        <w:spacing w:after="0" w:line="217"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L.P., its general partner</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5">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9"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TA SDF III DO FEEDER,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By: TA Associates SDF III GP, L.P., its general partner</w:t>
      </w:r>
    </w:p>
    <w:p>
      <w:pPr>
        <w:spacing w:after="0" w:line="25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L.P., its general partner</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6">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Underwriting Agreement</w:t>
      </w:r>
      <w:r>
        <w:rPr>
          <w:rFonts w:ascii="Arial" w:cs="Arial" w:eastAsia="Arial" w:hAnsi="Arial"/>
          <w:sz w:val="21"/>
          <w:szCs w:val="21"/>
          <w:color w:val="auto"/>
        </w:rPr>
        <w:t>]</w:t>
      </w:r>
    </w:p>
    <w:p>
      <w:pPr>
        <w:sectPr>
          <w:pgSz w:w="11900" w:h="16838" w:orient="portrait"/>
          <w:cols w:equalWidth="0" w:num="1">
            <w:col w:w="9380"/>
          </w:cols>
          <w:pgMar w:left="1440" w:top="1412" w:right="1079" w:bottom="1440" w:gutter="0" w:footer="0" w:header="0"/>
        </w:sectPr>
      </w:pPr>
    </w:p>
    <w:bookmarkStart w:id="373" w:name="page374"/>
    <w:bookmarkEnd w:id="373"/>
    <w:p>
      <w:pPr>
        <w:ind w:left="4700"/>
        <w:spacing w:after="0"/>
        <w:rPr>
          <w:sz w:val="20"/>
          <w:szCs w:val="20"/>
          <w:color w:val="auto"/>
        </w:rPr>
      </w:pPr>
      <w:r>
        <w:rPr>
          <w:rFonts w:ascii="Arial" w:cs="Arial" w:eastAsia="Arial" w:hAnsi="Arial"/>
          <w:sz w:val="21"/>
          <w:szCs w:val="21"/>
          <w:b w:val="1"/>
          <w:bCs w:val="1"/>
          <w:color w:val="auto"/>
        </w:rPr>
        <w:t>TA ATLANTIC AND PACIFIC VII-B,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By: TA Associates AP VII GP, L.P., its general partner</w:t>
      </w:r>
    </w:p>
    <w:p>
      <w:pPr>
        <w:spacing w:after="0" w:line="25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L.P., its general partner</w:t>
      </w:r>
    </w:p>
    <w:p>
      <w:pPr>
        <w:spacing w:after="0" w:line="235"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By: TA Associates US Holding Corp., its general partner</w:t>
      </w: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7">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9"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TA SDF III DO AIV II,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By: TA Associates SDF III GP, L.P., its general partner</w:t>
      </w:r>
    </w:p>
    <w:p>
      <w:pPr>
        <w:spacing w:after="0" w:line="258"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By: TA Associates US Holding Corp., its general partner</w:t>
      </w: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8">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9"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TA AP VII-B DO SUBSIDIARY PARTNERSHIP, L.P.</w:t>
      </w:r>
    </w:p>
    <w:p>
      <w:pPr>
        <w:spacing w:after="0" w:line="252"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By: TA Associates AP VII GP, L.P., its general partner</w:t>
      </w:r>
    </w:p>
    <w:p>
      <w:pPr>
        <w:spacing w:after="0" w:line="258"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By: TA Associates US Holding Corp., its general partner</w:t>
      </w: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9">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Underwriting Agreement</w:t>
      </w:r>
      <w:r>
        <w:rPr>
          <w:rFonts w:ascii="Arial" w:cs="Arial" w:eastAsia="Arial" w:hAnsi="Arial"/>
          <w:sz w:val="21"/>
          <w:szCs w:val="21"/>
          <w:color w:val="auto"/>
        </w:rPr>
        <w:t>]</w:t>
      </w:r>
    </w:p>
    <w:p>
      <w:pPr>
        <w:sectPr>
          <w:pgSz w:w="11900" w:h="16838" w:orient="portrait"/>
          <w:cols w:equalWidth="0" w:num="1">
            <w:col w:w="9480"/>
          </w:cols>
          <w:pgMar w:left="1440" w:top="1413" w:right="979" w:bottom="1440" w:gutter="0" w:footer="0" w:header="0"/>
        </w:sectPr>
      </w:pPr>
    </w:p>
    <w:bookmarkStart w:id="374" w:name="page375"/>
    <w:bookmarkEnd w:id="374"/>
    <w:p>
      <w:pPr>
        <w:ind w:left="4700"/>
        <w:spacing w:after="0"/>
        <w:rPr>
          <w:sz w:val="20"/>
          <w:szCs w:val="20"/>
          <w:color w:val="auto"/>
        </w:rPr>
      </w:pPr>
      <w:r>
        <w:rPr>
          <w:rFonts w:ascii="Arial" w:cs="Arial" w:eastAsia="Arial" w:hAnsi="Arial"/>
          <w:sz w:val="21"/>
          <w:szCs w:val="21"/>
          <w:b w:val="1"/>
          <w:bCs w:val="1"/>
          <w:color w:val="auto"/>
        </w:rPr>
        <w:t>TA XI DO AIV II,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TA Associates XI GP, L.P., its general</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partner</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By: TA Associates US Holding Corp., its general partner</w:t>
      </w: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0">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Gregory M. Wallace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Chief Financial Officer,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Underwriting Agreement</w:t>
      </w:r>
      <w:r>
        <w:rPr>
          <w:rFonts w:ascii="Arial" w:cs="Arial" w:eastAsia="Arial" w:hAnsi="Arial"/>
          <w:sz w:val="21"/>
          <w:szCs w:val="21"/>
          <w:color w:val="auto"/>
        </w:rPr>
        <w:t>]</w:t>
      </w:r>
    </w:p>
    <w:p>
      <w:pPr>
        <w:sectPr>
          <w:pgSz w:w="11900" w:h="16838" w:orient="portrait"/>
          <w:cols w:equalWidth="0" w:num="1">
            <w:col w:w="9380"/>
          </w:cols>
          <w:pgMar w:left="1440" w:top="1412" w:right="1079" w:bottom="1440" w:gutter="0" w:footer="0" w:header="0"/>
        </w:sectPr>
      </w:pPr>
    </w:p>
    <w:bookmarkStart w:id="375" w:name="page376"/>
    <w:bookmarkEnd w:id="375"/>
    <w:p>
      <w:pPr>
        <w:ind w:left="4700"/>
        <w:spacing w:after="0"/>
        <w:rPr>
          <w:sz w:val="20"/>
          <w:szCs w:val="20"/>
          <w:color w:val="auto"/>
        </w:rPr>
      </w:pPr>
      <w:r>
        <w:rPr>
          <w:rFonts w:ascii="Arial" w:cs="Arial" w:eastAsia="Arial" w:hAnsi="Arial"/>
          <w:sz w:val="21"/>
          <w:szCs w:val="21"/>
          <w:b w:val="1"/>
          <w:bCs w:val="1"/>
          <w:color w:val="auto"/>
        </w:rPr>
        <w:t>CARLYLE PARTNERS VI</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EVERGREEN HOLDINGS, L.P.</w:t>
      </w:r>
    </w:p>
    <w:p>
      <w:pPr>
        <w:spacing w:after="0" w:line="217"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TC Group VI S1, L.P., its general partner</w:t>
      </w:r>
    </w:p>
    <w:p>
      <w:pPr>
        <w:spacing w:after="0" w:line="235"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TC Group VI S1, L.L.C., its general partner</w:t>
      </w:r>
    </w:p>
    <w:p>
      <w:pPr>
        <w:spacing w:after="0" w:line="200" w:lineRule="exact"/>
        <w:rPr>
          <w:sz w:val="20"/>
          <w:szCs w:val="20"/>
          <w:color w:val="auto"/>
        </w:rPr>
      </w:pPr>
    </w:p>
    <w:p>
      <w:pPr>
        <w:spacing w:after="0" w:line="31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1">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Patrick McCarter</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Authorized Person</w:t>
      </w:r>
    </w:p>
    <w:p>
      <w:pPr>
        <w:spacing w:after="0" w:line="200" w:lineRule="exact"/>
        <w:rPr>
          <w:sz w:val="20"/>
          <w:szCs w:val="20"/>
          <w:color w:val="auto"/>
        </w:rPr>
      </w:pPr>
    </w:p>
    <w:p>
      <w:pPr>
        <w:spacing w:after="0" w:line="215"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CARLYLE PARTNERS VI DASH HOLDINGS, L.P.</w:t>
      </w:r>
    </w:p>
    <w:p>
      <w:pPr>
        <w:spacing w:after="0" w:line="25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TC Group VI, L.P., its general partner</w:t>
      </w:r>
    </w:p>
    <w:p>
      <w:pPr>
        <w:spacing w:after="0" w:line="235"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TC Group VI, L.L.C., its general partner</w:t>
      </w:r>
    </w:p>
    <w:p>
      <w:pPr>
        <w:spacing w:after="0" w:line="200" w:lineRule="exact"/>
        <w:rPr>
          <w:sz w:val="20"/>
          <w:szCs w:val="20"/>
          <w:color w:val="auto"/>
        </w:rPr>
      </w:pPr>
    </w:p>
    <w:p>
      <w:pPr>
        <w:spacing w:after="0" w:line="31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2">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Patrick McCarter</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Authorized Person</w:t>
      </w:r>
    </w:p>
    <w:p>
      <w:pPr>
        <w:spacing w:after="0" w:line="200" w:lineRule="exact"/>
        <w:rPr>
          <w:sz w:val="20"/>
          <w:szCs w:val="20"/>
          <w:color w:val="auto"/>
        </w:rPr>
      </w:pPr>
    </w:p>
    <w:p>
      <w:pPr>
        <w:spacing w:after="0" w:line="209"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CP VI EVERGREEN HOLDINGS,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TC Group VI S1, L.P., its general partner</w:t>
      </w:r>
    </w:p>
    <w:p>
      <w:pPr>
        <w:spacing w:after="0" w:line="235"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TC Group VI S1, L.L.C., its general partner</w:t>
      </w:r>
    </w:p>
    <w:p>
      <w:pPr>
        <w:spacing w:after="0" w:line="200" w:lineRule="exact"/>
        <w:rPr>
          <w:sz w:val="20"/>
          <w:szCs w:val="20"/>
          <w:color w:val="auto"/>
        </w:rPr>
      </w:pPr>
    </w:p>
    <w:p>
      <w:pPr>
        <w:spacing w:after="0" w:line="31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3">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Patrick McCarter</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9100"/>
          </w:cols>
          <w:pgMar w:left="1440" w:top="1413" w:right="1359" w:bottom="1440" w:gutter="0" w:footer="0" w:header="0"/>
        </w:sectPr>
      </w:pPr>
    </w:p>
    <w:bookmarkStart w:id="376" w:name="page377"/>
    <w:bookmarkEnd w:id="376"/>
    <w:p>
      <w:pPr>
        <w:ind w:left="4700"/>
        <w:spacing w:after="0"/>
        <w:rPr>
          <w:sz w:val="20"/>
          <w:szCs w:val="20"/>
          <w:color w:val="auto"/>
        </w:rPr>
      </w:pPr>
      <w:r>
        <w:rPr>
          <w:rFonts w:ascii="Arial" w:cs="Arial" w:eastAsia="Arial" w:hAnsi="Arial"/>
          <w:sz w:val="21"/>
          <w:szCs w:val="21"/>
          <w:b w:val="1"/>
          <w:bCs w:val="1"/>
          <w:color w:val="auto"/>
        </w:rPr>
        <w:t>22C CAPITAL I-A, L.P.</w:t>
      </w:r>
    </w:p>
    <w:p>
      <w:pPr>
        <w:spacing w:after="0" w:line="241"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 22C Capital GP I, L.L.C. its general partner</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By: 22C Capital GP I MM LLC, its managing member</w:t>
      </w:r>
    </w:p>
    <w:p>
      <w:pPr>
        <w:spacing w:after="0" w:line="200" w:lineRule="exact"/>
        <w:rPr>
          <w:sz w:val="20"/>
          <w:szCs w:val="20"/>
          <w:color w:val="auto"/>
        </w:rPr>
      </w:pPr>
    </w:p>
    <w:p>
      <w:pPr>
        <w:spacing w:after="0" w:line="31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4">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D. Randall Winn</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370"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Eric Edell</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9"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22C MAGELLAN HOLDINGS LLC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D. Randall Winn</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370"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7">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 Eric Edell</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9220"/>
          </w:cols>
          <w:pgMar w:left="1440" w:top="1412" w:right="1239" w:bottom="1440" w:gutter="0" w:footer="0" w:header="0"/>
        </w:sectPr>
      </w:pPr>
    </w:p>
    <w:bookmarkStart w:id="377" w:name="page378"/>
    <w:bookmarkEnd w:id="377"/>
    <w:p>
      <w:pPr>
        <w:jc w:val="right"/>
        <w:ind w:right="1539"/>
        <w:spacing w:after="0"/>
        <w:rPr>
          <w:sz w:val="20"/>
          <w:szCs w:val="20"/>
          <w:color w:val="auto"/>
        </w:rPr>
      </w:pPr>
      <w:r>
        <w:rPr>
          <w:rFonts w:ascii="Arial" w:cs="Arial" w:eastAsia="Arial" w:hAnsi="Arial"/>
          <w:sz w:val="21"/>
          <w:szCs w:val="21"/>
          <w:b w:val="1"/>
          <w:bCs w:val="1"/>
          <w:color w:val="auto"/>
        </w:rPr>
        <w:t>FIVEW DISCOVERORG LLC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8">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370"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23495</wp:posOffset>
            </wp:positionV>
            <wp:extent cx="29679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9">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Name:</w:t>
      </w:r>
    </w:p>
    <w:p>
      <w:pPr>
        <w:spacing w:after="0" w:line="55"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632460</wp:posOffset>
            </wp:positionV>
            <wp:extent cx="29679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0">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9019"/>
          </w:cols>
          <w:pgMar w:left="1440" w:top="1413" w:right="1440" w:bottom="1440" w:gutter="0" w:footer="0" w:header="0"/>
        </w:sectPr>
      </w:pPr>
    </w:p>
    <w:bookmarkStart w:id="378" w:name="page379"/>
    <w:bookmarkEnd w:id="378"/>
    <w:p>
      <w:pPr>
        <w:spacing w:after="0"/>
        <w:rPr>
          <w:sz w:val="20"/>
          <w:szCs w:val="20"/>
          <w:color w:val="auto"/>
        </w:rPr>
      </w:pPr>
      <w:r>
        <w:rPr>
          <w:rFonts w:ascii="Arial" w:cs="Arial" w:eastAsia="Arial" w:hAnsi="Arial"/>
          <w:sz w:val="21"/>
          <w:szCs w:val="21"/>
          <w:color w:val="auto"/>
        </w:rPr>
        <w:t>Accepted as of the date hereof.</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Morgan Stanley &amp; Co. LLC</w:t>
      </w:r>
    </w:p>
    <w:p>
      <w:pPr>
        <w:spacing w:after="0" w:line="37" w:lineRule="exact"/>
        <w:rPr>
          <w:sz w:val="20"/>
          <w:szCs w:val="20"/>
          <w:color w:val="auto"/>
        </w:rPr>
      </w:pPr>
    </w:p>
    <w:p>
      <w:pPr>
        <w:ind w:left="300"/>
        <w:spacing w:after="0"/>
        <w:rPr>
          <w:sz w:val="20"/>
          <w:szCs w:val="20"/>
          <w:color w:val="auto"/>
        </w:rPr>
      </w:pPr>
      <w:r>
        <w:rPr>
          <w:rFonts w:ascii="Arial" w:cs="Arial" w:eastAsia="Arial" w:hAnsi="Arial"/>
          <w:sz w:val="21"/>
          <w:szCs w:val="21"/>
          <w:color w:val="auto"/>
        </w:rPr>
        <w:t>Acting severally on behalf of themselves and the several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21"/>
          <w:szCs w:val="21"/>
          <w:color w:val="auto"/>
        </w:rPr>
        <w:t xml:space="preserve">Underwriters named in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hereto.</w:t>
      </w:r>
    </w:p>
    <w:p>
      <w:pPr>
        <w:spacing w:after="0" w:line="200" w:lineRule="exact"/>
        <w:rPr>
          <w:sz w:val="20"/>
          <w:szCs w:val="20"/>
          <w:color w:val="auto"/>
        </w:rPr>
      </w:pPr>
    </w:p>
    <w:p>
      <w:pPr>
        <w:spacing w:after="0" w:line="300" w:lineRule="exact"/>
        <w:rPr>
          <w:sz w:val="20"/>
          <w:szCs w:val="20"/>
          <w:color w:val="auto"/>
        </w:rPr>
      </w:pPr>
    </w:p>
    <w:p>
      <w:pPr>
        <w:spacing w:after="0"/>
        <w:tabs>
          <w:tab w:leader="none" w:pos="7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J.P. Morgan Securities LLC</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23495</wp:posOffset>
            </wp:positionV>
            <wp:extent cx="29679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1">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780"/>
        <w:spacing w:after="0"/>
        <w:rPr>
          <w:sz w:val="20"/>
          <w:szCs w:val="20"/>
          <w:color w:val="auto"/>
        </w:rPr>
      </w:pPr>
      <w:r>
        <w:rPr>
          <w:rFonts w:ascii="Arial" w:cs="Arial" w:eastAsia="Arial" w:hAnsi="Arial"/>
          <w:sz w:val="21"/>
          <w:szCs w:val="21"/>
          <w:color w:val="auto"/>
        </w:rPr>
        <w:t>Name:</w:t>
      </w:r>
    </w:p>
    <w:p>
      <w:pPr>
        <w:spacing w:after="0" w:line="55" w:lineRule="exact"/>
        <w:rPr>
          <w:sz w:val="20"/>
          <w:szCs w:val="20"/>
          <w:color w:val="auto"/>
        </w:rPr>
      </w:pPr>
    </w:p>
    <w:p>
      <w:pPr>
        <w:ind w:left="78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15" w:lineRule="exact"/>
        <w:rPr>
          <w:sz w:val="20"/>
          <w:szCs w:val="20"/>
          <w:color w:val="auto"/>
        </w:rPr>
      </w:pPr>
    </w:p>
    <w:p>
      <w:pPr>
        <w:spacing w:after="0"/>
        <w:tabs>
          <w:tab w:leader="none" w:pos="7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Morgan Stanley &amp; Co. LLC</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23495</wp:posOffset>
            </wp:positionV>
            <wp:extent cx="29679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2">
                      <a:extLst>
                        <a:ext uri="{28A0092B-C50C-407E-A947-70E740481C1C}"/>
                      </a:extLst>
                    </a:blip>
                    <a:srcRect/>
                    <a:stretch>
                      <a:fillRect/>
                    </a:stretch>
                  </pic:blipFill>
                  <pic:spPr bwMode="auto">
                    <a:xfrm>
                      <a:off x="0" y="0"/>
                      <a:ext cx="2967990" cy="8255"/>
                    </a:xfrm>
                    <a:prstGeom prst="rect">
                      <a:avLst/>
                    </a:prstGeom>
                    <a:noFill/>
                  </pic:spPr>
                </pic:pic>
              </a:graphicData>
            </a:graphic>
          </wp:anchor>
        </w:drawing>
      </w:r>
    </w:p>
    <w:p>
      <w:pPr>
        <w:spacing w:after="0" w:line="48" w:lineRule="exact"/>
        <w:rPr>
          <w:sz w:val="20"/>
          <w:szCs w:val="20"/>
          <w:color w:val="auto"/>
        </w:rPr>
      </w:pPr>
    </w:p>
    <w:p>
      <w:pPr>
        <w:ind w:left="780"/>
        <w:spacing w:after="0"/>
        <w:rPr>
          <w:sz w:val="20"/>
          <w:szCs w:val="20"/>
          <w:color w:val="auto"/>
        </w:rPr>
      </w:pPr>
      <w:r>
        <w:rPr>
          <w:rFonts w:ascii="Arial" w:cs="Arial" w:eastAsia="Arial" w:hAnsi="Arial"/>
          <w:sz w:val="21"/>
          <w:szCs w:val="21"/>
          <w:color w:val="auto"/>
        </w:rPr>
        <w:t>Name:</w:t>
      </w:r>
    </w:p>
    <w:p>
      <w:pPr>
        <w:spacing w:after="0" w:line="55" w:lineRule="exact"/>
        <w:rPr>
          <w:sz w:val="20"/>
          <w:szCs w:val="20"/>
          <w:color w:val="auto"/>
        </w:rPr>
      </w:pPr>
    </w:p>
    <w:p>
      <w:pPr>
        <w:ind w:left="780"/>
        <w:spacing w:after="0"/>
        <w:tabs>
          <w:tab w:leader="none" w:pos="1440" w:val="left"/>
        </w:tabs>
        <w:rPr>
          <w:sz w:val="20"/>
          <w:szCs w:val="20"/>
          <w:color w:val="auto"/>
        </w:rPr>
      </w:pPr>
      <w:r>
        <w:rPr>
          <w:rFonts w:ascii="Arial" w:cs="Arial" w:eastAsia="Arial" w:hAnsi="Arial"/>
          <w:sz w:val="21"/>
          <w:szCs w:val="21"/>
          <w:color w:val="auto"/>
        </w:rPr>
        <w:t>Title:</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265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Underwriting Agreement</w:t>
      </w:r>
      <w:r>
        <w:rPr>
          <w:rFonts w:ascii="Arial" w:cs="Arial" w:eastAsia="Arial" w:hAnsi="Arial"/>
          <w:sz w:val="21"/>
          <w:szCs w:val="21"/>
          <w:color w:val="auto"/>
        </w:rPr>
        <w:t>]</w:t>
      </w:r>
    </w:p>
    <w:p>
      <w:pPr>
        <w:sectPr>
          <w:pgSz w:w="11900" w:h="16838" w:orient="portrait"/>
          <w:cols w:equalWidth="0" w:num="1">
            <w:col w:w="10119"/>
          </w:cols>
          <w:pgMar w:left="340" w:top="1418" w:right="1440" w:bottom="1440" w:gutter="0" w:footer="0" w:header="0"/>
        </w:sectPr>
      </w:pPr>
    </w:p>
    <w:bookmarkStart w:id="379" w:name="page380"/>
    <w:bookmarkEnd w:id="379"/>
    <w:p>
      <w:pPr>
        <w:ind w:left="9960"/>
        <w:spacing w:after="0"/>
        <w:rPr>
          <w:sz w:val="20"/>
          <w:szCs w:val="20"/>
          <w:color w:val="auto"/>
        </w:rPr>
      </w:pPr>
      <w:r>
        <w:rPr>
          <w:rFonts w:ascii="Arial" w:cs="Arial" w:eastAsia="Arial" w:hAnsi="Arial"/>
          <w:sz w:val="20"/>
          <w:szCs w:val="20"/>
          <w:b w:val="1"/>
          <w:bCs w:val="1"/>
          <w:color w:val="auto"/>
        </w:rPr>
        <w:t>SCHEDULE I</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9"/>
          <w:szCs w:val="19"/>
          <w:b w:val="1"/>
          <w:bCs w:val="1"/>
          <w:color w:val="auto"/>
        </w:rPr>
        <w:t>Number of Firm Shares to  Number of Additional Shares to Be</w:t>
      </w:r>
    </w:p>
    <w:p>
      <w:pPr>
        <w:spacing w:after="0" w:line="50" w:lineRule="exact"/>
        <w:rPr>
          <w:sz w:val="20"/>
          <w:szCs w:val="20"/>
          <w:color w:val="auto"/>
        </w:rPr>
      </w:pPr>
    </w:p>
    <w:p>
      <w:pPr>
        <w:ind w:left="1900"/>
        <w:spacing w:after="0"/>
        <w:tabs>
          <w:tab w:leader="none" w:pos="6440" w:val="left"/>
          <w:tab w:leader="none" w:pos="9420" w:val="left"/>
        </w:tabs>
        <w:rPr>
          <w:sz w:val="20"/>
          <w:szCs w:val="20"/>
          <w:color w:val="auto"/>
        </w:rPr>
      </w:pPr>
      <w:r>
        <w:rPr>
          <w:rFonts w:ascii="Arial" w:cs="Arial" w:eastAsia="Arial" w:hAnsi="Arial"/>
          <w:sz w:val="21"/>
          <w:szCs w:val="21"/>
          <w:b w:val="1"/>
          <w:bCs w:val="1"/>
          <w:color w:val="auto"/>
        </w:rPr>
        <w:t>Selling Stockholder</w:t>
      </w:r>
      <w:r>
        <w:rPr>
          <w:sz w:val="20"/>
          <w:szCs w:val="20"/>
          <w:color w:val="auto"/>
        </w:rPr>
        <w:tab/>
      </w:r>
      <w:r>
        <w:rPr>
          <w:rFonts w:ascii="Arial" w:cs="Arial" w:eastAsia="Arial" w:hAnsi="Arial"/>
          <w:sz w:val="21"/>
          <w:szCs w:val="21"/>
          <w:b w:val="1"/>
          <w:bCs w:val="1"/>
          <w:color w:val="auto"/>
        </w:rPr>
        <w:t>Be Sold</w:t>
      </w:r>
      <w:r>
        <w:rPr>
          <w:sz w:val="20"/>
          <w:szCs w:val="20"/>
          <w:color w:val="auto"/>
        </w:rPr>
        <w:tab/>
      </w:r>
      <w:r>
        <w:rPr>
          <w:rFonts w:ascii="Arial" w:cs="Arial" w:eastAsia="Arial" w:hAnsi="Arial"/>
          <w:sz w:val="18"/>
          <w:szCs w:val="18"/>
          <w:b w:val="1"/>
          <w:bCs w:val="1"/>
          <w:color w:val="auto"/>
        </w:rPr>
        <w:t>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wp:posOffset>
            </wp:positionV>
            <wp:extent cx="71386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40" w:top="1361" w:right="33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Carlyle Partners VI Evergreen Holdings, L.P.</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Carlyle Partners VI Dash Holdings,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CP VI Evergreen Holdings,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TA XI DO AIV,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TA SDF III DO AIV,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TA Atlantic and Pacific VII-A,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TA Investors IV,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TA SDF III DO AIV II,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TA XI DO AIV II, L.P.</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TA AP VII-B DO Subsidiary Partnership, L.P.</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TA SDF III DO Feeder,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TA XI DO Feeder,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TA Atlantic &amp; Pacific VII-B,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22C Magellan Holdings LLC</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22C Capital I-A, L.P.</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FiveW DiscoverOrg LLC</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D. Randall Winn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Total: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296"/>
        </w:trPr>
        <w:tc>
          <w:tcPr>
            <w:tcW w:w="3960" w:type="dxa"/>
            <w:vAlign w:val="bottom"/>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Pr>
          <w:p>
            <w:pPr>
              <w:ind w:left="1440"/>
              <w:spacing w:after="0"/>
              <w:rPr>
                <w:sz w:val="20"/>
                <w:szCs w:val="20"/>
                <w:color w:val="auto"/>
              </w:rPr>
            </w:pPr>
            <w:r>
              <w:rPr>
                <w:rFonts w:ascii="Arial" w:cs="Arial" w:eastAsia="Arial" w:hAnsi="Arial"/>
                <w:sz w:val="21"/>
                <w:szCs w:val="21"/>
                <w:color w:val="auto"/>
                <w:w w:val="99"/>
              </w:rPr>
              <w:t>[ l ]</w:t>
            </w:r>
          </w:p>
        </w:tc>
      </w:tr>
      <w:tr>
        <w:trPr>
          <w:trHeight w:val="304"/>
        </w:trPr>
        <w:tc>
          <w:tcPr>
            <w:tcW w:w="3960" w:type="dxa"/>
            <w:vAlign w:val="bottom"/>
            <w:tcBorders>
              <w:bottom w:val="single" w:sz="8" w:color="auto"/>
            </w:tcBorders>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Borders>
              <w:bottom w:val="single" w:sz="8" w:color="auto"/>
            </w:tcBorders>
          </w:tcPr>
          <w:p>
            <w:pPr>
              <w:ind w:left="1440"/>
              <w:spacing w:after="0"/>
              <w:rPr>
                <w:sz w:val="20"/>
                <w:szCs w:val="20"/>
                <w:color w:val="auto"/>
              </w:rPr>
            </w:pPr>
            <w:r>
              <w:rPr>
                <w:rFonts w:ascii="Arial" w:cs="Arial" w:eastAsia="Arial" w:hAnsi="Arial"/>
                <w:sz w:val="21"/>
                <w:szCs w:val="21"/>
                <w:color w:val="auto"/>
                <w:w w:val="99"/>
              </w:rPr>
              <w:t>[ l ]</w:t>
            </w:r>
          </w:p>
        </w:tc>
      </w:tr>
      <w:tr>
        <w:trPr>
          <w:trHeight w:val="289"/>
        </w:trPr>
        <w:tc>
          <w:tcPr>
            <w:tcW w:w="3960" w:type="dxa"/>
            <w:vAlign w:val="bottom"/>
            <w:tcBorders>
              <w:bottom w:val="single" w:sz="8" w:color="auto"/>
            </w:tcBorders>
          </w:tcPr>
          <w:p>
            <w:pPr>
              <w:ind w:left="2240"/>
              <w:spacing w:after="0"/>
              <w:rPr>
                <w:sz w:val="20"/>
                <w:szCs w:val="20"/>
                <w:color w:val="auto"/>
              </w:rPr>
            </w:pPr>
            <w:r>
              <w:rPr>
                <w:rFonts w:ascii="Arial" w:cs="Arial" w:eastAsia="Arial" w:hAnsi="Arial"/>
                <w:sz w:val="21"/>
                <w:szCs w:val="21"/>
                <w:color w:val="auto"/>
              </w:rPr>
              <w:t>[ l ]</w:t>
            </w:r>
          </w:p>
        </w:tc>
        <w:tc>
          <w:tcPr>
            <w:tcW w:w="1740" w:type="dxa"/>
            <w:vAlign w:val="bottom"/>
            <w:tcBorders>
              <w:bottom w:val="single" w:sz="8" w:color="auto"/>
            </w:tcBorders>
          </w:tcPr>
          <w:p>
            <w:pPr>
              <w:ind w:left="1440"/>
              <w:spacing w:after="0"/>
              <w:rPr>
                <w:sz w:val="20"/>
                <w:szCs w:val="20"/>
                <w:color w:val="auto"/>
              </w:rPr>
            </w:pPr>
            <w:r>
              <w:rPr>
                <w:rFonts w:ascii="Arial" w:cs="Arial" w:eastAsia="Arial" w:hAnsi="Arial"/>
                <w:sz w:val="21"/>
                <w:szCs w:val="21"/>
                <w:color w:val="auto"/>
                <w:w w:val="99"/>
              </w:rPr>
              <w:t>[ l ]</w:t>
            </w:r>
          </w:p>
        </w:tc>
      </w:tr>
      <w:tr>
        <w:trPr>
          <w:trHeight w:val="26"/>
        </w:trPr>
        <w:tc>
          <w:tcPr>
            <w:tcW w:w="39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800" w:space="720"/>
            <w:col w:w="5700"/>
          </w:cols>
          <w:pgMar w:left="340" w:top="13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I-1</w:t>
      </w:r>
    </w:p>
    <w:p>
      <w:pPr>
        <w:sectPr>
          <w:pgSz w:w="11900" w:h="16838" w:orient="portrait"/>
          <w:cols w:equalWidth="0" w:num="1">
            <w:col w:w="11220"/>
          </w:cols>
          <w:pgMar w:left="340" w:top="1361" w:right="339" w:bottom="1440" w:gutter="0" w:footer="0" w:header="0"/>
          <w:type w:val="continuous"/>
        </w:sectPr>
      </w:pPr>
    </w:p>
    <w:bookmarkStart w:id="380" w:name="page381"/>
    <w:bookmarkEnd w:id="380"/>
    <w:tbl>
      <w:tblPr>
        <w:tblLayout w:type="fixed"/>
        <w:tblInd w:w="0" w:type="dxa"/>
        <w:tblCellMar>
          <w:top w:w="0" w:type="dxa"/>
          <w:left w:w="0" w:type="dxa"/>
          <w:bottom w:w="0" w:type="dxa"/>
          <w:right w:w="0" w:type="dxa"/>
        </w:tblCellMar>
      </w:tblPr>
      <w:tr>
        <w:trPr>
          <w:trHeight w:val="270"/>
        </w:trPr>
        <w:tc>
          <w:tcPr>
            <w:tcW w:w="7720" w:type="dxa"/>
            <w:vAlign w:val="bottom"/>
          </w:tcPr>
          <w:p>
            <w:pPr>
              <w:spacing w:after="0"/>
              <w:rPr>
                <w:sz w:val="23"/>
                <w:szCs w:val="23"/>
                <w:color w:val="auto"/>
              </w:rPr>
            </w:pPr>
          </w:p>
        </w:tc>
        <w:tc>
          <w:tcPr>
            <w:tcW w:w="3520" w:type="dxa"/>
            <w:vAlign w:val="bottom"/>
          </w:tcPr>
          <w:p>
            <w:pPr>
              <w:ind w:left="2180"/>
              <w:spacing w:after="0"/>
              <w:rPr>
                <w:sz w:val="20"/>
                <w:szCs w:val="20"/>
                <w:color w:val="auto"/>
              </w:rPr>
            </w:pPr>
            <w:r>
              <w:rPr>
                <w:rFonts w:ascii="Arial" w:cs="Arial" w:eastAsia="Arial" w:hAnsi="Arial"/>
                <w:sz w:val="21"/>
                <w:szCs w:val="21"/>
                <w:b w:val="1"/>
                <w:bCs w:val="1"/>
                <w:color w:val="auto"/>
                <w:w w:val="99"/>
              </w:rPr>
              <w:t>SCHEDULE II</w:t>
            </w:r>
          </w:p>
        </w:tc>
      </w:tr>
      <w:tr>
        <w:trPr>
          <w:trHeight w:val="477"/>
        </w:trPr>
        <w:tc>
          <w:tcPr>
            <w:tcW w:w="7720" w:type="dxa"/>
            <w:vAlign w:val="bottom"/>
          </w:tcPr>
          <w:p>
            <w:pPr>
              <w:spacing w:after="0"/>
              <w:rPr>
                <w:sz w:val="24"/>
                <w:szCs w:val="24"/>
                <w:color w:val="auto"/>
              </w:rPr>
            </w:pPr>
          </w:p>
        </w:tc>
        <w:tc>
          <w:tcPr>
            <w:tcW w:w="3520" w:type="dxa"/>
            <w:vAlign w:val="bottom"/>
          </w:tcPr>
          <w:p>
            <w:pPr>
              <w:ind w:left="460"/>
              <w:spacing w:after="0"/>
              <w:rPr>
                <w:sz w:val="20"/>
                <w:szCs w:val="20"/>
                <w:color w:val="auto"/>
              </w:rPr>
            </w:pPr>
            <w:r>
              <w:rPr>
                <w:rFonts w:ascii="Arial" w:cs="Arial" w:eastAsia="Arial" w:hAnsi="Arial"/>
                <w:sz w:val="21"/>
                <w:szCs w:val="21"/>
                <w:b w:val="1"/>
                <w:bCs w:val="1"/>
                <w:color w:val="auto"/>
              </w:rPr>
              <w:t>Number of Firm Shares to Be</w:t>
            </w:r>
          </w:p>
        </w:tc>
      </w:tr>
      <w:tr>
        <w:trPr>
          <w:trHeight w:val="278"/>
        </w:trPr>
        <w:tc>
          <w:tcPr>
            <w:tcW w:w="7720" w:type="dxa"/>
            <w:vAlign w:val="bottom"/>
            <w:tcBorders>
              <w:bottom w:val="single" w:sz="8" w:color="auto"/>
            </w:tcBorders>
          </w:tcPr>
          <w:p>
            <w:pPr>
              <w:ind w:left="3320"/>
              <w:spacing w:after="0"/>
              <w:rPr>
                <w:sz w:val="20"/>
                <w:szCs w:val="20"/>
                <w:color w:val="auto"/>
              </w:rPr>
            </w:pPr>
            <w:r>
              <w:rPr>
                <w:rFonts w:ascii="Arial" w:cs="Arial" w:eastAsia="Arial" w:hAnsi="Arial"/>
                <w:sz w:val="21"/>
                <w:szCs w:val="21"/>
                <w:b w:val="1"/>
                <w:bCs w:val="1"/>
                <w:color w:val="auto"/>
              </w:rPr>
              <w:t>Underwriter</w:t>
            </w:r>
          </w:p>
        </w:tc>
        <w:tc>
          <w:tcPr>
            <w:tcW w:w="3520" w:type="dxa"/>
            <w:vAlign w:val="bottom"/>
            <w:tcBorders>
              <w:bottom w:val="single" w:sz="8" w:color="auto"/>
            </w:tcBorders>
          </w:tcPr>
          <w:p>
            <w:pPr>
              <w:ind w:left="1300"/>
              <w:spacing w:after="0"/>
              <w:rPr>
                <w:sz w:val="20"/>
                <w:szCs w:val="20"/>
                <w:color w:val="auto"/>
              </w:rPr>
            </w:pPr>
            <w:r>
              <w:rPr>
                <w:rFonts w:ascii="Arial" w:cs="Arial" w:eastAsia="Arial" w:hAnsi="Arial"/>
                <w:sz w:val="21"/>
                <w:szCs w:val="21"/>
                <w:b w:val="1"/>
                <w:bCs w:val="1"/>
                <w:color w:val="auto"/>
              </w:rPr>
              <w:t>Purchased</w:t>
            </w:r>
          </w:p>
        </w:tc>
      </w:tr>
      <w:tr>
        <w:trPr>
          <w:trHeight w:val="281"/>
        </w:trPr>
        <w:tc>
          <w:tcPr>
            <w:tcW w:w="7720" w:type="dxa"/>
            <w:vAlign w:val="bottom"/>
          </w:tcPr>
          <w:p>
            <w:pPr>
              <w:ind w:left="20"/>
              <w:spacing w:after="0"/>
              <w:rPr>
                <w:sz w:val="20"/>
                <w:szCs w:val="20"/>
                <w:color w:val="auto"/>
              </w:rPr>
            </w:pPr>
            <w:r>
              <w:rPr>
                <w:rFonts w:ascii="Arial" w:cs="Arial" w:eastAsia="Arial" w:hAnsi="Arial"/>
                <w:sz w:val="21"/>
                <w:szCs w:val="21"/>
                <w:color w:val="auto"/>
              </w:rPr>
              <w:t>[J.P. Morgan Securities LLC</w:t>
            </w:r>
          </w:p>
        </w:tc>
        <w:tc>
          <w:tcPr>
            <w:tcW w:w="3520" w:type="dxa"/>
            <w:vAlign w:val="bottom"/>
          </w:tcPr>
          <w:p>
            <w:pPr>
              <w:ind w:left="3220"/>
              <w:spacing w:after="0"/>
              <w:rPr>
                <w:sz w:val="20"/>
                <w:szCs w:val="20"/>
                <w:color w:val="auto"/>
              </w:rPr>
            </w:pPr>
            <w:r>
              <w:rPr>
                <w:rFonts w:ascii="Arial" w:cs="Arial" w:eastAsia="Arial" w:hAnsi="Arial"/>
                <w:sz w:val="21"/>
                <w:szCs w:val="21"/>
                <w:color w:val="auto"/>
                <w:w w:val="99"/>
              </w:rPr>
              <w:t>[ l ]</w:t>
            </w:r>
          </w:p>
        </w:tc>
      </w:tr>
      <w:tr>
        <w:trPr>
          <w:trHeight w:val="296"/>
        </w:trPr>
        <w:tc>
          <w:tcPr>
            <w:tcW w:w="7720" w:type="dxa"/>
            <w:vAlign w:val="bottom"/>
          </w:tcPr>
          <w:p>
            <w:pPr>
              <w:ind w:left="20"/>
              <w:spacing w:after="0"/>
              <w:rPr>
                <w:sz w:val="20"/>
                <w:szCs w:val="20"/>
                <w:color w:val="auto"/>
              </w:rPr>
            </w:pPr>
            <w:r>
              <w:rPr>
                <w:rFonts w:ascii="Arial" w:cs="Arial" w:eastAsia="Arial" w:hAnsi="Arial"/>
                <w:sz w:val="21"/>
                <w:szCs w:val="21"/>
                <w:color w:val="auto"/>
              </w:rPr>
              <w:t>Morgan Stanley &amp; Co. LLC]</w:t>
            </w:r>
          </w:p>
        </w:tc>
        <w:tc>
          <w:tcPr>
            <w:tcW w:w="3520" w:type="dxa"/>
            <w:vAlign w:val="bottom"/>
          </w:tcPr>
          <w:p>
            <w:pPr>
              <w:ind w:left="3220"/>
              <w:spacing w:after="0"/>
              <w:rPr>
                <w:sz w:val="20"/>
                <w:szCs w:val="20"/>
                <w:color w:val="auto"/>
              </w:rPr>
            </w:pPr>
            <w:r>
              <w:rPr>
                <w:rFonts w:ascii="Arial" w:cs="Arial" w:eastAsia="Arial" w:hAnsi="Arial"/>
                <w:sz w:val="21"/>
                <w:szCs w:val="21"/>
                <w:color w:val="auto"/>
                <w:w w:val="99"/>
              </w:rPr>
              <w:t>[ l ]</w:t>
            </w:r>
          </w:p>
        </w:tc>
      </w:tr>
      <w:tr>
        <w:trPr>
          <w:trHeight w:val="296"/>
        </w:trPr>
        <w:tc>
          <w:tcPr>
            <w:tcW w:w="7720" w:type="dxa"/>
            <w:vAlign w:val="bottom"/>
          </w:tcPr>
          <w:p>
            <w:pPr>
              <w:ind w:left="20"/>
              <w:spacing w:after="0"/>
              <w:rPr>
                <w:sz w:val="20"/>
                <w:szCs w:val="20"/>
                <w:color w:val="auto"/>
              </w:rPr>
            </w:pPr>
            <w:r>
              <w:rPr>
                <w:rFonts w:ascii="Arial" w:cs="Arial" w:eastAsia="Arial" w:hAnsi="Arial"/>
                <w:sz w:val="21"/>
                <w:szCs w:val="21"/>
                <w:color w:val="auto"/>
              </w:rPr>
              <w:t>[ l ]</w:t>
            </w:r>
          </w:p>
        </w:tc>
        <w:tc>
          <w:tcPr>
            <w:tcW w:w="3520" w:type="dxa"/>
            <w:vAlign w:val="bottom"/>
          </w:tcPr>
          <w:p>
            <w:pPr>
              <w:ind w:left="3220"/>
              <w:spacing w:after="0"/>
              <w:rPr>
                <w:sz w:val="20"/>
                <w:szCs w:val="20"/>
                <w:color w:val="auto"/>
              </w:rPr>
            </w:pPr>
            <w:r>
              <w:rPr>
                <w:rFonts w:ascii="Arial" w:cs="Arial" w:eastAsia="Arial" w:hAnsi="Arial"/>
                <w:sz w:val="21"/>
                <w:szCs w:val="21"/>
                <w:color w:val="auto"/>
                <w:w w:val="99"/>
              </w:rPr>
              <w:t>[ l ]</w:t>
            </w:r>
          </w:p>
        </w:tc>
      </w:tr>
      <w:tr>
        <w:trPr>
          <w:trHeight w:val="304"/>
        </w:trPr>
        <w:tc>
          <w:tcPr>
            <w:tcW w:w="7720" w:type="dxa"/>
            <w:vAlign w:val="bottom"/>
          </w:tcPr>
          <w:p>
            <w:pPr>
              <w:ind w:left="220"/>
              <w:spacing w:after="0"/>
              <w:rPr>
                <w:sz w:val="20"/>
                <w:szCs w:val="20"/>
                <w:color w:val="auto"/>
              </w:rPr>
            </w:pPr>
            <w:r>
              <w:rPr>
                <w:rFonts w:ascii="Arial" w:cs="Arial" w:eastAsia="Arial" w:hAnsi="Arial"/>
                <w:sz w:val="21"/>
                <w:szCs w:val="21"/>
                <w:color w:val="auto"/>
              </w:rPr>
              <w:t>Total:</w:t>
            </w:r>
          </w:p>
        </w:tc>
        <w:tc>
          <w:tcPr>
            <w:tcW w:w="3520" w:type="dxa"/>
            <w:vAlign w:val="bottom"/>
            <w:tcBorders>
              <w:bottom w:val="single" w:sz="8" w:color="auto"/>
            </w:tcBorders>
          </w:tcPr>
          <w:p>
            <w:pPr>
              <w:ind w:left="3220"/>
              <w:spacing w:after="0"/>
              <w:rPr>
                <w:sz w:val="20"/>
                <w:szCs w:val="20"/>
                <w:color w:val="auto"/>
              </w:rPr>
            </w:pPr>
            <w:r>
              <w:rPr>
                <w:rFonts w:ascii="Arial" w:cs="Arial" w:eastAsia="Arial" w:hAnsi="Arial"/>
                <w:sz w:val="21"/>
                <w:szCs w:val="21"/>
                <w:color w:val="auto"/>
                <w:w w:val="99"/>
              </w:rPr>
              <w:t>[ l ]</w:t>
            </w:r>
          </w:p>
        </w:tc>
      </w:tr>
      <w:tr>
        <w:trPr>
          <w:trHeight w:val="26"/>
        </w:trPr>
        <w:tc>
          <w:tcPr>
            <w:tcW w:w="772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I-1</w:t>
      </w:r>
    </w:p>
    <w:p>
      <w:pPr>
        <w:sectPr>
          <w:pgSz w:w="11900" w:h="16838" w:orient="portrait"/>
          <w:cols w:equalWidth="0" w:num="1">
            <w:col w:w="11240"/>
          </w:cols>
          <w:pgMar w:left="320" w:top="1361" w:right="339" w:bottom="1440" w:gutter="0" w:footer="0" w:header="0"/>
        </w:sectPr>
      </w:pPr>
    </w:p>
    <w:bookmarkStart w:id="381" w:name="page382"/>
    <w:bookmarkEnd w:id="381"/>
    <w:p>
      <w:pPr>
        <w:jc w:val="right"/>
        <w:spacing w:after="0"/>
        <w:rPr>
          <w:sz w:val="20"/>
          <w:szCs w:val="20"/>
          <w:color w:val="auto"/>
        </w:rPr>
      </w:pPr>
      <w:r>
        <w:rPr>
          <w:rFonts w:ascii="Arial" w:cs="Arial" w:eastAsia="Arial" w:hAnsi="Arial"/>
          <w:sz w:val="21"/>
          <w:szCs w:val="21"/>
          <w:b w:val="1"/>
          <w:bCs w:val="1"/>
          <w:color w:val="auto"/>
        </w:rPr>
        <w:t>SCHEDULE III</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Time of Sale Prospectus</w:t>
      </w:r>
    </w:p>
    <w:p>
      <w:pPr>
        <w:spacing w:after="0" w:line="215" w:lineRule="exact"/>
        <w:rPr>
          <w:sz w:val="20"/>
          <w:szCs w:val="20"/>
          <w:color w:val="auto"/>
        </w:rPr>
      </w:pPr>
    </w:p>
    <w:p>
      <w:pPr>
        <w:ind w:left="620" w:hanging="617"/>
        <w:spacing w:after="0"/>
        <w:tabs>
          <w:tab w:leader="none" w:pos="62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Preliminary Prospectus issued [ l ], 2020.</w:t>
      </w:r>
    </w:p>
    <w:p>
      <w:pPr>
        <w:spacing w:after="0" w:line="209" w:lineRule="exact"/>
        <w:rPr>
          <w:rFonts w:ascii="Arial" w:cs="Arial" w:eastAsia="Arial" w:hAnsi="Arial"/>
          <w:sz w:val="21"/>
          <w:szCs w:val="21"/>
          <w:color w:val="auto"/>
        </w:rPr>
      </w:pPr>
    </w:p>
    <w:p>
      <w:pPr>
        <w:ind w:left="620" w:hanging="617"/>
        <w:spacing w:after="0"/>
        <w:tabs>
          <w:tab w:leader="none" w:pos="62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 l ] Firm Shares</w:t>
      </w:r>
    </w:p>
    <w:p>
      <w:pPr>
        <w:spacing w:after="0" w:line="209" w:lineRule="exact"/>
        <w:rPr>
          <w:rFonts w:ascii="Arial" w:cs="Arial" w:eastAsia="Arial" w:hAnsi="Arial"/>
          <w:sz w:val="21"/>
          <w:szCs w:val="21"/>
          <w:color w:val="auto"/>
        </w:rPr>
      </w:pPr>
    </w:p>
    <w:p>
      <w:pPr>
        <w:ind w:left="620" w:right="8800"/>
        <w:spacing w:after="0" w:line="544" w:lineRule="auto"/>
        <w:rPr>
          <w:rFonts w:ascii="Arial" w:cs="Arial" w:eastAsia="Arial" w:hAnsi="Arial"/>
          <w:sz w:val="21"/>
          <w:szCs w:val="21"/>
          <w:color w:val="auto"/>
        </w:rPr>
      </w:pPr>
      <w:r>
        <w:rPr>
          <w:rFonts w:ascii="Arial" w:cs="Arial" w:eastAsia="Arial" w:hAnsi="Arial"/>
          <w:sz w:val="19"/>
          <w:szCs w:val="19"/>
          <w:color w:val="auto"/>
        </w:rPr>
        <w:t>[ l ] Additional Shares $[ l ]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II-1</w:t>
      </w:r>
    </w:p>
    <w:p>
      <w:pPr>
        <w:sectPr>
          <w:pgSz w:w="11900" w:h="16838" w:orient="portrait"/>
          <w:cols w:equalWidth="0" w:num="1">
            <w:col w:w="11240"/>
          </w:cols>
          <w:pgMar w:left="320" w:top="1361" w:right="339" w:bottom="1440" w:gutter="0" w:footer="0" w:header="0"/>
        </w:sectPr>
      </w:pPr>
    </w:p>
    <w:bookmarkStart w:id="382" w:name="page383"/>
    <w:bookmarkEnd w:id="382"/>
    <w:p>
      <w:pPr>
        <w:jc w:val="right"/>
        <w:spacing w:after="0"/>
        <w:rPr>
          <w:sz w:val="20"/>
          <w:szCs w:val="20"/>
          <w:color w:val="auto"/>
        </w:rPr>
      </w:pPr>
      <w:r>
        <w:rPr>
          <w:rFonts w:ascii="Arial" w:cs="Arial" w:eastAsia="Arial" w:hAnsi="Arial"/>
          <w:sz w:val="21"/>
          <w:szCs w:val="21"/>
          <w:b w:val="1"/>
          <w:bCs w:val="1"/>
          <w:color w:val="auto"/>
        </w:rPr>
        <w:t>SCHEDULE IV</w:t>
      </w:r>
    </w:p>
    <w:p>
      <w:pPr>
        <w:spacing w:after="0" w:line="209" w:lineRule="exact"/>
        <w:rPr>
          <w:sz w:val="20"/>
          <w:szCs w:val="20"/>
          <w:color w:val="auto"/>
        </w:rPr>
      </w:pPr>
    </w:p>
    <w:p>
      <w:pPr>
        <w:ind w:left="3780"/>
        <w:spacing w:after="0"/>
        <w:rPr>
          <w:sz w:val="20"/>
          <w:szCs w:val="20"/>
          <w:color w:val="auto"/>
        </w:rPr>
      </w:pPr>
      <w:r>
        <w:rPr>
          <w:rFonts w:ascii="Arial" w:cs="Arial" w:eastAsia="Arial" w:hAnsi="Arial"/>
          <w:sz w:val="21"/>
          <w:szCs w:val="21"/>
          <w:b w:val="1"/>
          <w:bCs w:val="1"/>
          <w:color w:val="auto"/>
        </w:rPr>
        <w:t>Lock-Up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III-1</w:t>
      </w:r>
    </w:p>
    <w:p>
      <w:pPr>
        <w:sectPr>
          <w:pgSz w:w="11900" w:h="16838" w:orient="portrait"/>
          <w:cols w:equalWidth="0" w:num="1">
            <w:col w:w="10120"/>
          </w:cols>
          <w:pgMar w:left="1440" w:top="1361" w:right="339" w:bottom="1440" w:gutter="0" w:footer="0" w:header="0"/>
        </w:sectPr>
      </w:pPr>
    </w:p>
    <w:bookmarkStart w:id="383" w:name="page384"/>
    <w:bookmarkEnd w:id="383"/>
    <w:p>
      <w:pPr>
        <w:jc w:val="right"/>
        <w:spacing w:after="0"/>
        <w:rPr>
          <w:sz w:val="20"/>
          <w:szCs w:val="20"/>
          <w:color w:val="auto"/>
        </w:rPr>
      </w:pPr>
      <w:r>
        <w:rPr>
          <w:rFonts w:ascii="Arial" w:cs="Arial" w:eastAsia="Arial" w:hAnsi="Arial"/>
          <w:sz w:val="21"/>
          <w:szCs w:val="21"/>
          <w:b w:val="1"/>
          <w:bCs w:val="1"/>
          <w:color w:val="auto"/>
        </w:rPr>
        <w:t>EXHIBIT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LOCK-UP AGREEMENT</w:t>
      </w:r>
    </w:p>
    <w:p>
      <w:pPr>
        <w:spacing w:after="0" w:line="200" w:lineRule="exact"/>
        <w:rPr>
          <w:sz w:val="20"/>
          <w:szCs w:val="20"/>
          <w:color w:val="auto"/>
        </w:rPr>
      </w:pPr>
    </w:p>
    <w:p>
      <w:pPr>
        <w:spacing w:after="0" w:line="221"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_____________, 20__</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color w:val="auto"/>
        </w:rPr>
        <w:t>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Morgan Stanley &amp; Co. LLC</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As representatives of the several Underwriters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21"/>
          <w:szCs w:val="21"/>
          <w:color w:val="auto"/>
        </w:rPr>
        <w:t>named in Schedule I to the Underwriting Agreement</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c/o J.P. Morgan Securities LLC</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21"/>
          <w:szCs w:val="21"/>
          <w:color w:val="auto"/>
        </w:rPr>
        <w:t>383 Madison Avenue</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New York, New York 10179</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c/o Morgan Stanley &amp; Co. LLC</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21"/>
          <w:szCs w:val="21"/>
          <w:color w:val="auto"/>
        </w:rPr>
        <w:t>1585 Broadway</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New York, New York 10036</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03" w:lineRule="exact"/>
        <w:rPr>
          <w:sz w:val="20"/>
          <w:szCs w:val="20"/>
          <w:color w:val="auto"/>
        </w:rPr>
      </w:pPr>
    </w:p>
    <w:p>
      <w:pPr>
        <w:ind w:firstLine="618"/>
        <w:spacing w:after="0" w:line="274" w:lineRule="auto"/>
        <w:rPr>
          <w:sz w:val="20"/>
          <w:szCs w:val="20"/>
          <w:color w:val="auto"/>
        </w:rPr>
      </w:pPr>
      <w:r>
        <w:rPr>
          <w:rFonts w:ascii="Arial" w:cs="Arial" w:eastAsia="Arial" w:hAnsi="Arial"/>
          <w:sz w:val="19"/>
          <w:szCs w:val="19"/>
          <w:color w:val="auto"/>
        </w:rPr>
        <w:t>The undersigned understands that [J.P. Morgan Securities LLC and Morgan Stanley &amp; Co. LLC] (the “</w:t>
      </w:r>
      <w:r>
        <w:rPr>
          <w:rFonts w:ascii="Arial" w:cs="Arial" w:eastAsia="Arial" w:hAnsi="Arial"/>
          <w:sz w:val="19"/>
          <w:szCs w:val="19"/>
          <w:b w:val="1"/>
          <w:bCs w:val="1"/>
          <w:color w:val="auto"/>
        </w:rPr>
        <w:t>Representatives</w:t>
      </w:r>
      <w:r>
        <w:rPr>
          <w:rFonts w:ascii="Arial" w:cs="Arial" w:eastAsia="Arial" w:hAnsi="Arial"/>
          <w:sz w:val="19"/>
          <w:szCs w:val="19"/>
          <w:color w:val="auto"/>
        </w:rPr>
        <w:t>”) propose to enter into an underwriting agreement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with ZoomInfo Technologies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ZoomInfo Intermediate Holdings LLC, a Delaware limited liability company (“</w:t>
      </w:r>
      <w:r>
        <w:rPr>
          <w:rFonts w:ascii="Arial" w:cs="Arial" w:eastAsia="Arial" w:hAnsi="Arial"/>
          <w:sz w:val="19"/>
          <w:szCs w:val="19"/>
          <w:b w:val="1"/>
          <w:bCs w:val="1"/>
          <w:color w:val="auto"/>
        </w:rPr>
        <w:t>ZoomInfo HoldCo</w:t>
      </w:r>
      <w:r>
        <w:rPr>
          <w:rFonts w:ascii="Arial" w:cs="Arial" w:eastAsia="Arial" w:hAnsi="Arial"/>
          <w:sz w:val="19"/>
          <w:szCs w:val="19"/>
          <w:color w:val="auto"/>
        </w:rPr>
        <w:t>”), ZoomInfo Holdings LLC, a Delaware limited liability company (“</w:t>
      </w:r>
      <w:r>
        <w:rPr>
          <w:rFonts w:ascii="Arial" w:cs="Arial" w:eastAsia="Arial" w:hAnsi="Arial"/>
          <w:sz w:val="19"/>
          <w:szCs w:val="19"/>
          <w:b w:val="1"/>
          <w:bCs w:val="1"/>
          <w:color w:val="auto"/>
        </w:rPr>
        <w:t>ZoomInfo OpCo</w:t>
      </w:r>
      <w:r>
        <w:rPr>
          <w:rFonts w:ascii="Arial" w:cs="Arial" w:eastAsia="Arial" w:hAnsi="Arial"/>
          <w:sz w:val="19"/>
          <w:szCs w:val="19"/>
          <w:color w:val="auto"/>
        </w:rPr>
        <w:t>”), and the selling stockholders named in Schedule I to the Underwriting Agreement providing for the public offering (the “</w:t>
      </w:r>
      <w:r>
        <w:rPr>
          <w:rFonts w:ascii="Arial" w:cs="Arial" w:eastAsia="Arial" w:hAnsi="Arial"/>
          <w:sz w:val="19"/>
          <w:szCs w:val="19"/>
          <w:b w:val="1"/>
          <w:bCs w:val="1"/>
          <w:color w:val="auto"/>
        </w:rPr>
        <w:t>Public Offering</w:t>
      </w:r>
      <w:r>
        <w:rPr>
          <w:rFonts w:ascii="Arial" w:cs="Arial" w:eastAsia="Arial" w:hAnsi="Arial"/>
          <w:sz w:val="19"/>
          <w:szCs w:val="19"/>
          <w:color w:val="auto"/>
        </w:rPr>
        <w:t>”) by the several Underwriters, including the Representatives (the “</w:t>
      </w:r>
      <w:r>
        <w:rPr>
          <w:rFonts w:ascii="Arial" w:cs="Arial" w:eastAsia="Arial" w:hAnsi="Arial"/>
          <w:sz w:val="19"/>
          <w:szCs w:val="19"/>
          <w:b w:val="1"/>
          <w:bCs w:val="1"/>
          <w:color w:val="auto"/>
        </w:rPr>
        <w:t>Underwriters</w:t>
      </w:r>
      <w:r>
        <w:rPr>
          <w:rFonts w:ascii="Arial" w:cs="Arial" w:eastAsia="Arial" w:hAnsi="Arial"/>
          <w:sz w:val="19"/>
          <w:szCs w:val="19"/>
          <w:color w:val="auto"/>
        </w:rPr>
        <w:t>”), of [ ] shares (the “</w:t>
      </w:r>
      <w:r>
        <w:rPr>
          <w:rFonts w:ascii="Arial" w:cs="Arial" w:eastAsia="Arial" w:hAnsi="Arial"/>
          <w:sz w:val="19"/>
          <w:szCs w:val="19"/>
          <w:b w:val="1"/>
          <w:bCs w:val="1"/>
          <w:color w:val="auto"/>
        </w:rPr>
        <w:t>Shares</w:t>
      </w:r>
      <w:r>
        <w:rPr>
          <w:rFonts w:ascii="Arial" w:cs="Arial" w:eastAsia="Arial" w:hAnsi="Arial"/>
          <w:sz w:val="19"/>
          <w:szCs w:val="19"/>
          <w:color w:val="auto"/>
        </w:rPr>
        <w:t>”) of the Class A common stock of the Company, par value $0.01 per share (the “</w:t>
      </w:r>
      <w:r>
        <w:rPr>
          <w:rFonts w:ascii="Arial" w:cs="Arial" w:eastAsia="Arial" w:hAnsi="Arial"/>
          <w:sz w:val="19"/>
          <w:szCs w:val="19"/>
          <w:b w:val="1"/>
          <w:bCs w:val="1"/>
          <w:color w:val="auto"/>
        </w:rPr>
        <w:t>Class A Common Stock</w:t>
      </w:r>
      <w:r>
        <w:rPr>
          <w:rFonts w:ascii="Arial" w:cs="Arial" w:eastAsia="Arial" w:hAnsi="Arial"/>
          <w:sz w:val="19"/>
          <w:szCs w:val="19"/>
          <w:color w:val="auto"/>
        </w:rPr>
        <w:t>”). The undersigned further understands that the Company is authorized to issue, in addition to the Class A Common Stock, shares of its Class B common stock, par value $0.01 per share (the “</w:t>
      </w:r>
      <w:r>
        <w:rPr>
          <w:rFonts w:ascii="Arial" w:cs="Arial" w:eastAsia="Arial" w:hAnsi="Arial"/>
          <w:sz w:val="19"/>
          <w:szCs w:val="19"/>
          <w:b w:val="1"/>
          <w:bCs w:val="1"/>
          <w:color w:val="auto"/>
        </w:rPr>
        <w:t>Class B Common Stock</w:t>
      </w:r>
      <w:r>
        <w:rPr>
          <w:rFonts w:ascii="Arial" w:cs="Arial" w:eastAsia="Arial" w:hAnsi="Arial"/>
          <w:sz w:val="19"/>
          <w:szCs w:val="19"/>
          <w:color w:val="auto"/>
        </w:rPr>
        <w:t>”), and shares of its Class C common stock, par value $0.01 per share (the “</w:t>
      </w:r>
      <w:r>
        <w:rPr>
          <w:rFonts w:ascii="Arial" w:cs="Arial" w:eastAsia="Arial" w:hAnsi="Arial"/>
          <w:sz w:val="19"/>
          <w:szCs w:val="19"/>
          <w:b w:val="1"/>
          <w:bCs w:val="1"/>
          <w:color w:val="auto"/>
        </w:rPr>
        <w:t>Class C Common Stock</w:t>
      </w:r>
      <w:r>
        <w:rPr>
          <w:rFonts w:ascii="Arial" w:cs="Arial" w:eastAsia="Arial" w:hAnsi="Arial"/>
          <w:sz w:val="19"/>
          <w:szCs w:val="19"/>
          <w:color w:val="auto"/>
        </w:rPr>
        <w:t>” and, together with the Class A Common Stock and the Class B Common Stock, the “</w:t>
      </w:r>
      <w:r>
        <w:rPr>
          <w:rFonts w:ascii="Arial" w:cs="Arial" w:eastAsia="Arial" w:hAnsi="Arial"/>
          <w:sz w:val="19"/>
          <w:szCs w:val="19"/>
          <w:b w:val="1"/>
          <w:bCs w:val="1"/>
          <w:color w:val="auto"/>
        </w:rPr>
        <w:t>Common Stock</w:t>
      </w:r>
      <w:r>
        <w:rPr>
          <w:rFonts w:ascii="Arial" w:cs="Arial" w:eastAsia="Arial" w:hAnsi="Arial"/>
          <w:sz w:val="19"/>
          <w:szCs w:val="19"/>
          <w:color w:val="auto"/>
        </w:rPr>
        <w:t>”). Capitalized terms used herein and not otherwise defined shall have the meanings set forth in the Underwriting Agreement.</w:t>
      </w:r>
    </w:p>
    <w:p>
      <w:pPr>
        <w:spacing w:after="0" w:line="160" w:lineRule="exact"/>
        <w:rPr>
          <w:sz w:val="20"/>
          <w:szCs w:val="20"/>
          <w:color w:val="auto"/>
        </w:rPr>
      </w:pPr>
    </w:p>
    <w:p>
      <w:pPr>
        <w:ind w:right="120" w:firstLine="618"/>
        <w:spacing w:after="0" w:line="248" w:lineRule="auto"/>
        <w:rPr>
          <w:sz w:val="20"/>
          <w:szCs w:val="20"/>
          <w:color w:val="auto"/>
        </w:rPr>
      </w:pPr>
      <w:r>
        <w:rPr>
          <w:rFonts w:ascii="Arial" w:cs="Arial" w:eastAsia="Arial" w:hAnsi="Arial"/>
          <w:sz w:val="21"/>
          <w:szCs w:val="21"/>
          <w:color w:val="auto"/>
        </w:rPr>
        <w:t>To induce the Underwriters that may participate in the Public Offering to continue their efforts in connection with the Public Offering, the undersigned hereby agrees that, without the prior written consent of the Representatives, it will not, and will not publicly disclose an intention to, during the period commencing on the date hereof and ending 60 days after the date of the final prospectus (the “</w:t>
      </w:r>
      <w:r>
        <w:rPr>
          <w:rFonts w:ascii="Arial" w:cs="Arial" w:eastAsia="Arial" w:hAnsi="Arial"/>
          <w:sz w:val="21"/>
          <w:szCs w:val="21"/>
          <w:b w:val="1"/>
          <w:bCs w:val="1"/>
          <w:color w:val="auto"/>
        </w:rPr>
        <w:t>Restricted Period</w:t>
      </w:r>
      <w:r>
        <w:rPr>
          <w:rFonts w:ascii="Arial" w:cs="Arial" w:eastAsia="Arial" w:hAnsi="Arial"/>
          <w:sz w:val="21"/>
          <w:szCs w:val="21"/>
          <w:color w:val="auto"/>
        </w:rPr>
        <w:t>”) relating to the Public Offering (the “</w:t>
      </w:r>
      <w:r>
        <w:rPr>
          <w:rFonts w:ascii="Arial" w:cs="Arial" w:eastAsia="Arial" w:hAnsi="Arial"/>
          <w:sz w:val="21"/>
          <w:szCs w:val="21"/>
          <w:b w:val="1"/>
          <w:bCs w:val="1"/>
          <w:color w:val="auto"/>
        </w:rPr>
        <w:t>Prospectus</w:t>
      </w:r>
      <w:r>
        <w:rPr>
          <w:rFonts w:ascii="Arial" w:cs="Arial" w:eastAsia="Arial" w:hAnsi="Arial"/>
          <w:sz w:val="21"/>
          <w:szCs w:val="21"/>
          <w:color w:val="auto"/>
        </w:rPr>
        <w:t>”), (1) offer, pledge, sell, contract to sell, sell any option or contract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40"/>
          </w:cols>
          <w:pgMar w:left="320" w:top="1361" w:right="339" w:bottom="1440" w:gutter="0" w:footer="0" w:header="0"/>
        </w:sectPr>
      </w:pPr>
    </w:p>
    <w:bookmarkStart w:id="384" w:name="page385"/>
    <w:bookmarkEnd w:id="384"/>
    <w:p>
      <w:pPr>
        <w:ind w:right="20"/>
        <w:spacing w:after="0" w:line="273" w:lineRule="auto"/>
        <w:rPr>
          <w:sz w:val="20"/>
          <w:szCs w:val="20"/>
          <w:color w:val="auto"/>
        </w:rPr>
      </w:pPr>
      <w:r>
        <w:rPr>
          <w:rFonts w:ascii="Arial" w:cs="Arial" w:eastAsia="Arial" w:hAnsi="Arial"/>
          <w:sz w:val="19"/>
          <w:szCs w:val="19"/>
          <w:color w:val="auto"/>
        </w:rPr>
        <w:t>purchase any option or contract to sell, grant any option, right or warrant to purchase, lend or otherwise transfer or dispose of, directly or indirectly, any shares of Class A Common Stock beneficially owned (as such term is used in Rule 13d-3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by the undersigned or any securities so owned convertible into or exercisable or exchangeable for Class A Common Stock, including, for the avoidance of doubt, any shares of Class B Common Stock, shares of Class C Common Stock, HoldCo Units, OpCo Units or Class P units of ZoomInfo OpCo (such shares of Class A Common Stock or other securities, collectively, the “</w:t>
      </w:r>
      <w:r>
        <w:rPr>
          <w:rFonts w:ascii="Arial" w:cs="Arial" w:eastAsia="Arial" w:hAnsi="Arial"/>
          <w:sz w:val="19"/>
          <w:szCs w:val="19"/>
          <w:b w:val="1"/>
          <w:bCs w:val="1"/>
          <w:color w:val="auto"/>
        </w:rPr>
        <w:t>Securities</w:t>
      </w:r>
      <w:r>
        <w:rPr>
          <w:rFonts w:ascii="Arial" w:cs="Arial" w:eastAsia="Arial" w:hAnsi="Arial"/>
          <w:sz w:val="19"/>
          <w:szCs w:val="19"/>
          <w:color w:val="auto"/>
        </w:rPr>
        <w:t>”) or (2) enter into any swap or other arrangement that transfers to another, in whole or in part, any of the economic consequences of ownership of the Securities, whether any such transaction described in clause (1) or (2) above is to be settled by delivery of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Securities, even if any such sale or disposition transaction or transactions would be made or executed by or on behalf of someone other than the undersigned.</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The foregoing restrictions shall not apply to:</w:t>
      </w:r>
    </w:p>
    <w:p>
      <w:pPr>
        <w:spacing w:after="0" w:line="209" w:lineRule="exact"/>
        <w:rPr>
          <w:sz w:val="20"/>
          <w:szCs w:val="20"/>
          <w:color w:val="auto"/>
        </w:rPr>
      </w:pPr>
    </w:p>
    <w:p>
      <w:pPr>
        <w:ind w:left="1860" w:hanging="621"/>
        <w:spacing w:after="0"/>
        <w:tabs>
          <w:tab w:leader="none" w:pos="186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sales of Class A Common Stock by the undersigned to the Underwriters pursuant to the Underwriting</w:t>
      </w:r>
    </w:p>
    <w:p>
      <w:pPr>
        <w:spacing w:after="0" w:line="32"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1"/>
          <w:szCs w:val="21"/>
          <w:color w:val="auto"/>
        </w:rPr>
        <w:t>Agreement;</w:t>
      </w:r>
    </w:p>
    <w:p>
      <w:pPr>
        <w:spacing w:after="0" w:line="191" w:lineRule="exact"/>
        <w:rPr>
          <w:rFonts w:ascii="Arial" w:cs="Arial" w:eastAsia="Arial" w:hAnsi="Arial"/>
          <w:sz w:val="20"/>
          <w:szCs w:val="20"/>
          <w:color w:val="auto"/>
        </w:rPr>
      </w:pPr>
    </w:p>
    <w:p>
      <w:pPr>
        <w:ind w:left="620" w:firstLine="619"/>
        <w:spacing w:after="0" w:line="250" w:lineRule="auto"/>
        <w:tabs>
          <w:tab w:leader="none" w:pos="1852" w:val="left"/>
        </w:tabs>
        <w:numPr>
          <w:ilvl w:val="0"/>
          <w:numId w:val="209"/>
        </w:numPr>
        <w:rPr>
          <w:rFonts w:ascii="Arial" w:cs="Arial" w:eastAsia="Arial" w:hAnsi="Arial"/>
          <w:sz w:val="21"/>
          <w:szCs w:val="21"/>
          <w:color w:val="auto"/>
        </w:rPr>
      </w:pPr>
      <w:r>
        <w:rPr>
          <w:rFonts w:ascii="Arial" w:cs="Arial" w:eastAsia="Arial" w:hAnsi="Arial"/>
          <w:sz w:val="21"/>
          <w:szCs w:val="21"/>
          <w:color w:val="auto"/>
        </w:rPr>
        <w:t>transactions relating to shares of Class A Common Stock acquired in open-market transactions after the completion of the Public Offering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filing under Section 16(a) of the Exchange Act shall be required or shall be voluntarily made during the Restricted Period in connection with subsequent sales of shares of Class A Common Stock acquired in such open-market transactions);</w:t>
      </w:r>
    </w:p>
    <w:p>
      <w:pPr>
        <w:spacing w:after="0" w:line="178" w:lineRule="exact"/>
        <w:rPr>
          <w:rFonts w:ascii="Arial" w:cs="Arial" w:eastAsia="Arial" w:hAnsi="Arial"/>
          <w:sz w:val="21"/>
          <w:szCs w:val="21"/>
          <w:color w:val="auto"/>
        </w:rPr>
      </w:pPr>
    </w:p>
    <w:p>
      <w:pPr>
        <w:ind w:left="620" w:right="60" w:firstLine="619"/>
        <w:spacing w:after="0" w:line="272" w:lineRule="auto"/>
        <w:tabs>
          <w:tab w:leader="none" w:pos="185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transfers of the undersigned’s Securities (i) as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 or for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estate planning purposes, (ii) pursuant to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third-party tender offer, merger, consolidation or similar transaction made to all holders of Class A Common Stock involving a change of control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transaction is not consummated, the undersigned’s Securities shall remain subject to the restrictions set forth herein) (for purposes of this clause (c), “change of control” means any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third-party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or (iii) if the undersigned is a corporation, limited liability company, partnership or other entity, as part of a disposition, transfer or distribution by the undersigned to any Subsidiary, affiliate or investment fund or other entity controlled or managed by, or under common control or management with, the undersigned or to direct or indirect stockholders, members, current or former partners (general or limited), beneficiaries or other equityholders, or to the estates of any such stockholders, partners, beneficiaries or other equityholders of the undersigned or any of their respective affiliates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each donee, transferee or distributee shall sign and deliver a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00"/>
          </w:cols>
          <w:pgMar w:left="320" w:top="1367" w:right="379" w:bottom="1440" w:gutter="0" w:footer="0" w:header="0"/>
        </w:sectPr>
      </w:pPr>
    </w:p>
    <w:bookmarkStart w:id="385" w:name="page386"/>
    <w:bookmarkEnd w:id="385"/>
    <w:p>
      <w:pPr>
        <w:ind w:right="120"/>
        <w:spacing w:after="0" w:line="257" w:lineRule="auto"/>
        <w:rPr>
          <w:sz w:val="20"/>
          <w:szCs w:val="20"/>
          <w:color w:val="auto"/>
        </w:rPr>
      </w:pPr>
      <w:r>
        <w:rPr>
          <w:rFonts w:ascii="Arial" w:cs="Arial" w:eastAsia="Arial" w:hAnsi="Arial"/>
          <w:sz w:val="21"/>
          <w:szCs w:val="21"/>
          <w:color w:val="auto"/>
        </w:rPr>
        <w:t>agreement substantially in the form of this letter agreement (this “</w:t>
      </w:r>
      <w:r>
        <w:rPr>
          <w:rFonts w:ascii="Arial" w:cs="Arial" w:eastAsia="Arial" w:hAnsi="Arial"/>
          <w:sz w:val="21"/>
          <w:szCs w:val="21"/>
          <w:b w:val="1"/>
          <w:bCs w:val="1"/>
          <w:color w:val="auto"/>
        </w:rPr>
        <w:t>Lock-Up Agreement</w:t>
      </w:r>
      <w:r>
        <w:rPr>
          <w:rFonts w:ascii="Arial" w:cs="Arial" w:eastAsia="Arial" w:hAnsi="Arial"/>
          <w:sz w:val="21"/>
          <w:szCs w:val="21"/>
          <w:color w:val="auto"/>
        </w:rPr>
        <w:t>”) and (y) no filing under Section 16(a) of the Exchange Act reporting a reduction in beneficial ownership of Securities shall be required or shall be voluntarily made during the Restricted Period);</w:t>
      </w:r>
    </w:p>
    <w:p>
      <w:pPr>
        <w:spacing w:after="0" w:line="151" w:lineRule="exact"/>
        <w:rPr>
          <w:sz w:val="20"/>
          <w:szCs w:val="20"/>
          <w:color w:val="auto"/>
        </w:rPr>
      </w:pPr>
    </w:p>
    <w:p>
      <w:pPr>
        <w:ind w:right="100" w:firstLine="619"/>
        <w:spacing w:after="0" w:line="276" w:lineRule="auto"/>
        <w:tabs>
          <w:tab w:leader="none" w:pos="123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the establishment of a trading plan pursuant to Rule 10b5-1 under the Exchange Act (a “</w:t>
      </w:r>
      <w:r>
        <w:rPr>
          <w:rFonts w:ascii="Arial" w:cs="Arial" w:eastAsia="Arial" w:hAnsi="Arial"/>
          <w:sz w:val="18"/>
          <w:szCs w:val="18"/>
          <w:b w:val="1"/>
          <w:bCs w:val="1"/>
          <w:color w:val="auto"/>
        </w:rPr>
        <w:t>Rule 10b5-1 Plan</w:t>
      </w:r>
      <w:r>
        <w:rPr>
          <w:rFonts w:ascii="Arial" w:cs="Arial" w:eastAsia="Arial" w:hAnsi="Arial"/>
          <w:sz w:val="18"/>
          <w:szCs w:val="18"/>
          <w:color w:val="auto"/>
        </w:rPr>
        <w:t>”) for the transfer of shares of Class A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Class A Common Stock during the Restricted Period and (ii) to the extent a public announcement or filing under the Exchange Act, if any, is required of or voluntarily made during the Restricted Period by or on behalf of the undersigned or the Company regarding the establishment of such plan, such announcement or filing shall include a statement to the effect that no transfer of Class A Common Stock may be made under such plan during the Restricted Period) or (ii) any transaction effectuated pursuant to a Rule 10b5-1 Plan that has been entered into by the undersigned, and only shares scheduled for sale thereunder, prior to the date of this Lock-Up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existence of such Rule 10b5-1 Trading Plan were communicated to the Representatives prior to the execution of this Lock-Up Agreement, (ii) such Rule 10b5-1 Trading Plan will not be amended or otherwise modified to increase shares scheduled for sale thereunder during the Restricted Period and (iii) any filing under Section 16(a) of the Exchange Act specifies that the sale was made pursuant to such Rule 10b5-1 Trading Plan);</w:t>
      </w:r>
    </w:p>
    <w:p>
      <w:pPr>
        <w:spacing w:after="0" w:line="182" w:lineRule="exact"/>
        <w:rPr>
          <w:rFonts w:ascii="Arial" w:cs="Arial" w:eastAsia="Arial" w:hAnsi="Arial"/>
          <w:sz w:val="18"/>
          <w:szCs w:val="18"/>
          <w:color w:val="auto"/>
        </w:rPr>
      </w:pPr>
    </w:p>
    <w:p>
      <w:pPr>
        <w:ind w:firstLine="619"/>
        <w:spacing w:after="0" w:line="289" w:lineRule="auto"/>
        <w:tabs>
          <w:tab w:leader="none" w:pos="123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exchange or redemption of any (x) shares of Class C Common Stock or (y) HoldCo Units, OpCo Units, vested Class P units in ZoomInfo OpCo, vested common units in HSKB, vested phantom units in HSKB or vested common units in HSKB II with a corresponding number of shares of Class B Common Stock (or securities convertible into or exercisable or exchangeable for Class C Common Stock, HoldCo Units or OpCo Units) for shares of Class A Common Stock (or securities convertible into or exercisable or exchangeable for Class A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shares of Class A Common Stock and other securities remain subject to the terms of this Lock-Up Agreement and (ii) to the extent a public announcement or filing under the Exchange Act, if any, is required of or voluntarily made by or on behalf of the undersigned or the Company regarding the exchange or redemption, such announcement or filing shall include a statement to the effect that such exchange occurred pursuant to the Amended and Restated Charter, the ZoomInfo HoldCo LLC Agreement or the ZoomInfo OpCo LLC Agreement, in each case, as described in the Registration Statement, the Time of Sale Prospectus and the Prospectus that is in effect on or prior to the Closing Date, and no transfer of the shares of Class A Common Stock or other securities received upon exchange may be made during the Restricted Period other than pursuant to clause (c) above);</w:t>
      </w:r>
    </w:p>
    <w:p>
      <w:pPr>
        <w:spacing w:after="0" w:line="151" w:lineRule="exact"/>
        <w:rPr>
          <w:rFonts w:ascii="Arial" w:cs="Arial" w:eastAsia="Arial" w:hAnsi="Arial"/>
          <w:sz w:val="18"/>
          <w:szCs w:val="18"/>
          <w:color w:val="auto"/>
        </w:rPr>
      </w:pPr>
    </w:p>
    <w:p>
      <w:pPr>
        <w:ind w:firstLine="619"/>
        <w:spacing w:after="0" w:line="267" w:lineRule="auto"/>
        <w:tabs>
          <w:tab w:leader="none" w:pos="1236"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transfer of shares of Class A Common Stock to the Company pursuant to the “cashless” exercise at expiration of options granted pursuant to any employee equity incentive plan of the Company outstanding on or prior to the Closing Date and referred to in the Registration Statement, the Time of Sale Prospectus and the Prospectus (each, an “</w:t>
      </w:r>
      <w:r>
        <w:rPr>
          <w:rFonts w:ascii="Arial" w:cs="Arial" w:eastAsia="Arial" w:hAnsi="Arial"/>
          <w:sz w:val="20"/>
          <w:szCs w:val="20"/>
          <w:b w:val="1"/>
          <w:bCs w:val="1"/>
          <w:color w:val="auto"/>
        </w:rPr>
        <w:t>Incentive Plan</w:t>
      </w:r>
      <w:r>
        <w:rPr>
          <w:rFonts w:ascii="Arial" w:cs="Arial" w:eastAsia="Arial" w:hAnsi="Arial"/>
          <w:sz w:val="20"/>
          <w:szCs w:val="20"/>
          <w:color w:val="auto"/>
        </w:rPr>
        <w: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a public announcement or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0580"/>
          </w:cols>
          <w:pgMar w:left="940" w:top="1361" w:right="379" w:bottom="1440" w:gutter="0" w:footer="0" w:header="0"/>
        </w:sectPr>
      </w:pPr>
    </w:p>
    <w:bookmarkStart w:id="386" w:name="page387"/>
    <w:bookmarkEnd w:id="386"/>
    <w:p>
      <w:pPr>
        <w:ind w:left="620" w:right="260"/>
        <w:spacing w:after="0" w:line="254" w:lineRule="auto"/>
        <w:rPr>
          <w:sz w:val="20"/>
          <w:szCs w:val="20"/>
          <w:color w:val="auto"/>
        </w:rPr>
      </w:pPr>
      <w:r>
        <w:rPr>
          <w:rFonts w:ascii="Arial" w:cs="Arial" w:eastAsia="Arial" w:hAnsi="Arial"/>
          <w:sz w:val="21"/>
          <w:szCs w:val="21"/>
          <w:color w:val="auto"/>
        </w:rPr>
        <w:t>under the Exchange Act, if any, is required of or voluntarily made during the Restricted Period by or on behalf of the undersigned or the Company regarding the same, such announcement or filing shall include a statement to the effect that such transactions relate to such “cashless” exercise of options); or</w:t>
      </w:r>
    </w:p>
    <w:p>
      <w:pPr>
        <w:spacing w:after="0" w:line="173" w:lineRule="exact"/>
        <w:rPr>
          <w:sz w:val="20"/>
          <w:szCs w:val="20"/>
          <w:color w:val="auto"/>
        </w:rPr>
      </w:pPr>
    </w:p>
    <w:p>
      <w:pPr>
        <w:ind w:left="620" w:right="120" w:firstLine="619"/>
        <w:spacing w:after="0" w:line="300" w:lineRule="auto"/>
        <w:tabs>
          <w:tab w:leader="none" w:pos="185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transfers of shares of Class A Common Stock to the Company in respect of tax withholding payments due upon the exercise at expiration of options or the vesting of equity-based awards pursuant to any Incentive Plan, in each case made on a “cashless”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extent a public announcement or filing under the Exchange Act, if any, is required of or voluntarily made during the Restricted Period by or on behalf of the undersigned or the Company regarding the same, such announcement or filing shall include a statement to the effect that transactions relate to such tax withholding payments).</w:t>
      </w:r>
    </w:p>
    <w:p>
      <w:pPr>
        <w:spacing w:after="0" w:line="136" w:lineRule="exact"/>
        <w:rPr>
          <w:sz w:val="20"/>
          <w:szCs w:val="20"/>
          <w:color w:val="auto"/>
        </w:rPr>
      </w:pPr>
    </w:p>
    <w:p>
      <w:pPr>
        <w:ind w:firstLine="618"/>
        <w:spacing w:after="0" w:line="286" w:lineRule="auto"/>
        <w:rPr>
          <w:sz w:val="20"/>
          <w:szCs w:val="20"/>
          <w:color w:val="auto"/>
        </w:rPr>
      </w:pPr>
      <w:r>
        <w:rPr>
          <w:rFonts w:ascii="Arial" w:cs="Arial" w:eastAsia="Arial" w:hAnsi="Arial"/>
          <w:sz w:val="18"/>
          <w:szCs w:val="18"/>
          <w:color w:val="auto"/>
        </w:rPr>
        <w:t>[In addition, the Representatives agree that should a discretionary release or waiver be granted to any officer or director of the Company, or any holder of 1% or more of the shares of Class A Common Stock immediately prior to the Public Offering (calculated on an as-converted, fully diluted basis and as of the close of business on the date of the Prospectus), other than the undersigned, then the undersigned will be released from the restrictions set forth in this Lock-Up Agreement subject to the same terms and conditions as the releasee and as to the same percentage of shares of Class A Common Stock (or securities convertible into or exercisable or exchangeable for Class A Common Stock) held by the undersigned as is held by the releasee (calculated on an as-converted basis, fully diluted basis as of the close of business on the date of the Prospectus). The Representatives shall provide at least three business days’ written notice to the Chief Financial Officer of the Company prior to the effective date of any such release or waiver under this Lock-Up Agreement (the effective date of such release or waiver, the “</w:t>
      </w:r>
      <w:r>
        <w:rPr>
          <w:rFonts w:ascii="Arial" w:cs="Arial" w:eastAsia="Arial" w:hAnsi="Arial"/>
          <w:sz w:val="18"/>
          <w:szCs w:val="18"/>
          <w:b w:val="1"/>
          <w:bCs w:val="1"/>
          <w:color w:val="auto"/>
        </w:rPr>
        <w:t>Release Date</w:t>
      </w:r>
      <w:r>
        <w:rPr>
          <w:rFonts w:ascii="Arial" w:cs="Arial" w:eastAsia="Arial" w:hAnsi="Arial"/>
          <w:sz w:val="18"/>
          <w:szCs w:val="18"/>
          <w:color w:val="auto"/>
        </w:rPr>
        <w:t xml:space="preserve">”), stating the percentage of shares of Class A Common Stock held by such person or entity to be released;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to provide such notice shall not give rise to any claim or liability against the Representatives or the other Underwriters. The Company shall, within four business days thereafter, send written notice to the undersigned stating the same percentage of shares of Class A Common Stock (or securities convertible into or exercisable or exchangeable for Class A Common Stock) held by the undersigned as is held by the releasee on an as-converted basis shall be released from the restrictions set forth herein on the Release Date. The foregoing shall not apply to any release or waiver granted (a) solely to permit a transfer not for consideration, (b) by the Representatives in their sole judgment that a record or beneficial owner of any securities should be granted an early release from a lock-up agreement due to circumstances of an emergency or hardship, (c) in connection with a registration statement filed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undersigned has been given an opportunity to participate with other selling stockholders in such public offering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and in the event the underwriters of such offering make the determination to cut back the number of securities to be sold by stockholders in such offering, such cut back shall be applied to the undersigned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other holders proposing to sell securities in such offering) or (d) with respect to shares of Class A Common Stock (or securities convertible into or exercisable or exchangeable for Class A Common Stock) with a value of $1,000,000 or less, whether in one or multiple releases. For the avoidance of doubt, this paragraph shall not apply to any waiver or release of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A-4</w:t>
      </w:r>
    </w:p>
    <w:p>
      <w:pPr>
        <w:sectPr>
          <w:pgSz w:w="11900" w:h="16838" w:orient="portrait"/>
          <w:cols w:equalWidth="0" w:num="1">
            <w:col w:w="11240"/>
          </w:cols>
          <w:pgMar w:left="320" w:top="1367" w:right="339" w:bottom="1440" w:gutter="0" w:footer="0" w:header="0"/>
        </w:sectPr>
      </w:pPr>
    </w:p>
    <w:bookmarkStart w:id="387" w:name="page388"/>
    <w:bookmarkEnd w:id="387"/>
    <w:p>
      <w:pPr>
        <w:ind w:right="620"/>
        <w:spacing w:after="0" w:line="265" w:lineRule="auto"/>
        <w:rPr>
          <w:sz w:val="20"/>
          <w:szCs w:val="20"/>
          <w:color w:val="auto"/>
        </w:rPr>
      </w:pPr>
      <w:r>
        <w:rPr>
          <w:rFonts w:ascii="Arial" w:cs="Arial" w:eastAsia="Arial" w:hAnsi="Arial"/>
          <w:sz w:val="21"/>
          <w:szCs w:val="21"/>
          <w:color w:val="auto"/>
        </w:rPr>
        <w:t>provisions with the Company or the Representatives to the extent that the transfer permitted by such waiver or release would be permitted under this Lock-Up Agreement.]</w:t>
      </w:r>
      <w:r>
        <w:rPr>
          <w:rFonts w:ascii="Arial" w:cs="Arial" w:eastAsia="Arial" w:hAnsi="Arial"/>
          <w:sz w:val="11"/>
          <w:szCs w:val="11"/>
          <w:color w:val="auto"/>
        </w:rPr>
        <w:t>1</w:t>
      </w:r>
    </w:p>
    <w:p>
      <w:pPr>
        <w:spacing w:after="0" w:line="162" w:lineRule="exact"/>
        <w:rPr>
          <w:sz w:val="20"/>
          <w:szCs w:val="20"/>
          <w:color w:val="auto"/>
        </w:rPr>
      </w:pPr>
    </w:p>
    <w:p>
      <w:pPr>
        <w:ind w:firstLine="618"/>
        <w:spacing w:after="0" w:line="262" w:lineRule="auto"/>
        <w:rPr>
          <w:sz w:val="20"/>
          <w:szCs w:val="20"/>
          <w:color w:val="auto"/>
        </w:rPr>
      </w:pPr>
      <w:r>
        <w:rPr>
          <w:rFonts w:ascii="Arial" w:cs="Arial" w:eastAsia="Arial" w:hAnsi="Arial"/>
          <w:sz w:val="20"/>
          <w:szCs w:val="20"/>
          <w:color w:val="auto"/>
        </w:rPr>
        <w:t xml:space="preserve">Notwithstanding anything to the contrary in this Lock-Up Agreement, the restrictions set forth in this Lock-Up Agreement shall not apply to the exercise of any right with respect to a registration of any Securities;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transfer of the undersigned’s Securities proposed to be registered pursuant to the exercise of such rights under this paragraph shall occur, and no registration statement shall be publicly filed or announced, during the Restricted Period. In addition, the undersigned agrees and consents to the entry of stop transfer instructions with the Company’s transfer agent and registrar against the transfer of the undersigned’s Securities except in compliance with the foregoing restrictions.</w:t>
      </w:r>
    </w:p>
    <w:p>
      <w:pPr>
        <w:spacing w:after="0" w:line="168" w:lineRule="exact"/>
        <w:rPr>
          <w:sz w:val="20"/>
          <w:szCs w:val="20"/>
          <w:color w:val="auto"/>
        </w:rPr>
      </w:pPr>
    </w:p>
    <w:p>
      <w:pPr>
        <w:ind w:right="260" w:firstLine="618"/>
        <w:spacing w:after="0" w:line="285" w:lineRule="auto"/>
        <w:rPr>
          <w:sz w:val="20"/>
          <w:szCs w:val="20"/>
          <w:color w:val="auto"/>
        </w:rPr>
      </w:pPr>
      <w:r>
        <w:rPr>
          <w:rFonts w:ascii="Arial" w:cs="Arial" w:eastAsia="Arial" w:hAnsi="Arial"/>
          <w:sz w:val="19"/>
          <w:szCs w:val="19"/>
          <w:color w:val="auto"/>
        </w:rPr>
        <w:t>The undersigned hereby represents and warrants that the undersigned has full power and authority to enter into this Lock-Up Agreement. 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47" w:lineRule="exact"/>
        <w:rPr>
          <w:sz w:val="20"/>
          <w:szCs w:val="20"/>
          <w:color w:val="auto"/>
        </w:rPr>
      </w:pPr>
    </w:p>
    <w:p>
      <w:pPr>
        <w:ind w:right="260" w:firstLine="618"/>
        <w:spacing w:after="0" w:line="254" w:lineRule="auto"/>
        <w:rPr>
          <w:sz w:val="20"/>
          <w:szCs w:val="20"/>
          <w:color w:val="auto"/>
        </w:rPr>
      </w:pPr>
      <w:r>
        <w:rPr>
          <w:rFonts w:ascii="Arial" w:cs="Arial" w:eastAsia="Arial" w:hAnsi="Arial"/>
          <w:sz w:val="21"/>
          <w:szCs w:val="21"/>
          <w:color w:val="auto"/>
        </w:rPr>
        <w:t>Whether or not the Public Offering actually occurs depends on a number of factors, including market conditions. Any Public Offering will only be made pursuant to the Underwriting Agreement, the terms of which are subject to negotiation between the Company and the Underwriters.</w:t>
      </w:r>
    </w:p>
    <w:p>
      <w:pPr>
        <w:spacing w:after="0" w:line="173" w:lineRule="exact"/>
        <w:rPr>
          <w:sz w:val="20"/>
          <w:szCs w:val="20"/>
          <w:color w:val="auto"/>
        </w:rPr>
      </w:pPr>
    </w:p>
    <w:p>
      <w:pPr>
        <w:ind w:firstLine="618"/>
        <w:spacing w:after="0" w:line="294" w:lineRule="auto"/>
        <w:rPr>
          <w:sz w:val="20"/>
          <w:szCs w:val="20"/>
          <w:color w:val="auto"/>
        </w:rPr>
      </w:pPr>
      <w:r>
        <w:rPr>
          <w:rFonts w:ascii="Arial" w:cs="Arial" w:eastAsia="Arial" w:hAnsi="Arial"/>
          <w:sz w:val="18"/>
          <w:szCs w:val="18"/>
          <w:color w:val="auto"/>
        </w:rPr>
        <w:t>This Lock-Up Agreement shall automatically terminate, and the undersigned shall be automatically released from all of the undersigned’s obligations hereunder, upon the earliest to occur, if any, of (1) the date that the Company advises the Representatives, in writing, prior to the execution of the Underwriting Agreement, that it has determined not to proceed with the Public Offering, (2) if the Underwriting Agreement is executed but terminated (other than the provisions thereof that survive termination) prior to payment for and delivery of the shares of Class A Common Stock to be sold thereunder, the date that the Underwriting Agreement is terminated, (3) the date that the Company withdraws the registration statement related to the Public Offering before the execution of the Underwriting Agreement and (4) [ ], 2020, in the event the Underwriting Agreement has not been executed by that date.</w:t>
      </w:r>
    </w:p>
    <w:p>
      <w:pPr>
        <w:spacing w:after="0" w:line="144" w:lineRule="exact"/>
        <w:rPr>
          <w:sz w:val="20"/>
          <w:szCs w:val="20"/>
          <w:color w:val="auto"/>
        </w:rPr>
      </w:pPr>
    </w:p>
    <w:p>
      <w:pPr>
        <w:ind w:right="280" w:firstLine="618"/>
        <w:spacing w:after="0" w:line="265" w:lineRule="auto"/>
        <w:rPr>
          <w:sz w:val="20"/>
          <w:szCs w:val="20"/>
          <w:color w:val="auto"/>
        </w:rPr>
      </w:pPr>
      <w:r>
        <w:rPr>
          <w:rFonts w:ascii="Arial" w:cs="Arial" w:eastAsia="Arial" w:hAnsi="Arial"/>
          <w:sz w:val="21"/>
          <w:szCs w:val="21"/>
          <w:color w:val="auto"/>
        </w:rPr>
        <w:t>This Lock-Up Agreement and any claim, controversy or dispute arising under or related to this Lock-Up Agreement shall be governed by and construed in accordance with the laws of the State of New York.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16351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4">
                      <a:extLst>
                        <a:ext uri="{28A0092B-C50C-407E-A947-70E740481C1C}"/>
                      </a:extLst>
                    </a:blip>
                    <a:srcRect/>
                    <a:stretch>
                      <a:fillRect/>
                    </a:stretch>
                  </pic:blipFill>
                  <pic:spPr bwMode="auto">
                    <a:xfrm>
                      <a:off x="0" y="0"/>
                      <a:ext cx="1635125" cy="8255"/>
                    </a:xfrm>
                    <a:prstGeom prst="rect">
                      <a:avLst/>
                    </a:prstGeom>
                    <a:noFill/>
                  </pic:spPr>
                </pic:pic>
              </a:graphicData>
            </a:graphic>
          </wp:anchor>
        </w:drawing>
      </w:r>
    </w:p>
    <w:p>
      <w:pPr>
        <w:spacing w:after="0" w:line="252" w:lineRule="exact"/>
        <w:rPr>
          <w:sz w:val="20"/>
          <w:szCs w:val="20"/>
          <w:color w:val="auto"/>
        </w:rPr>
      </w:pPr>
    </w:p>
    <w:p>
      <w:pPr>
        <w:ind w:left="100" w:hanging="97"/>
        <w:spacing w:after="0"/>
        <w:tabs>
          <w:tab w:leader="none" w:pos="100" w:val="left"/>
        </w:tabs>
        <w:numPr>
          <w:ilvl w:val="0"/>
          <w:numId w:val="212"/>
        </w:numPr>
        <w:rPr>
          <w:rFonts w:ascii="Arial" w:cs="Arial" w:eastAsia="Arial" w:hAnsi="Arial"/>
          <w:sz w:val="22"/>
          <w:szCs w:val="22"/>
          <w:color w:val="auto"/>
          <w:vertAlign w:val="superscript"/>
        </w:rPr>
      </w:pPr>
      <w:r>
        <w:rPr>
          <w:rFonts w:ascii="Arial" w:cs="Arial" w:eastAsia="Arial" w:hAnsi="Arial"/>
          <w:sz w:val="17"/>
          <w:szCs w:val="17"/>
          <w:color w:val="auto"/>
        </w:rPr>
        <w:t>NTD: To be included in Sponsor lock-ups.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A-5</w:t>
      </w:r>
    </w:p>
    <w:p>
      <w:pPr>
        <w:sectPr>
          <w:pgSz w:w="11900" w:h="16838" w:orient="portrait"/>
          <w:cols w:equalWidth="0" w:num="1">
            <w:col w:w="11160"/>
          </w:cols>
          <w:pgMar w:left="320" w:top="1367" w:right="419" w:bottom="1440" w:gutter="0" w:footer="0" w:header="0"/>
        </w:sectPr>
      </w:pPr>
    </w:p>
    <w:bookmarkStart w:id="388" w:name="page389"/>
    <w:bookmarkEnd w:id="388"/>
    <w:p>
      <w:pPr>
        <w:jc w:val="right"/>
        <w:ind w:right="2659"/>
        <w:spacing w:after="0"/>
        <w:rPr>
          <w:sz w:val="20"/>
          <w:szCs w:val="20"/>
          <w:color w:val="auto"/>
        </w:rPr>
      </w:pPr>
      <w:r>
        <w:rPr>
          <w:rFonts w:ascii="Arial" w:cs="Arial" w:eastAsia="Arial" w:hAnsi="Arial"/>
          <w:sz w:val="21"/>
          <w:szCs w:val="21"/>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187325</wp:posOffset>
            </wp:positionV>
            <wp:extent cx="32873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5">
                      <a:extLst>
                        <a:ext uri="{28A0092B-C50C-407E-A947-70E740481C1C}"/>
                      </a:extLst>
                    </a:blip>
                    <a:srcRect/>
                    <a:stretch>
                      <a:fillRect/>
                    </a:stretch>
                  </pic:blipFill>
                  <pic:spPr bwMode="auto">
                    <a:xfrm>
                      <a:off x="0" y="0"/>
                      <a:ext cx="3287395" cy="8255"/>
                    </a:xfrm>
                    <a:prstGeom prst="rect">
                      <a:avLst/>
                    </a:prstGeom>
                    <a:noFill/>
                  </pic:spPr>
                </pic:pic>
              </a:graphicData>
            </a:graphic>
          </wp:anchor>
        </w:drawing>
      </w:r>
    </w:p>
    <w:p>
      <w:pPr>
        <w:spacing w:after="0" w:line="30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187325</wp:posOffset>
            </wp:positionV>
            <wp:extent cx="328739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6">
                      <a:extLst>
                        <a:ext uri="{28A0092B-C50C-407E-A947-70E740481C1C}"/>
                      </a:extLst>
                    </a:blip>
                    <a:srcRect/>
                    <a:stretch>
                      <a:fillRect/>
                    </a:stretch>
                  </pic:blipFill>
                  <pic:spPr bwMode="auto">
                    <a:xfrm>
                      <a:off x="0" y="0"/>
                      <a:ext cx="3287395" cy="8255"/>
                    </a:xfrm>
                    <a:prstGeom prst="rect">
                      <a:avLst/>
                    </a:prstGeom>
                    <a:noFill/>
                  </pic:spPr>
                </pic:pic>
              </a:graphicData>
            </a:graphic>
          </wp:anchor>
        </w:drawing>
      </w:r>
    </w:p>
    <w:p>
      <w:pPr>
        <w:spacing w:after="0" w:line="305"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Lock-Up Agreement</w:t>
      </w:r>
      <w:r>
        <w:rPr>
          <w:rFonts w:ascii="Arial" w:cs="Arial" w:eastAsia="Arial" w:hAnsi="Arial"/>
          <w:sz w:val="18"/>
          <w:szCs w:val="18"/>
          <w:color w:val="auto"/>
        </w:rPr>
        <w:t>]</w:t>
      </w:r>
    </w:p>
    <w:p>
      <w:pPr>
        <w:sectPr>
          <w:pgSz w:w="11900" w:h="16838" w:orient="portrait"/>
          <w:cols w:equalWidth="0" w:num="1">
            <w:col w:w="9019"/>
          </w:cols>
          <w:pgMar w:left="1440" w:top="1419" w:right="1440" w:bottom="1440" w:gutter="0" w:footer="0" w:header="0"/>
        </w:sectPr>
      </w:pPr>
    </w:p>
    <w:bookmarkStart w:id="389" w:name="page390"/>
    <w:bookmarkEnd w:id="389"/>
    <w:p>
      <w:pPr>
        <w:jc w:val="right"/>
        <w:spacing w:after="0"/>
        <w:rPr>
          <w:sz w:val="20"/>
          <w:szCs w:val="20"/>
          <w:color w:val="auto"/>
        </w:rPr>
      </w:pPr>
      <w:r>
        <w:rPr>
          <w:rFonts w:ascii="Arial" w:cs="Arial" w:eastAsia="Arial" w:hAnsi="Arial"/>
          <w:sz w:val="17"/>
          <w:szCs w:val="17"/>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[LETTERHEAD OF SIMPSON THACHER &amp; BARTLETT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0"/>
        <w:spacing w:after="0"/>
        <w:rPr>
          <w:sz w:val="20"/>
          <w:szCs w:val="20"/>
          <w:color w:val="auto"/>
        </w:rPr>
      </w:pPr>
      <w:r>
        <w:rPr>
          <w:rFonts w:ascii="Arial" w:cs="Arial" w:eastAsia="Arial" w:hAnsi="Arial"/>
          <w:sz w:val="18"/>
          <w:szCs w:val="18"/>
          <w:color w:val="auto"/>
        </w:rPr>
        <w:t>November 30,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ZoomInfo Technologies Inc.</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805 Broadway Street, Suite 900</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Vancouver, Washington 98660</w:t>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68" w:lineRule="exact"/>
        <w:rPr>
          <w:sz w:val="20"/>
          <w:szCs w:val="20"/>
          <w:color w:val="auto"/>
        </w:rPr>
      </w:pPr>
    </w:p>
    <w:p>
      <w:pPr>
        <w:jc w:val="both"/>
        <w:ind w:firstLine="618"/>
        <w:spacing w:after="0" w:line="452" w:lineRule="auto"/>
        <w:rPr>
          <w:sz w:val="20"/>
          <w:szCs w:val="20"/>
          <w:color w:val="auto"/>
        </w:rPr>
      </w:pPr>
      <w:r>
        <w:rPr>
          <w:rFonts w:ascii="Arial" w:cs="Arial" w:eastAsia="Arial" w:hAnsi="Arial"/>
          <w:sz w:val="19"/>
          <w:szCs w:val="19"/>
          <w:color w:val="auto"/>
        </w:rPr>
        <w:t>We have acted as counsel to ZoomInfo Technologies Inc., a Delaware corporation (the “Company”), in connection with the Registration Statement on Form S-1 (as amended, the “Registration Statement”) filed by the Company with the Securities and Exchange Commission (the “Commission”) under the Securities Act of 1933, as amended (the “Act”), relating to the sale by certain selling stockholders identified in the Registration Statement (the “Selling Stockholders”) of an aggregate of 14,375,000 shares of Class A Common Stock of the Company, par value $0.01 per share (together with any additional shares of such stock that may be sold by the Selling Stockholders pursuant to Rule 462(b) (as prescribed by the Commission pursuant to the Act) in connection with the offering described in the Registration Statement, the “Shares”), issuable upon (i) exchange of common limited liability company interests (“OpCo Units”) of ZoomInfo Holdings LLC, a Delaware limited liability company (“OpCo”), or common limited liability company interests (“HoldCo Units”) of ZoomInfo Intermediate Holdings LLC, a Delaware limited liability company (“HoldCo”), in each case paired with shares of Class B Common Stock of the Company, par value $0.01 per share, or (ii) conversion of shares of Class C Common Stock of the Company, par value $0.01 per share (“Class C Common Stock”), as applicable.</w:t>
      </w:r>
    </w:p>
    <w:p>
      <w:pPr>
        <w:spacing w:after="0" w:line="7" w:lineRule="exact"/>
        <w:rPr>
          <w:sz w:val="20"/>
          <w:szCs w:val="20"/>
          <w:color w:val="auto"/>
        </w:rPr>
      </w:pPr>
    </w:p>
    <w:p>
      <w:pPr>
        <w:jc w:val="both"/>
        <w:ind w:firstLine="618"/>
        <w:spacing w:after="0" w:line="420" w:lineRule="auto"/>
        <w:rPr>
          <w:sz w:val="20"/>
          <w:szCs w:val="20"/>
          <w:color w:val="auto"/>
        </w:rPr>
      </w:pPr>
      <w:r>
        <w:rPr>
          <w:rFonts w:ascii="Arial" w:cs="Arial" w:eastAsia="Arial" w:hAnsi="Arial"/>
          <w:sz w:val="21"/>
          <w:szCs w:val="21"/>
          <w:color w:val="auto"/>
        </w:rPr>
        <w:t>We have examined the Registration Statement; and the Amended and Restated Certificate of Incorporation of the Company (the “Certificate”), the Fifth Amended and Restated Limited Liability Company Agreement of OpCo (the “OpCo Agreement”), dated as of June 3, 2020,</w:t>
      </w:r>
    </w:p>
    <w:p>
      <w:pPr>
        <w:sectPr>
          <w:pgSz w:w="11900" w:h="16838" w:orient="portrait"/>
          <w:cols w:equalWidth="0" w:num="1">
            <w:col w:w="11240"/>
          </w:cols>
          <w:pgMar w:left="320" w:top="121" w:right="339" w:bottom="1440" w:gutter="0" w:footer="0" w:header="0"/>
        </w:sectPr>
      </w:pPr>
    </w:p>
    <w:bookmarkStart w:id="390" w:name="page391"/>
    <w:bookmarkEnd w:id="390"/>
    <w:p>
      <w:pPr>
        <w:ind w:left="20"/>
        <w:spacing w:after="0"/>
        <w:tabs>
          <w:tab w:leader="none" w:pos="5560" w:val="left"/>
          <w:tab w:leader="none" w:pos="9560" w:val="left"/>
        </w:tabs>
        <w:rPr>
          <w:sz w:val="20"/>
          <w:szCs w:val="20"/>
          <w:color w:val="auto"/>
        </w:rPr>
      </w:pPr>
      <w:r>
        <w:rPr>
          <w:rFonts w:ascii="Arial" w:cs="Arial" w:eastAsia="Arial" w:hAnsi="Arial"/>
          <w:sz w:val="21"/>
          <w:szCs w:val="21"/>
          <w:color w:val="auto"/>
        </w:rPr>
        <w:t>ZoomInfo Technologies Inc.</w:t>
      </w:r>
      <w:r>
        <w:rPr>
          <w:sz w:val="20"/>
          <w:szCs w:val="20"/>
          <w:color w:val="auto"/>
        </w:rPr>
        <w:tab/>
      </w:r>
      <w:r>
        <w:rPr>
          <w:rFonts w:ascii="Arial" w:cs="Arial" w:eastAsia="Arial" w:hAnsi="Arial"/>
          <w:sz w:val="21"/>
          <w:szCs w:val="21"/>
          <w:color w:val="auto"/>
        </w:rPr>
        <w:t>2</w:t>
      </w:r>
      <w:r>
        <w:rPr>
          <w:sz w:val="20"/>
          <w:szCs w:val="20"/>
          <w:color w:val="auto"/>
        </w:rPr>
        <w:tab/>
      </w:r>
      <w:r>
        <w:rPr>
          <w:rFonts w:ascii="Arial" w:cs="Arial" w:eastAsia="Arial" w:hAnsi="Arial"/>
          <w:sz w:val="18"/>
          <w:szCs w:val="18"/>
          <w:color w:val="auto"/>
        </w:rPr>
        <w:t>November 30,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409" w:lineRule="auto"/>
        <w:rPr>
          <w:sz w:val="20"/>
          <w:szCs w:val="20"/>
          <w:color w:val="auto"/>
        </w:rPr>
      </w:pPr>
      <w:r>
        <w:rPr>
          <w:rFonts w:ascii="Arial" w:cs="Arial" w:eastAsia="Arial" w:hAnsi="Arial"/>
          <w:sz w:val="21"/>
          <w:szCs w:val="21"/>
          <w:color w:val="auto"/>
        </w:rPr>
        <w:t>among OpCo, the Company, HoldCo and the members party thereto, and the Amended and Restated Limited Liability Company Agreement of HoldCo (the “HoldCo Agreement”), dated as of June 3, 2020, among HoldCo, the Company and the members party thereto, each of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4" w:lineRule="exact"/>
        <w:rPr>
          <w:sz w:val="20"/>
          <w:szCs w:val="20"/>
          <w:color w:val="auto"/>
        </w:rPr>
      </w:pPr>
    </w:p>
    <w:p>
      <w:pPr>
        <w:jc w:val="both"/>
        <w:ind w:firstLine="618"/>
        <w:spacing w:after="0" w:line="452" w:lineRule="auto"/>
        <w:rPr>
          <w:sz w:val="20"/>
          <w:szCs w:val="20"/>
          <w:color w:val="auto"/>
        </w:rPr>
      </w:pPr>
      <w:r>
        <w:rPr>
          <w:rFonts w:ascii="Arial" w:cs="Arial" w:eastAsia="Arial" w:hAnsi="Arial"/>
          <w:sz w:val="19"/>
          <w:szCs w:val="19"/>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2" w:lineRule="exact"/>
        <w:rPr>
          <w:sz w:val="20"/>
          <w:szCs w:val="20"/>
          <w:color w:val="auto"/>
        </w:rPr>
      </w:pPr>
    </w:p>
    <w:p>
      <w:pPr>
        <w:jc w:val="both"/>
        <w:ind w:firstLine="618"/>
        <w:spacing w:after="0" w:line="430" w:lineRule="auto"/>
        <w:rPr>
          <w:sz w:val="20"/>
          <w:szCs w:val="20"/>
          <w:color w:val="auto"/>
        </w:rPr>
      </w:pPr>
      <w:r>
        <w:rPr>
          <w:rFonts w:ascii="Arial" w:cs="Arial" w:eastAsia="Arial" w:hAnsi="Arial"/>
          <w:sz w:val="20"/>
          <w:szCs w:val="20"/>
          <w:color w:val="auto"/>
        </w:rPr>
        <w:t>Based upon the foregoing, and subject to the qualifications, assumptions and limitations stated herein, we are of the opinion that, when the Shares are issued upon the exchange of OpCo Units in accordance with the OpCo Agreement, upon the exchange of HoldCo Units in accordance with the HoldCo Agreement, or upon the conversion of shares of Class C Common Stock in accordance with the Certificate, as applicable, the Shares will be validly issued, fully paid and nonassessable.</w:t>
      </w:r>
    </w:p>
    <w:p>
      <w:pPr>
        <w:ind w:left="620"/>
        <w:spacing w:after="0"/>
        <w:rPr>
          <w:sz w:val="20"/>
          <w:szCs w:val="20"/>
          <w:color w:val="auto"/>
        </w:rPr>
      </w:pPr>
      <w:r>
        <w:rPr>
          <w:rFonts w:ascii="Arial" w:cs="Arial" w:eastAsia="Arial" w:hAnsi="Arial"/>
          <w:sz w:val="21"/>
          <w:szCs w:val="21"/>
          <w:color w:val="auto"/>
        </w:rPr>
        <w:t>We do not express any opinion herein concerning any law other than the Delaware General Corporation Law.</w:t>
      </w:r>
    </w:p>
    <w:p>
      <w:pPr>
        <w:spacing w:after="0" w:line="171" w:lineRule="exact"/>
        <w:rPr>
          <w:sz w:val="20"/>
          <w:szCs w:val="20"/>
          <w:color w:val="auto"/>
        </w:rPr>
      </w:pPr>
    </w:p>
    <w:p>
      <w:pPr>
        <w:jc w:val="both"/>
        <w:ind w:firstLine="618"/>
        <w:spacing w:after="0" w:line="396" w:lineRule="auto"/>
        <w:rPr>
          <w:sz w:val="20"/>
          <w:szCs w:val="20"/>
          <w:color w:val="auto"/>
        </w:rPr>
      </w:pPr>
      <w:r>
        <w:rPr>
          <w:rFonts w:ascii="Arial" w:cs="Arial" w:eastAsia="Arial" w:hAnsi="Arial"/>
          <w:sz w:val="21"/>
          <w:szCs w:val="21"/>
          <w:color w:val="auto"/>
        </w:rPr>
        <w:t>We hereby consent to the filing of this opinion letter as Exhibit 5.1 to the Registration Statement and to the use of our name under the caption “Legal Matters” in the prospectus included in the Registration Statement.</w:t>
      </w:r>
    </w:p>
    <w:p>
      <w:pPr>
        <w:spacing w:after="0" w:line="2"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Very truly yours,</w:t>
      </w:r>
    </w:p>
    <w:p>
      <w:pPr>
        <w:spacing w:after="0" w:line="312"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/s/ Simpson Thacher &amp; Bartlett LLP</w:t>
      </w:r>
    </w:p>
    <w:p>
      <w:pPr>
        <w:spacing w:after="0" w:line="55"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SIMPSON THACHER &amp; BARTLETT LLP</w:t>
      </w:r>
    </w:p>
    <w:p>
      <w:pPr>
        <w:sectPr>
          <w:pgSz w:w="11900" w:h="16838" w:orient="portrait"/>
          <w:cols w:equalWidth="0" w:num="1">
            <w:col w:w="11240"/>
          </w:cols>
          <w:pgMar w:left="320" w:top="415" w:right="339" w:bottom="1440" w:gutter="0" w:footer="0" w:header="0"/>
        </w:sectPr>
      </w:pPr>
    </w:p>
    <w:bookmarkStart w:id="391" w:name="page392"/>
    <w:bookmarkEnd w:id="391"/>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use of our report included herein and to the reference to our firm under the heading “Experts” in the prospectus.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November 30, 2020</w:t>
      </w:r>
    </w:p>
    <w:p>
      <w:pPr>
        <w:sectPr>
          <w:pgSz w:w="11900" w:h="16838" w:orient="portrait"/>
          <w:cols w:equalWidth="0" w:num="1">
            <w:col w:w="11240"/>
          </w:cols>
          <w:pgMar w:left="320" w:top="134" w:right="3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DiscoverOrg Holdings, LLC:</w:t>
      </w: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consent to the use of our report dated February 26, 2020, except for the effects of the reverse unit split described in Note 18, which is as of May 26, 2020 with respect to the consolidated financial statements included herein and to the reference to our firm under the heading "Experts" in the prospectus.</w:t>
      </w:r>
    </w:p>
    <w:p>
      <w:pPr>
        <w:spacing w:after="0" w:line="191"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 xml:space="preserve">Our report contains an explanatory paragraph that refers to a change in the method of accounting for leases due to the adoption of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November 30, 2020</w:t>
      </w:r>
    </w:p>
    <w:p>
      <w:pPr>
        <w:sectPr>
          <w:pgSz w:w="11900" w:h="16838" w:orient="portrait"/>
          <w:cols w:equalWidth="0" w:num="1">
            <w:col w:w="11240"/>
          </w:cols>
          <w:pgMar w:left="320" w:top="134" w:right="3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7"/>
          <w:szCs w:val="17"/>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Auditor</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consent to the use in this Registration Statement on Form S-1 of ZoomInfo Technologies Inc. of our report dated November 22, 2019 relating to the consolidated financial statements of Zoom Information, Inc. and Subsidiaries, appearing in the Prospectus, which is part of this Registration Statement.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of our firm under the heading “Experts” in such Registration Statement.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Boston, MA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November 30, 2020</w:t>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1)"/>
      <w:numFmt w:val="decimal"/>
      <w:start w:val="1"/>
    </w:lvl>
  </w:abstractNum>
  <w:abstractNum w:abstractNumId="1">
    <w:nsid w:val="1D545C4D"/>
    <w:multiLevelType w:val="hybridMultilevel"/>
    <w:lvl w:ilvl="0">
      <w:lvlJc w:val="left"/>
      <w:lvlText w:val="(%1)"/>
      <w:numFmt w:val="decimal"/>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1)"/>
      <w:numFmt w:val="decimal"/>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1)"/>
      <w:numFmt w:val="lowerRoman"/>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1)"/>
      <w:numFmt w:val="decimal"/>
      <w:start w:val="1"/>
    </w:lvl>
  </w:abstractNum>
  <w:abstractNum w:abstractNumId="16">
    <w:nsid w:val="3C5991AA"/>
    <w:multiLevelType w:val="hybridMultilevel"/>
    <w:lvl w:ilvl="0">
      <w:lvlJc w:val="left"/>
      <w:lvlText w:val="(%1)"/>
      <w:numFmt w:val="decimal"/>
      <w:start w:val="2"/>
    </w:lvl>
  </w:abstractNum>
  <w:abstractNum w:abstractNumId="17">
    <w:nsid w:val="4BD8591A"/>
    <w:multiLevelType w:val="hybridMultilevel"/>
    <w:lvl w:ilvl="0">
      <w:lvlJc w:val="left"/>
      <w:lvlText w:val="(%1)"/>
      <w:numFmt w:val="decimal"/>
      <w:start w:val="1"/>
    </w:lvl>
  </w:abstractNum>
  <w:abstractNum w:abstractNumId="18">
    <w:nsid w:val="78DF6A55"/>
    <w:multiLevelType w:val="hybridMultilevel"/>
    <w:lvl w:ilvl="0">
      <w:lvlJc w:val="left"/>
      <w:lvlText w:val="(%1)"/>
      <w:numFmt w:val="decimal"/>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lvl w:ilvl="1">
      <w:lvlJc w:val="left"/>
      <w:lvlText w:val="◦"/>
      <w:numFmt w:val="bullet"/>
      <w:start w:val="1"/>
    </w:lvl>
  </w:abstractNum>
  <w:abstractNum w:abstractNumId="24">
    <w:nsid w:val="2C27173B"/>
    <w:multiLevelType w:val="hybridMultilevel"/>
    <w:lvl w:ilvl="0">
      <w:lvlJc w:val="left"/>
      <w:lvlText w:val="(%1)"/>
      <w:numFmt w:val="decimal"/>
      <w:start w:val="1"/>
    </w:lvl>
  </w:abstractNum>
  <w:abstractNum w:abstractNumId="25">
    <w:nsid w:val="4C9B0904"/>
    <w:multiLevelType w:val="hybridMultilevel"/>
    <w:lvl w:ilvl="0">
      <w:lvlJc w:val="left"/>
      <w:lvlText w:val="%1"/>
      <w:numFmt w:val="decimal"/>
      <w:start w:val="1"/>
    </w:lvl>
    <w:lvl w:ilvl="1">
      <w:lvlJc w:val="left"/>
      <w:lvlText w:val="(%2)"/>
      <w:numFmt w:val="lowerLetter"/>
      <w:start w:val="1"/>
    </w:lvl>
  </w:abstractNum>
  <w:abstractNum w:abstractNumId="26">
    <w:nsid w:val="6AA7B75C"/>
    <w:multiLevelType w:val="hybridMultilevel"/>
    <w:lvl w:ilvl="0">
      <w:lvlJc w:val="left"/>
      <w:lvlText w:val="(%1)"/>
      <w:numFmt w:val="decimal"/>
      <w:start w:val="2"/>
    </w:lvl>
    <w:lvl w:ilvl="1">
      <w:lvlJc w:val="left"/>
      <w:lvlText w:val="%2"/>
      <w:numFmt w:val="lowerLetter"/>
      <w:start w:val="1"/>
    </w:lvl>
  </w:abstractNum>
  <w:abstractNum w:abstractNumId="27">
    <w:nsid w:val="1DF029D3"/>
    <w:multiLevelType w:val="hybridMultilevel"/>
    <w:lvl w:ilvl="0">
      <w:lvlJc w:val="left"/>
      <w:lvlText w:val="(%1)"/>
      <w:numFmt w:val="decimal"/>
      <w:start w:val="3"/>
    </w:lvl>
  </w:abstractNum>
  <w:abstractNum w:abstractNumId="28">
    <w:nsid w:val="5675FF36"/>
    <w:multiLevelType w:val="hybridMultilevel"/>
    <w:lvl w:ilvl="0">
      <w:lvlJc w:val="left"/>
      <w:lvlText w:val="(%1)"/>
      <w:numFmt w:val="decimal"/>
      <w:start w:val="6"/>
    </w:lvl>
  </w:abstractNum>
  <w:abstractNum w:abstractNumId="29">
    <w:nsid w:val="3DD15094"/>
    <w:multiLevelType w:val="hybridMultilevel"/>
    <w:lvl w:ilvl="0">
      <w:lvlJc w:val="left"/>
      <w:lvlText w:val="%1"/>
      <w:numFmt w:val="decimal"/>
      <w:start w:val="1"/>
    </w:lvl>
    <w:lvl w:ilvl="1">
      <w:lvlJc w:val="left"/>
      <w:lvlText w:val="(%2)"/>
      <w:numFmt w:val="lowerLetter"/>
      <w:start w:val="1"/>
    </w:lvl>
  </w:abstractNum>
  <w:abstractNum w:abstractNumId="30">
    <w:nsid w:val="3DB012B3"/>
    <w:multiLevelType w:val="hybridMultilevel"/>
    <w:lvl w:ilvl="0">
      <w:lvlJc w:val="left"/>
      <w:lvlText w:val="(%1)"/>
      <w:numFmt w:val="decimal"/>
      <w:start w:val="7"/>
    </w:lvl>
    <w:lvl w:ilvl="1">
      <w:lvlJc w:val="left"/>
      <w:lvlText w:val="%2"/>
      <w:numFmt w:val="lowerLetter"/>
      <w:start w:val="1"/>
    </w:lvl>
  </w:abstractNum>
  <w:abstractNum w:abstractNumId="31">
    <w:nsid w:val="2708C9AF"/>
    <w:multiLevelType w:val="hybridMultilevel"/>
    <w:lvl w:ilvl="0">
      <w:lvlJc w:val="left"/>
      <w:lvlText w:val="(%1)"/>
      <w:numFmt w:val="lowerLetter"/>
      <w:start w:val="1"/>
    </w:lvl>
  </w:abstractNum>
  <w:abstractNum w:abstractNumId="32">
    <w:nsid w:val="5B25ACE2"/>
    <w:multiLevelType w:val="hybridMultilevel"/>
    <w:lvl w:ilvl="0">
      <w:lvlJc w:val="left"/>
      <w:lvlText w:val="(%1)"/>
      <w:numFmt w:val="decimal"/>
      <w:start w:val="8"/>
    </w:lvl>
  </w:abstractNum>
  <w:abstractNum w:abstractNumId="33">
    <w:nsid w:val="175DFCF0"/>
    <w:multiLevelType w:val="hybridMultilevel"/>
    <w:lvl w:ilvl="0">
      <w:lvlJc w:val="left"/>
      <w:lvlText w:val="(%1)"/>
      <w:numFmt w:val="lowerLetter"/>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
      <w:numFmt w:val="bullet"/>
      <w:start w:val="1"/>
    </w:lvl>
  </w:abstractNum>
  <w:abstractNum w:abstractNumId="38">
    <w:nsid w:val="56438D15"/>
    <w:multiLevelType w:val="hybridMultilevel"/>
    <w:lvl w:ilvl="0">
      <w:lvlJc w:val="left"/>
      <w:lvlText w:val="•"/>
      <w:numFmt w:val="bullet"/>
      <w:start w:val="1"/>
    </w:lvl>
  </w:abstractNum>
  <w:abstractNum w:abstractNumId="39">
    <w:nsid w:val="519E3149"/>
    <w:multiLevelType w:val="hybridMultilevel"/>
    <w:lvl w:ilvl="0">
      <w:lvlJc w:val="left"/>
      <w:lvlText w:val="•"/>
      <w:numFmt w:val="bullet"/>
      <w:start w:val="1"/>
    </w:lvl>
  </w:abstractNum>
  <w:abstractNum w:abstractNumId="40">
    <w:nsid w:val="2C6E4AFD"/>
    <w:multiLevelType w:val="hybridMultilevel"/>
    <w:lvl w:ilvl="0">
      <w:lvlJc w:val="left"/>
      <w:lvlText w:val="•"/>
      <w:numFmt w:val="bullet"/>
      <w:start w:val="1"/>
    </w:lvl>
  </w:abstractNum>
  <w:abstractNum w:abstractNumId="41">
    <w:nsid w:val="17A1B582"/>
    <w:multiLevelType w:val="hybridMultilevel"/>
    <w:lvl w:ilvl="0">
      <w:lvlJc w:val="left"/>
      <w:lvlText w:val="•"/>
      <w:numFmt w:val="bullet"/>
      <w:start w:val="1"/>
    </w:lvl>
  </w:abstractNum>
  <w:abstractNum w:abstractNumId="42">
    <w:nsid w:val="4DF72E4E"/>
    <w:multiLevelType w:val="hybridMultilevel"/>
    <w:lvl w:ilvl="0">
      <w:lvlJc w:val="left"/>
      <w:lvlText w:val="•"/>
      <w:numFmt w:val="bullet"/>
      <w:start w:val="1"/>
    </w:lvl>
  </w:abstractNum>
  <w:abstractNum w:abstractNumId="43">
    <w:nsid w:val="5046B5A9"/>
    <w:multiLevelType w:val="hybridMultilevel"/>
    <w:lvl w:ilvl="0">
      <w:lvlJc w:val="left"/>
      <w:lvlText w:val="•"/>
      <w:numFmt w:val="bullet"/>
      <w:start w:val="1"/>
    </w:lvl>
  </w:abstractNum>
  <w:abstractNum w:abstractNumId="44">
    <w:nsid w:val="5D888A08"/>
    <w:multiLevelType w:val="hybridMultilevel"/>
    <w:lvl w:ilvl="0">
      <w:lvlJc w:val="left"/>
      <w:lvlText w:val="•"/>
      <w:numFmt w:val="bullet"/>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
      <w:numFmt w:val="bullet"/>
      <w:start w:val="1"/>
    </w:lvl>
  </w:abstractNum>
  <w:abstractNum w:abstractNumId="48">
    <w:nsid w:val="75E0858A"/>
    <w:multiLevelType w:val="hybridMultilevel"/>
    <w:lvl w:ilvl="0">
      <w:lvlJc w:val="left"/>
      <w:lvlText w:val="•"/>
      <w:numFmt w:val="bullet"/>
      <w:start w:val="1"/>
    </w:lvl>
  </w:abstractNum>
  <w:abstractNum w:abstractNumId="49">
    <w:nsid w:val="57A61A29"/>
    <w:multiLevelType w:val="hybridMultilevel"/>
    <w:lvl w:ilvl="0">
      <w:lvlJc w:val="left"/>
      <w:lvlText w:val="•"/>
      <w:numFmt w:val="bullet"/>
      <w:start w:val="1"/>
    </w:lvl>
  </w:abstractNum>
  <w:abstractNum w:abstractNumId="50">
    <w:nsid w:val="5399C654"/>
    <w:multiLevelType w:val="hybridMultilevel"/>
    <w:lvl w:ilvl="0">
      <w:lvlJc w:val="left"/>
      <w:lvlText w:val="•"/>
      <w:numFmt w:val="bullet"/>
      <w:start w:val="1"/>
    </w:lvl>
  </w:abstractNum>
  <w:abstractNum w:abstractNumId="51">
    <w:nsid w:val="20EE1348"/>
    <w:multiLevelType w:val="hybridMultilevel"/>
    <w:lvl w:ilvl="0">
      <w:lvlJc w:val="left"/>
      <w:lvlText w:val="•"/>
      <w:numFmt w:val="bullet"/>
      <w:start w:val="1"/>
    </w:lvl>
  </w:abstractNum>
  <w:abstractNum w:abstractNumId="52">
    <w:nsid w:val="4427069A"/>
    <w:multiLevelType w:val="hybridMultilevel"/>
    <w:lvl w:ilvl="0">
      <w:lvlJc w:val="left"/>
      <w:lvlText w:val="•"/>
      <w:numFmt w:val="bullet"/>
      <w:start w:val="1"/>
    </w:lvl>
  </w:abstractNum>
  <w:abstractNum w:abstractNumId="53">
    <w:nsid w:val="B37E80A"/>
    <w:multiLevelType w:val="hybridMultilevel"/>
    <w:lvl w:ilvl="0">
      <w:lvlJc w:val="left"/>
      <w:lvlText w:val="(%1)"/>
      <w:numFmt w:val="lowerRoman"/>
      <w:start w:val="3"/>
    </w:lvl>
  </w:abstractNum>
  <w:abstractNum w:abstractNumId="54">
    <w:nsid w:val="2157F6BC"/>
    <w:multiLevelType w:val="hybridMultilevel"/>
    <w:lvl w:ilvl="0">
      <w:lvlJc w:val="left"/>
      <w:lvlText w:val="•"/>
      <w:numFmt w:val="bullet"/>
      <w:start w:val="1"/>
    </w:lvl>
  </w:abstractNum>
  <w:abstractNum w:abstractNumId="55">
    <w:nsid w:val="704E1DD5"/>
    <w:multiLevelType w:val="hybridMultilevel"/>
    <w:lvl w:ilvl="0">
      <w:lvlJc w:val="left"/>
      <w:lvlText w:val="•"/>
      <w:numFmt w:val="bullet"/>
      <w:start w:val="1"/>
    </w:lvl>
  </w:abstractNum>
  <w:abstractNum w:abstractNumId="56">
    <w:nsid w:val="57D2F10E"/>
    <w:multiLevelType w:val="hybridMultilevel"/>
    <w:lvl w:ilvl="0">
      <w:lvlJc w:val="left"/>
      <w:lvlText w:val="•"/>
      <w:numFmt w:val="bullet"/>
      <w:start w:val="1"/>
    </w:lvl>
  </w:abstractNum>
  <w:abstractNum w:abstractNumId="57">
    <w:nsid w:val="BFFAE18"/>
    <w:multiLevelType w:val="hybridMultilevel"/>
    <w:lvl w:ilvl="0">
      <w:lvlJc w:val="left"/>
      <w:lvlText w:val="(%1)"/>
      <w:numFmt w:val="decimal"/>
      <w:start w:val="1"/>
    </w:lvl>
  </w:abstractNum>
  <w:abstractNum w:abstractNumId="58">
    <w:nsid w:val="E3E47A8"/>
    <w:multiLevelType w:val="hybridMultilevel"/>
    <w:lvl w:ilvl="0">
      <w:lvlJc w:val="left"/>
      <w:lvlText w:val="(%1)"/>
      <w:numFmt w:val="decimal"/>
      <w:start w:val="2"/>
    </w:lvl>
  </w:abstractNum>
  <w:abstractNum w:abstractNumId="59">
    <w:nsid w:val="2E48F044"/>
    <w:multiLevelType w:val="hybridMultilevel"/>
    <w:lvl w:ilvl="0">
      <w:lvlJc w:val="left"/>
      <w:lvlText w:val="(%1)"/>
      <w:numFmt w:val="decimal"/>
      <w:start w:val="1"/>
    </w:lvl>
  </w:abstractNum>
  <w:abstractNum w:abstractNumId="60">
    <w:nsid w:val="49D0FEAC"/>
    <w:multiLevelType w:val="hybridMultilevel"/>
    <w:lvl w:ilvl="0">
      <w:lvlJc w:val="left"/>
      <w:lvlText w:val="(%1)"/>
      <w:numFmt w:val="decimal"/>
      <w:start w:val="1"/>
    </w:lvl>
  </w:abstractNum>
  <w:abstractNum w:abstractNumId="61">
    <w:nsid w:val="4BEE5A5B"/>
    <w:multiLevelType w:val="hybridMultilevel"/>
    <w:lvl w:ilvl="0">
      <w:lvlJc w:val="left"/>
      <w:lvlText w:val="(%1)"/>
      <w:numFmt w:val="lowerRoman"/>
      <w:start w:val="1"/>
    </w:lvl>
  </w:abstractNum>
  <w:abstractNum w:abstractNumId="62">
    <w:nsid w:val="5551B9F3"/>
    <w:multiLevelType w:val="hybridMultilevel"/>
    <w:lvl w:ilvl="0">
      <w:lvlJc w:val="left"/>
      <w:lvlText w:val="$"/>
      <w:numFmt w:val="bullet"/>
      <w:start w:val="1"/>
    </w:lvl>
  </w:abstractNum>
  <w:abstractNum w:abstractNumId="63">
    <w:nsid w:val="24F6AB8E"/>
    <w:multiLevelType w:val="hybridMultilevel"/>
    <w:lvl w:ilvl="0">
      <w:lvlJc w:val="left"/>
      <w:lvlText w:val="(%1)"/>
      <w:numFmt w:val="decimal"/>
      <w:start w:val="1"/>
    </w:lvl>
  </w:abstractNum>
  <w:abstractNum w:abstractNumId="64">
    <w:nsid w:val="634C574C"/>
    <w:multiLevelType w:val="hybridMultilevel"/>
    <w:lvl w:ilvl="0">
      <w:lvlJc w:val="left"/>
      <w:lvlText w:val="•"/>
      <w:numFmt w:val="bullet"/>
      <w:start w:val="1"/>
    </w:lvl>
  </w:abstractNum>
  <w:abstractNum w:abstractNumId="65">
    <w:nsid w:val="24E99DD7"/>
    <w:multiLevelType w:val="hybridMultilevel"/>
    <w:lvl w:ilvl="0">
      <w:lvlJc w:val="left"/>
      <w:lvlText w:val="•"/>
      <w:numFmt w:val="bullet"/>
      <w:start w:val="1"/>
    </w:lvl>
  </w:abstractNum>
  <w:abstractNum w:abstractNumId="66">
    <w:nsid w:val="2A31B62D"/>
    <w:multiLevelType w:val="hybridMultilevel"/>
    <w:lvl w:ilvl="0">
      <w:lvlJc w:val="left"/>
      <w:lvlText w:val="•"/>
      <w:numFmt w:val="bullet"/>
      <w:start w:val="1"/>
    </w:lvl>
  </w:abstractNum>
  <w:abstractNum w:abstractNumId="67">
    <w:nsid w:val="1849C29B"/>
    <w:multiLevelType w:val="hybridMultilevel"/>
    <w:lvl w:ilvl="0">
      <w:lvlJc w:val="left"/>
      <w:lvlText w:val="(%1)"/>
      <w:numFmt w:val="lowerLetter"/>
      <w:start w:val="1"/>
    </w:lvl>
  </w:abstractNum>
  <w:abstractNum w:abstractNumId="68">
    <w:nsid w:val="7DFF9D09"/>
    <w:multiLevelType w:val="hybridMultilevel"/>
    <w:lvl w:ilvl="0">
      <w:lvlJc w:val="left"/>
      <w:lvlText w:val="(%1)"/>
      <w:numFmt w:val="lowerLetter"/>
      <w:start w:val="3"/>
    </w:lvl>
    <w:lvl w:ilvl="1">
      <w:lvlJc w:val="left"/>
      <w:lvlText w:val="(%2)"/>
      <w:numFmt w:val="decimal"/>
      <w:start w:val="1"/>
    </w:lvl>
  </w:abstractNum>
  <w:abstractNum w:abstractNumId="69">
    <w:nsid w:val="754342"/>
    <w:multiLevelType w:val="hybridMultilevel"/>
    <w:lvl w:ilvl="0">
      <w:lvlJc w:val="left"/>
      <w:lvlText w:val="(%1)"/>
      <w:numFmt w:val="lowerLetter"/>
      <w:start w:val="4"/>
    </w:lvl>
  </w:abstractNum>
  <w:abstractNum w:abstractNumId="70">
    <w:nsid w:val="69E7F3E5"/>
    <w:multiLevelType w:val="hybridMultilevel"/>
    <w:lvl w:ilvl="0">
      <w:lvlJc w:val="left"/>
      <w:lvlText w:val="(%1)"/>
      <w:numFmt w:val="lowerLetter"/>
      <w:start w:val="6"/>
    </w:lvl>
  </w:abstractNum>
  <w:abstractNum w:abstractNumId="71">
    <w:nsid w:val="2A6DE806"/>
    <w:multiLevelType w:val="hybridMultilevel"/>
    <w:lvl w:ilvl="0">
      <w:lvlJc w:val="left"/>
      <w:lvlText w:val="(%1)"/>
      <w:numFmt w:val="decimal"/>
      <w:start w:val="2"/>
    </w:lvl>
  </w:abstractNum>
  <w:abstractNum w:abstractNumId="72">
    <w:nsid w:val="1816F8C4"/>
    <w:multiLevelType w:val="hybridMultilevel"/>
    <w:lvl w:ilvl="0">
      <w:lvlJc w:val="left"/>
      <w:lvlText w:val="(%1)"/>
      <w:numFmt w:val="lowerRoman"/>
      <w:start w:val="3"/>
    </w:lvl>
  </w:abstractNum>
  <w:abstractNum w:abstractNumId="73">
    <w:nsid w:val="37DF2233"/>
    <w:multiLevelType w:val="hybridMultilevel"/>
    <w:lvl w:ilvl="0">
      <w:lvlJc w:val="left"/>
      <w:lvlText w:val="(%1)"/>
      <w:numFmt w:val="lowerLetter"/>
      <w:start w:val="1"/>
    </w:lvl>
  </w:abstractNum>
  <w:abstractNum w:abstractNumId="74">
    <w:nsid w:val="7AB49DAF"/>
    <w:multiLevelType w:val="hybridMultilevel"/>
    <w:lvl w:ilvl="0">
      <w:lvlJc w:val="left"/>
      <w:lvlText w:val="(%1)"/>
      <w:numFmt w:val="lowerLetter"/>
      <w:start w:val="1"/>
    </w:lvl>
  </w:abstractNum>
  <w:abstractNum w:abstractNumId="75">
    <w:nsid w:val="759F82CD"/>
    <w:multiLevelType w:val="hybridMultilevel"/>
    <w:lvl w:ilvl="0">
      <w:lvlJc w:val="left"/>
      <w:lvlText w:val="(%1)"/>
      <w:numFmt w:val="lowerLetter"/>
      <w:start w:val="1"/>
    </w:lvl>
  </w:abstractNum>
  <w:abstractNum w:abstractNumId="76">
    <w:nsid w:val="61E74EA3"/>
    <w:multiLevelType w:val="hybridMultilevel"/>
    <w:lvl w:ilvl="0">
      <w:lvlJc w:val="left"/>
      <w:lvlText w:val="(%1)"/>
      <w:numFmt w:val="decimal"/>
      <w:start w:val="1"/>
    </w:lvl>
  </w:abstractNum>
  <w:abstractNum w:abstractNumId="77">
    <w:nsid w:val="597B4D84"/>
    <w:multiLevelType w:val="hybridMultilevel"/>
    <w:lvl w:ilvl="0">
      <w:lvlJc w:val="left"/>
      <w:lvlText w:val="•"/>
      <w:numFmt w:val="bullet"/>
      <w:start w:val="1"/>
    </w:lvl>
  </w:abstractNum>
  <w:abstractNum w:abstractNumId="78">
    <w:nsid w:val="F819E7F"/>
    <w:multiLevelType w:val="hybridMultilevel"/>
    <w:lvl w:ilvl="0">
      <w:lvlJc w:val="left"/>
      <w:lvlText w:val="•"/>
      <w:numFmt w:val="bullet"/>
      <w:start w:val="1"/>
    </w:lvl>
  </w:abstractNum>
  <w:abstractNum w:abstractNumId="79">
    <w:nsid w:val="57C7D42D"/>
    <w:multiLevelType w:val="hybridMultilevel"/>
    <w:lvl w:ilvl="0">
      <w:lvlJc w:val="left"/>
      <w:lvlText w:val="•"/>
      <w:numFmt w:val="bullet"/>
      <w:start w:val="1"/>
    </w:lvl>
  </w:abstractNum>
  <w:abstractNum w:abstractNumId="80">
    <w:nsid w:val="312167AD"/>
    <w:multiLevelType w:val="hybridMultilevel"/>
    <w:lvl w:ilvl="0">
      <w:lvlJc w:val="left"/>
      <w:lvlText w:val="(%1)"/>
      <w:numFmt w:val="lowerLetter"/>
      <w:start w:val="1"/>
    </w:lvl>
  </w:abstractNum>
  <w:abstractNum w:abstractNumId="81">
    <w:nsid w:val="631B64D4"/>
    <w:multiLevelType w:val="hybridMultilevel"/>
    <w:lvl w:ilvl="0">
      <w:lvlJc w:val="left"/>
      <w:lvlText w:val="(%1)"/>
      <w:numFmt w:val="lowerLetter"/>
      <w:start w:val="1"/>
    </w:lvl>
  </w:abstractNum>
  <w:abstractNum w:abstractNumId="82">
    <w:nsid w:val="78B5E776"/>
    <w:multiLevelType w:val="hybridMultilevel"/>
    <w:lvl w:ilvl="0">
      <w:lvlJc w:val="left"/>
      <w:lvlText w:val="(%1)"/>
      <w:numFmt w:val="decimal"/>
      <w:start w:val="1"/>
    </w:lvl>
  </w:abstractNum>
  <w:abstractNum w:abstractNumId="83">
    <w:nsid w:val="75486E47"/>
    <w:multiLevelType w:val="hybridMultilevel"/>
    <w:lvl w:ilvl="0">
      <w:lvlJc w:val="left"/>
      <w:lvlText w:val="(%1)"/>
      <w:numFmt w:val="lowerLetter"/>
      <w:start w:val="1"/>
    </w:lvl>
  </w:abstractNum>
  <w:abstractNum w:abstractNumId="84">
    <w:nsid w:val="6E534CDE"/>
    <w:multiLevelType w:val="hybridMultilevel"/>
    <w:lvl w:ilvl="0">
      <w:lvlJc w:val="left"/>
      <w:lvlText w:val="•"/>
      <w:numFmt w:val="bullet"/>
      <w:start w:val="1"/>
    </w:lvl>
  </w:abstractNum>
  <w:abstractNum w:abstractNumId="85">
    <w:nsid w:val="1A0DDE32"/>
    <w:multiLevelType w:val="hybridMultilevel"/>
    <w:lvl w:ilvl="0">
      <w:lvlJc w:val="left"/>
      <w:lvlText w:val="(%1)"/>
      <w:numFmt w:val="lowerLetter"/>
      <w:start w:val="1"/>
    </w:lvl>
  </w:abstractNum>
  <w:abstractNum w:abstractNumId="86">
    <w:nsid w:val="65968C1C"/>
    <w:multiLevelType w:val="hybridMultilevel"/>
    <w:lvl w:ilvl="0">
      <w:lvlJc w:val="left"/>
      <w:lvlText w:val="(%1)"/>
      <w:numFmt w:val="decimal"/>
      <w:start w:val="1"/>
    </w:lvl>
  </w:abstractNum>
  <w:abstractNum w:abstractNumId="87">
    <w:nsid w:val="46263DEC"/>
    <w:multiLevelType w:val="hybridMultilevel"/>
    <w:lvl w:ilvl="0">
      <w:lvlJc w:val="left"/>
      <w:lvlText w:val="•"/>
      <w:numFmt w:val="bullet"/>
      <w:start w:val="1"/>
    </w:lvl>
  </w:abstractNum>
  <w:abstractNum w:abstractNumId="88">
    <w:nsid w:val="260D8C4A"/>
    <w:multiLevelType w:val="hybridMultilevel"/>
    <w:lvl w:ilvl="0">
      <w:lvlJc w:val="left"/>
      <w:lvlText w:val="%1)"/>
      <w:numFmt w:val="decimal"/>
      <w:start w:val="1"/>
    </w:lvl>
  </w:abstractNum>
  <w:abstractNum w:abstractNumId="89">
    <w:nsid w:val="73D4D3C4"/>
    <w:multiLevelType w:val="hybridMultilevel"/>
    <w:lvl w:ilvl="0">
      <w:lvlJc w:val="left"/>
      <w:lvlText w:val="%1)"/>
      <w:numFmt w:val="decimal"/>
      <w:start w:val="2"/>
    </w:lvl>
  </w:abstractNum>
  <w:abstractNum w:abstractNumId="90">
    <w:nsid w:val="746F2E30"/>
    <w:multiLevelType w:val="hybridMultilevel"/>
    <w:lvl w:ilvl="0">
      <w:lvlJc w:val="left"/>
      <w:lvlText w:val="•"/>
      <w:numFmt w:val="bullet"/>
      <w:start w:val="1"/>
    </w:lvl>
  </w:abstractNum>
  <w:abstractNum w:abstractNumId="91">
    <w:nsid w:val="6FDE8AF6"/>
    <w:multiLevelType w:val="hybridMultilevel"/>
    <w:lvl w:ilvl="0">
      <w:lvlJc w:val="left"/>
      <w:lvlText w:val="•"/>
      <w:numFmt w:val="bullet"/>
      <w:start w:val="1"/>
    </w:lvl>
  </w:abstractNum>
  <w:abstractNum w:abstractNumId="92">
    <w:nsid w:val="3FC32E20"/>
    <w:multiLevelType w:val="hybridMultilevel"/>
    <w:lvl w:ilvl="0">
      <w:lvlJc w:val="left"/>
      <w:lvlText w:val="•"/>
      <w:numFmt w:val="bullet"/>
      <w:start w:val="1"/>
    </w:lvl>
  </w:abstractNum>
  <w:abstractNum w:abstractNumId="93">
    <w:nsid w:val="49C0E823"/>
    <w:multiLevelType w:val="hybridMultilevel"/>
    <w:lvl w:ilvl="0">
      <w:lvlJc w:val="left"/>
      <w:lvlText w:val="•"/>
      <w:numFmt w:val="bullet"/>
      <w:start w:val="1"/>
    </w:lvl>
  </w:abstractNum>
  <w:abstractNum w:abstractNumId="94">
    <w:nsid w:val="14D53685"/>
    <w:multiLevelType w:val="hybridMultilevel"/>
    <w:lvl w:ilvl="0">
      <w:lvlJc w:val="left"/>
      <w:lvlText w:val="•"/>
      <w:numFmt w:val="bullet"/>
      <w:start w:val="1"/>
    </w:lvl>
  </w:abstractNum>
  <w:abstractNum w:abstractNumId="95">
    <w:nsid w:val="230F856C"/>
    <w:multiLevelType w:val="hybridMultilevel"/>
    <w:lvl w:ilvl="0">
      <w:lvlJc w:val="left"/>
      <w:lvlText w:val="•"/>
      <w:numFmt w:val="bullet"/>
      <w:start w:val="1"/>
    </w:lvl>
  </w:abstractNum>
  <w:abstractNum w:abstractNumId="96">
    <w:nsid w:val="6EAA85FB"/>
    <w:multiLevelType w:val="hybridMultilevel"/>
    <w:lvl w:ilvl="0">
      <w:lvlJc w:val="left"/>
      <w:lvlText w:val="•"/>
      <w:numFmt w:val="bullet"/>
      <w:start w:val="1"/>
    </w:lvl>
  </w:abstractNum>
  <w:abstractNum w:abstractNumId="97">
    <w:nsid w:val="3F06ECB2"/>
    <w:multiLevelType w:val="hybridMultilevel"/>
    <w:lvl w:ilvl="0">
      <w:lvlJc w:val="left"/>
      <w:lvlText w:val="•"/>
      <w:numFmt w:val="bullet"/>
      <w:start w:val="1"/>
    </w:lvl>
  </w:abstractNum>
  <w:abstractNum w:abstractNumId="98">
    <w:nsid w:val="3B594807"/>
    <w:multiLevelType w:val="hybridMultilevel"/>
    <w:lvl w:ilvl="0">
      <w:lvlJc w:val="left"/>
      <w:lvlText w:val="•"/>
      <w:numFmt w:val="bullet"/>
      <w:start w:val="1"/>
    </w:lvl>
  </w:abstractNum>
  <w:abstractNum w:abstractNumId="99">
    <w:nsid w:val="6CAA2304"/>
    <w:multiLevelType w:val="hybridMultilevel"/>
    <w:lvl w:ilvl="0">
      <w:lvlJc w:val="left"/>
      <w:lvlText w:val="•"/>
      <w:numFmt w:val="bullet"/>
      <w:start w:val="1"/>
    </w:lvl>
  </w:abstractNum>
  <w:abstractNum w:abstractNumId="100">
    <w:nsid w:val="3F7C2FF4"/>
    <w:multiLevelType w:val="hybridMultilevel"/>
    <w:lvl w:ilvl="0">
      <w:lvlJc w:val="left"/>
      <w:lvlText w:val="•"/>
      <w:numFmt w:val="bullet"/>
      <w:start w:val="1"/>
    </w:lvl>
  </w:abstractNum>
  <w:abstractNum w:abstractNumId="101">
    <w:nsid w:val="25413BEC"/>
    <w:multiLevelType w:val="hybridMultilevel"/>
    <w:lvl w:ilvl="0">
      <w:lvlJc w:val="left"/>
      <w:lvlText w:val="•"/>
      <w:numFmt w:val="bullet"/>
      <w:start w:val="1"/>
    </w:lvl>
  </w:abstractNum>
  <w:abstractNum w:abstractNumId="102">
    <w:nsid w:val="17180B0B"/>
    <w:multiLevelType w:val="hybridMultilevel"/>
    <w:lvl w:ilvl="0">
      <w:lvlJc w:val="left"/>
      <w:lvlText w:val="•"/>
      <w:numFmt w:val="bullet"/>
      <w:start w:val="1"/>
    </w:lvl>
  </w:abstractNum>
  <w:abstractNum w:abstractNumId="103">
    <w:nsid w:val="579328B9"/>
    <w:multiLevelType w:val="hybridMultilevel"/>
    <w:lvl w:ilvl="0">
      <w:lvlJc w:val="left"/>
      <w:lvlText w:val="•"/>
      <w:numFmt w:val="bullet"/>
      <w:start w:val="1"/>
    </w:lvl>
  </w:abstractNum>
  <w:abstractNum w:abstractNumId="104">
    <w:nsid w:val="5D205E20"/>
    <w:multiLevelType w:val="hybridMultilevel"/>
    <w:lvl w:ilvl="0">
      <w:lvlJc w:val="left"/>
      <w:lvlText w:val="•"/>
      <w:numFmt w:val="bullet"/>
      <w:start w:val="1"/>
    </w:lvl>
  </w:abstractNum>
  <w:abstractNum w:abstractNumId="105">
    <w:nsid w:val="11CCA8BA"/>
    <w:multiLevelType w:val="hybridMultilevel"/>
    <w:lvl w:ilvl="0">
      <w:lvlJc w:val="left"/>
      <w:lvlText w:val="•"/>
      <w:numFmt w:val="bullet"/>
      <w:start w:val="1"/>
    </w:lvl>
  </w:abstractNum>
  <w:abstractNum w:abstractNumId="106">
    <w:nsid w:val="4D32AB86"/>
    <w:multiLevelType w:val="hybridMultilevel"/>
    <w:lvl w:ilvl="0">
      <w:lvlJc w:val="left"/>
      <w:lvlText w:val="•"/>
      <w:numFmt w:val="bullet"/>
      <w:start w:val="1"/>
    </w:lvl>
  </w:abstractNum>
  <w:abstractNum w:abstractNumId="107">
    <w:nsid w:val="3F07ACC3"/>
    <w:multiLevelType w:val="hybridMultilevel"/>
    <w:lvl w:ilvl="0">
      <w:lvlJc w:val="left"/>
      <w:lvlText w:val="•"/>
      <w:numFmt w:val="bullet"/>
      <w:start w:val="1"/>
    </w:lvl>
  </w:abstractNum>
  <w:abstractNum w:abstractNumId="108">
    <w:nsid w:val="6B47F63E"/>
    <w:multiLevelType w:val="hybridMultilevel"/>
    <w:lvl w:ilvl="0">
      <w:lvlJc w:val="left"/>
      <w:lvlText w:val="•"/>
      <w:numFmt w:val="bullet"/>
      <w:start w:val="1"/>
    </w:lvl>
  </w:abstractNum>
  <w:abstractNum w:abstractNumId="109">
    <w:nsid w:val="5CB44A05"/>
    <w:multiLevelType w:val="hybridMultilevel"/>
    <w:lvl w:ilvl="0">
      <w:lvlJc w:val="left"/>
      <w:lvlText w:val="•"/>
      <w:numFmt w:val="bullet"/>
      <w:start w:val="1"/>
    </w:lvl>
  </w:abstractNum>
  <w:abstractNum w:abstractNumId="110">
    <w:nsid w:val="16CF80F1"/>
    <w:multiLevelType w:val="hybridMultilevel"/>
    <w:lvl w:ilvl="0">
      <w:lvlJc w:val="left"/>
      <w:lvlText w:val="•"/>
      <w:numFmt w:val="bullet"/>
      <w:start w:val="1"/>
    </w:lvl>
  </w:abstractNum>
  <w:abstractNum w:abstractNumId="111">
    <w:nsid w:val="1C695DEC"/>
    <w:multiLevelType w:val="hybridMultilevel"/>
    <w:lvl w:ilvl="0">
      <w:lvlJc w:val="left"/>
      <w:lvlText w:val="•"/>
      <w:numFmt w:val="bullet"/>
      <w:start w:val="1"/>
    </w:lvl>
  </w:abstractNum>
  <w:abstractNum w:abstractNumId="112">
    <w:nsid w:val="3FCFAED9"/>
    <w:multiLevelType w:val="hybridMultilevel"/>
    <w:lvl w:ilvl="0">
      <w:lvlJc w:val="left"/>
      <w:lvlText w:val="•"/>
      <w:numFmt w:val="bullet"/>
      <w:start w:val="1"/>
    </w:lvl>
  </w:abstractNum>
  <w:abstractNum w:abstractNumId="113">
    <w:nsid w:val="F856867"/>
    <w:multiLevelType w:val="hybridMultilevel"/>
    <w:lvl w:ilvl="0">
      <w:lvlJc w:val="left"/>
      <w:lvlText w:val="•"/>
      <w:numFmt w:val="bullet"/>
      <w:start w:val="1"/>
    </w:lvl>
  </w:abstractNum>
  <w:abstractNum w:abstractNumId="114">
    <w:nsid w:val="11B1CC33"/>
    <w:multiLevelType w:val="hybridMultilevel"/>
    <w:lvl w:ilvl="0">
      <w:lvlJc w:val="left"/>
      <w:lvlText w:val="•"/>
      <w:numFmt w:val="bullet"/>
      <w:start w:val="1"/>
    </w:lvl>
  </w:abstractNum>
  <w:abstractNum w:abstractNumId="115">
    <w:nsid w:val="2E22FBB7"/>
    <w:multiLevelType w:val="hybridMultilevel"/>
    <w:lvl w:ilvl="0">
      <w:lvlJc w:val="left"/>
      <w:lvlText w:val="•"/>
      <w:numFmt w:val="bullet"/>
      <w:start w:val="1"/>
    </w:lvl>
  </w:abstractNum>
  <w:abstractNum w:abstractNumId="116">
    <w:nsid w:val="29934699"/>
    <w:multiLevelType w:val="hybridMultilevel"/>
    <w:lvl w:ilvl="0">
      <w:lvlJc w:val="left"/>
      <w:lvlText w:val="(%1)"/>
      <w:numFmt w:val="decimal"/>
      <w:start w:val="1"/>
    </w:lvl>
  </w:abstractNum>
  <w:abstractNum w:abstractNumId="117">
    <w:nsid w:val="77485850"/>
    <w:multiLevelType w:val="hybridMultilevel"/>
    <w:lvl w:ilvl="0">
      <w:lvlJc w:val="left"/>
      <w:lvlText w:val="(%1)"/>
      <w:numFmt w:val="decimal"/>
      <w:start w:val="5"/>
    </w:lvl>
  </w:abstractNum>
  <w:abstractNum w:abstractNumId="118">
    <w:nsid w:val="744939A3"/>
    <w:multiLevelType w:val="hybridMultilevel"/>
    <w:lvl w:ilvl="0">
      <w:lvlJc w:val="left"/>
      <w:lvlText w:val="(%1)"/>
      <w:numFmt w:val="decimal"/>
      <w:start w:val="1"/>
    </w:lvl>
  </w:abstractNum>
  <w:abstractNum w:abstractNumId="119">
    <w:nsid w:val="4FA0D2E3"/>
    <w:multiLevelType w:val="hybridMultilevel"/>
    <w:lvl w:ilvl="0">
      <w:lvlJc w:val="left"/>
      <w:lvlText w:val="(%1)"/>
      <w:numFmt w:val="lowerRoman"/>
      <w:start w:val="2"/>
    </w:lvl>
  </w:abstractNum>
  <w:abstractNum w:abstractNumId="120">
    <w:nsid w:val="6B1D2C14"/>
    <w:multiLevelType w:val="hybridMultilevel"/>
    <w:lvl w:ilvl="0">
      <w:lvlJc w:val="left"/>
      <w:lvlText w:val="•"/>
      <w:numFmt w:val="bullet"/>
      <w:start w:val="1"/>
    </w:lvl>
  </w:abstractNum>
  <w:abstractNum w:abstractNumId="121">
    <w:nsid w:val="68B867D3"/>
    <w:multiLevelType w:val="hybridMultilevel"/>
    <w:lvl w:ilvl="0">
      <w:lvlJc w:val="left"/>
      <w:lvlText w:val="(%1)"/>
      <w:numFmt w:val="lowerLetter"/>
      <w:start w:val="2"/>
    </w:lvl>
  </w:abstractNum>
  <w:abstractNum w:abstractNumId="122">
    <w:nsid w:val="3F7F5DD9"/>
    <w:multiLevelType w:val="hybridMultilevel"/>
    <w:lvl w:ilvl="0">
      <w:lvlJc w:val="left"/>
      <w:lvlText w:val="•"/>
      <w:numFmt w:val="bullet"/>
      <w:start w:val="1"/>
    </w:lvl>
  </w:abstractNum>
  <w:abstractNum w:abstractNumId="123">
    <w:nsid w:val="2AE05A34"/>
    <w:multiLevelType w:val="hybridMultilevel"/>
    <w:lvl w:ilvl="0">
      <w:lvlJc w:val="left"/>
      <w:lvlText w:val="*"/>
      <w:numFmt w:val="bullet"/>
      <w:start w:val="1"/>
    </w:lvl>
  </w:abstractNum>
  <w:abstractNum w:abstractNumId="124">
    <w:nsid w:val="32794FF7"/>
    <w:multiLevelType w:val="hybridMultilevel"/>
    <w:lvl w:ilvl="0">
      <w:lvlJc w:val="left"/>
      <w:lvlText w:val="(%1)"/>
      <w:numFmt w:val="decimal"/>
      <w:start w:val="1"/>
    </w:lvl>
  </w:abstractNum>
  <w:abstractNum w:abstractNumId="125">
    <w:nsid w:val="5454945E"/>
    <w:multiLevelType w:val="hybridMultilevel"/>
    <w:lvl w:ilvl="0">
      <w:lvlJc w:val="left"/>
      <w:lvlText w:val="(%1)"/>
      <w:numFmt w:val="decimal"/>
      <w:start w:val="8"/>
    </w:lvl>
  </w:abstractNum>
  <w:abstractNum w:abstractNumId="126">
    <w:nsid w:val="4DEFDFA0"/>
    <w:multiLevelType w:val="hybridMultilevel"/>
    <w:lvl w:ilvl="0">
      <w:lvlJc w:val="left"/>
      <w:lvlText w:val="•"/>
      <w:numFmt w:val="bullet"/>
      <w:start w:val="1"/>
    </w:lvl>
  </w:abstractNum>
  <w:abstractNum w:abstractNumId="127">
    <w:nsid w:val="2123D5F2"/>
    <w:multiLevelType w:val="hybridMultilevel"/>
    <w:lvl w:ilvl="0">
      <w:lvlJc w:val="left"/>
      <w:lvlText w:val="•"/>
      <w:numFmt w:val="bullet"/>
      <w:start w:val="1"/>
    </w:lvl>
  </w:abstractNum>
  <w:abstractNum w:abstractNumId="128">
    <w:nsid w:val="135B8110"/>
    <w:multiLevelType w:val="hybridMultilevel"/>
    <w:lvl w:ilvl="0">
      <w:lvlJc w:val="left"/>
      <w:lvlText w:val="•"/>
      <w:numFmt w:val="bullet"/>
      <w:start w:val="1"/>
    </w:lvl>
  </w:abstractNum>
  <w:abstractNum w:abstractNumId="129">
    <w:nsid w:val="94927A8"/>
    <w:multiLevelType w:val="hybridMultilevel"/>
    <w:lvl w:ilvl="0">
      <w:lvlJc w:val="left"/>
      <w:lvlText w:val="•"/>
      <w:numFmt w:val="bullet"/>
      <w:start w:val="1"/>
    </w:lvl>
  </w:abstractNum>
  <w:abstractNum w:abstractNumId="130">
    <w:nsid w:val="DCDF8F6"/>
    <w:multiLevelType w:val="hybridMultilevel"/>
    <w:lvl w:ilvl="0">
      <w:lvlJc w:val="left"/>
      <w:lvlText w:val="•"/>
      <w:numFmt w:val="bullet"/>
      <w:start w:val="1"/>
    </w:lvl>
  </w:abstractNum>
  <w:abstractNum w:abstractNumId="131">
    <w:nsid w:val="52D7B105"/>
    <w:multiLevelType w:val="hybridMultilevel"/>
    <w:lvl w:ilvl="0">
      <w:lvlJc w:val="left"/>
      <w:lvlText w:val="•"/>
      <w:numFmt w:val="bullet"/>
      <w:start w:val="1"/>
    </w:lvl>
  </w:abstractNum>
  <w:abstractNum w:abstractNumId="132">
    <w:nsid w:val="2E8A6394"/>
    <w:multiLevelType w:val="hybridMultilevel"/>
    <w:lvl w:ilvl="0">
      <w:lvlJc w:val="left"/>
      <w:lvlText w:val="•"/>
      <w:numFmt w:val="bullet"/>
      <w:start w:val="1"/>
    </w:lvl>
  </w:abstractNum>
  <w:abstractNum w:abstractNumId="133">
    <w:nsid w:val="24E60401"/>
    <w:multiLevelType w:val="hybridMultilevel"/>
    <w:lvl w:ilvl="0">
      <w:lvlJc w:val="left"/>
      <w:lvlText w:val="•"/>
      <w:numFmt w:val="bullet"/>
      <w:start w:val="1"/>
    </w:lvl>
  </w:abstractNum>
  <w:abstractNum w:abstractNumId="134">
    <w:nsid w:val="2A6AD9BE"/>
    <w:multiLevelType w:val="hybridMultilevel"/>
    <w:lvl w:ilvl="0">
      <w:lvlJc w:val="left"/>
      <w:lvlText w:val="(%1)"/>
      <w:numFmt w:val="lowerLetter"/>
      <w:start w:val="1"/>
    </w:lvl>
  </w:abstractNum>
  <w:abstractNum w:abstractNumId="135">
    <w:nsid w:val="BAAC1B4"/>
    <w:multiLevelType w:val="hybridMultilevel"/>
    <w:lvl w:ilvl="0">
      <w:lvlJc w:val="left"/>
      <w:lvlText w:val="(%1)"/>
      <w:numFmt w:val="lowerLetter"/>
      <w:start w:val="1"/>
    </w:lvl>
  </w:abstractNum>
  <w:abstractNum w:abstractNumId="136">
    <w:nsid w:val="36B2ACBC"/>
    <w:multiLevelType w:val="hybridMultilevel"/>
    <w:lvl w:ilvl="0">
      <w:lvlJc w:val="left"/>
      <w:lvlText w:val="(%1)"/>
      <w:numFmt w:val="lowerLetter"/>
      <w:start w:val="1"/>
    </w:lvl>
  </w:abstractNum>
  <w:abstractNum w:abstractNumId="137">
    <w:nsid w:val="779D8544"/>
    <w:multiLevelType w:val="hybridMultilevel"/>
    <w:lvl w:ilvl="0">
      <w:lvlJc w:val="left"/>
      <w:lvlText w:val="(%1)"/>
      <w:numFmt w:val="decimal"/>
      <w:start w:val="1"/>
    </w:lvl>
  </w:abstractNum>
  <w:abstractNum w:abstractNumId="138">
    <w:nsid w:val="4AB26E78"/>
    <w:multiLevelType w:val="hybridMultilevel"/>
    <w:lvl w:ilvl="0">
      <w:lvlJc w:val="left"/>
      <w:lvlText w:val="(%1)"/>
      <w:numFmt w:val="decimal"/>
      <w:start w:val="2"/>
    </w:lvl>
  </w:abstractNum>
  <w:abstractNum w:abstractNumId="139">
    <w:nsid w:val="21FAA2FA"/>
    <w:multiLevelType w:val="hybridMultilevel"/>
    <w:lvl w:ilvl="0">
      <w:lvlJc w:val="left"/>
      <w:lvlText w:val="(%1)"/>
      <w:numFmt w:val="decimal"/>
      <w:start w:val="1"/>
    </w:lvl>
  </w:abstractNum>
  <w:abstractNum w:abstractNumId="140">
    <w:nsid w:val="5451CF49"/>
    <w:multiLevelType w:val="hybridMultilevel"/>
    <w:lvl w:ilvl="0">
      <w:lvlJc w:val="left"/>
      <w:lvlText w:val="•"/>
      <w:numFmt w:val="bullet"/>
      <w:start w:val="1"/>
    </w:lvl>
  </w:abstractNum>
  <w:abstractNum w:abstractNumId="141">
    <w:nsid w:val="6181EF69"/>
    <w:multiLevelType w:val="hybridMultilevel"/>
    <w:lvl w:ilvl="0">
      <w:lvlJc w:val="left"/>
      <w:lvlText w:val="(%1)"/>
      <w:numFmt w:val="decimal"/>
      <w:start w:val="1"/>
    </w:lvl>
  </w:abstractNum>
  <w:abstractNum w:abstractNumId="142">
    <w:nsid w:val="3E6400E6"/>
    <w:multiLevelType w:val="hybridMultilevel"/>
    <w:lvl w:ilvl="0">
      <w:lvlJc w:val="left"/>
      <w:lvlText w:val="(%1)"/>
      <w:numFmt w:val="upperLetter"/>
      <w:start w:val="1"/>
    </w:lvl>
  </w:abstractNum>
  <w:abstractNum w:abstractNumId="143">
    <w:nsid w:val="14217E23"/>
    <w:multiLevelType w:val="hybridMultilevel"/>
    <w:lvl w:ilvl="0">
      <w:lvlJc w:val="left"/>
      <w:lvlText w:val="%1."/>
      <w:numFmt w:val="decimal"/>
      <w:start w:val="718"/>
    </w:lvl>
  </w:abstractNum>
  <w:abstractNum w:abstractNumId="144">
    <w:nsid w:val="710757D0"/>
    <w:multiLevelType w:val="hybridMultilevel"/>
    <w:lvl w:ilvl="0">
      <w:lvlJc w:val="left"/>
      <w:lvlText w:val="(%1)"/>
      <w:numFmt w:val="decimal"/>
      <w:start w:val="1"/>
    </w:lvl>
  </w:abstractNum>
  <w:abstractNum w:abstractNumId="145">
    <w:nsid w:val="5015CD1A"/>
    <w:multiLevelType w:val="hybridMultilevel"/>
    <w:lvl w:ilvl="0">
      <w:lvlJc w:val="left"/>
      <w:lvlText w:val="(%1)"/>
      <w:numFmt w:val="decimal"/>
      <w:start w:val="1"/>
    </w:lvl>
  </w:abstractNum>
  <w:abstractNum w:abstractNumId="146">
    <w:nsid w:val="424479DA"/>
    <w:multiLevelType w:val="hybridMultilevel"/>
    <w:lvl w:ilvl="0">
      <w:lvlJc w:val="left"/>
      <w:lvlText w:val="$"/>
      <w:numFmt w:val="bullet"/>
      <w:start w:val="1"/>
    </w:lvl>
  </w:abstractNum>
  <w:abstractNum w:abstractNumId="147">
    <w:nsid w:val="1A9A9E69"/>
    <w:multiLevelType w:val="hybridMultilevel"/>
    <w:lvl w:ilvl="0">
      <w:lvlJc w:val="left"/>
      <w:lvlText w:val="•"/>
      <w:numFmt w:val="bullet"/>
      <w:start w:val="1"/>
    </w:lvl>
  </w:abstractNum>
  <w:abstractNum w:abstractNumId="148">
    <w:nsid w:val="475E256A"/>
    <w:multiLevelType w:val="hybridMultilevel"/>
    <w:lvl w:ilvl="0">
      <w:lvlJc w:val="left"/>
      <w:lvlText w:val="•"/>
      <w:numFmt w:val="bullet"/>
      <w:start w:val="1"/>
    </w:lvl>
  </w:abstractNum>
  <w:abstractNum w:abstractNumId="149">
    <w:nsid w:val="368DB37E"/>
    <w:multiLevelType w:val="hybridMultilevel"/>
    <w:lvl w:ilvl="0">
      <w:lvlJc w:val="left"/>
      <w:lvlText w:val="(%1)"/>
      <w:numFmt w:val="decimal"/>
      <w:start w:val="1"/>
    </w:lvl>
  </w:abstractNum>
  <w:abstractNum w:abstractNumId="150">
    <w:nsid w:val="6A3B714C"/>
    <w:multiLevelType w:val="hybridMultilevel"/>
    <w:lvl w:ilvl="0">
      <w:lvlJc w:val="left"/>
      <w:lvlText w:val="•"/>
      <w:numFmt w:val="bullet"/>
      <w:start w:val="1"/>
    </w:lvl>
  </w:abstractNum>
  <w:abstractNum w:abstractNumId="151">
    <w:nsid w:val="327B517E"/>
    <w:multiLevelType w:val="hybridMultilevel"/>
    <w:lvl w:ilvl="0">
      <w:lvlJc w:val="left"/>
      <w:lvlText w:val="$"/>
      <w:numFmt w:val="bullet"/>
      <w:start w:val="1"/>
    </w:lvl>
  </w:abstractNum>
  <w:abstractNum w:abstractNumId="152">
    <w:nsid w:val="1F461B51"/>
    <w:multiLevelType w:val="hybridMultilevel"/>
    <w:lvl w:ilvl="0">
      <w:lvlJc w:val="left"/>
      <w:lvlText w:val="$"/>
      <w:numFmt w:val="bullet"/>
      <w:start w:val="1"/>
    </w:lvl>
  </w:abstractNum>
  <w:abstractNum w:abstractNumId="153">
    <w:nsid w:val="29BACF25"/>
    <w:multiLevelType w:val="hybridMultilevel"/>
    <w:lvl w:ilvl="0">
      <w:lvlJc w:val="left"/>
      <w:lvlText w:val="%1."/>
      <w:numFmt w:val="decimal"/>
      <w:start w:val="1"/>
    </w:lvl>
  </w:abstractNum>
  <w:abstractNum w:abstractNumId="154">
    <w:nsid w:val="5D5BABB3"/>
    <w:multiLevelType w:val="hybridMultilevel"/>
    <w:lvl w:ilvl="0">
      <w:lvlJc w:val="left"/>
      <w:lvlText w:val="(%1)"/>
      <w:numFmt w:val="decimal"/>
      <w:start w:val="2"/>
    </w:lvl>
  </w:abstractNum>
  <w:abstractNum w:abstractNumId="155">
    <w:nsid w:val="51BF6B48"/>
    <w:multiLevelType w:val="hybridMultilevel"/>
    <w:lvl w:ilvl="0">
      <w:lvlJc w:val="left"/>
      <w:lvlText w:val="(%1)"/>
      <w:numFmt w:val="lowerLetter"/>
      <w:start w:val="1"/>
    </w:lvl>
  </w:abstractNum>
  <w:abstractNum w:abstractNumId="156">
    <w:nsid w:val="7E0F6384"/>
    <w:multiLevelType w:val="hybridMultilevel"/>
    <w:lvl w:ilvl="0">
      <w:lvlJc w:val="left"/>
      <w:lvlText w:val="(%1)"/>
      <w:numFmt w:val="decimal"/>
      <w:start w:val="1"/>
    </w:lvl>
    <w:lvl w:ilvl="1">
      <w:lvlJc w:val="left"/>
      <w:lvlText w:val="(%2)"/>
      <w:numFmt w:val="upperLetter"/>
      <w:start w:val="1"/>
    </w:lvl>
  </w:abstractNum>
  <w:abstractNum w:abstractNumId="157">
    <w:nsid w:val="2B4B8B53"/>
    <w:multiLevelType w:val="hybridMultilevel"/>
    <w:lvl w:ilvl="0">
      <w:lvlJc w:val="left"/>
      <w:lvlText w:val="%1."/>
      <w:numFmt w:val="decimal"/>
      <w:start w:val="1"/>
    </w:lvl>
    <w:lvl w:ilvl="1">
      <w:lvlJc w:val="left"/>
      <w:lvlText w:val="(%2)"/>
      <w:numFmt w:val="lowerLetter"/>
      <w:start w:val="1"/>
    </w:lvl>
  </w:abstractNum>
  <w:abstractNum w:abstractNumId="158">
    <w:nsid w:val="72E3413A"/>
    <w:multiLevelType w:val="hybridMultilevel"/>
    <w:lvl w:ilvl="0">
      <w:lvlJc w:val="left"/>
      <w:lvlText w:val="(%1)"/>
      <w:numFmt w:val="lowerLetter"/>
      <w:start w:val="3"/>
    </w:lvl>
  </w:abstractNum>
  <w:abstractNum w:abstractNumId="159">
    <w:nsid w:val="116AE494"/>
    <w:multiLevelType w:val="hybridMultilevel"/>
    <w:lvl w:ilvl="0">
      <w:lvlJc w:val="left"/>
      <w:lvlText w:val="(%1)"/>
      <w:numFmt w:val="lowerLetter"/>
      <w:start w:val="5"/>
    </w:lvl>
  </w:abstractNum>
  <w:abstractNum w:abstractNumId="160">
    <w:nsid w:val="3494B2FB"/>
    <w:multiLevelType w:val="hybridMultilevel"/>
    <w:lvl w:ilvl="0">
      <w:lvlJc w:val="left"/>
      <w:lvlText w:val="(%1)"/>
      <w:numFmt w:val="lowerLetter"/>
      <w:start w:val="9"/>
    </w:lvl>
  </w:abstractNum>
  <w:abstractNum w:abstractNumId="161">
    <w:nsid w:val="B13A31"/>
    <w:multiLevelType w:val="hybridMultilevel"/>
    <w:lvl w:ilvl="0">
      <w:lvlJc w:val="left"/>
      <w:lvlText w:val="(%1)"/>
      <w:numFmt w:val="lowerLetter"/>
      <w:start w:val="15"/>
    </w:lvl>
  </w:abstractNum>
  <w:abstractNum w:abstractNumId="162">
    <w:nsid w:val="64429599"/>
    <w:multiLevelType w:val="hybridMultilevel"/>
    <w:lvl w:ilvl="0">
      <w:lvlJc w:val="left"/>
      <w:lvlText w:val="(%1)"/>
      <w:numFmt w:val="lowerLetter"/>
      <w:start w:val="17"/>
    </w:lvl>
  </w:abstractNum>
  <w:abstractNum w:abstractNumId="163">
    <w:nsid w:val="631F1690"/>
    <w:multiLevelType w:val="hybridMultilevel"/>
    <w:lvl w:ilvl="0">
      <w:lvlJc w:val="left"/>
      <w:lvlText w:val="(%1)"/>
      <w:numFmt w:val="lowerLetter"/>
      <w:start w:val="22"/>
    </w:lvl>
  </w:abstractNum>
  <w:abstractNum w:abstractNumId="164">
    <w:nsid w:val="25973E32"/>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165">
    <w:nsid w:val="EAD6F57"/>
    <w:multiLevelType w:val="hybridMultilevel"/>
    <w:lvl w:ilvl="0">
      <w:lvlJc w:val="left"/>
      <w:lvlText w:val="(%1)"/>
      <w:numFmt w:val="lowerLetter"/>
      <w:start w:val="27"/>
    </w:lvl>
  </w:abstractNum>
  <w:abstractNum w:abstractNumId="166">
    <w:nsid w:val="6EC9D844"/>
    <w:multiLevelType w:val="hybridMultilevel"/>
    <w:lvl w:ilvl="0">
      <w:lvlJc w:val="left"/>
      <w:lvlText w:val="(%1)"/>
      <w:numFmt w:val="lowerLetter"/>
      <w:start w:val="28"/>
    </w:lvl>
  </w:abstractNum>
  <w:abstractNum w:abstractNumId="167">
    <w:nsid w:val="5C49EAEE"/>
    <w:multiLevelType w:val="hybridMultilevel"/>
    <w:lvl w:ilvl="0">
      <w:lvlJc w:val="left"/>
      <w:lvlText w:val="(%1)"/>
      <w:numFmt w:val="lowerLetter"/>
      <w:start w:val="30"/>
    </w:lvl>
  </w:abstractNum>
  <w:abstractNum w:abstractNumId="168">
    <w:nsid w:val="64AF49B"/>
    <w:multiLevelType w:val="hybridMultilevel"/>
    <w:lvl w:ilvl="0">
      <w:lvlJc w:val="left"/>
      <w:lvlText w:val="(%1)"/>
      <w:numFmt w:val="lowerLetter"/>
      <w:start w:val="32"/>
    </w:lvl>
  </w:abstractNum>
  <w:abstractNum w:abstractNumId="169">
    <w:nsid w:val="397C46BC"/>
    <w:multiLevelType w:val="hybridMultilevel"/>
    <w:lvl w:ilvl="0">
      <w:lvlJc w:val="left"/>
      <w:lvlText w:val="(%1)"/>
      <w:numFmt w:val="lowerLetter"/>
      <w:start w:val="34"/>
    </w:lvl>
  </w:abstractNum>
  <w:abstractNum w:abstractNumId="170">
    <w:nsid w:val="7E448DE9"/>
    <w:multiLevelType w:val="hybridMultilevel"/>
    <w:lvl w:ilvl="0">
      <w:lvlJc w:val="left"/>
      <w:lvlText w:val="(%1)"/>
      <w:numFmt w:val="lowerLetter"/>
      <w:start w:val="37"/>
    </w:lvl>
  </w:abstractNum>
  <w:abstractNum w:abstractNumId="171">
    <w:nsid w:val="5A9CC3E5"/>
    <w:multiLevelType w:val="hybridMultilevel"/>
    <w:lvl w:ilvl="0">
      <w:lvlJc w:val="left"/>
      <w:lvlText w:val="(%1)"/>
      <w:numFmt w:val="lowerLetter"/>
      <w:start w:val="25"/>
    </w:lvl>
    <w:lvl w:ilvl="1">
      <w:lvlJc w:val="left"/>
      <w:lvlText w:val="(%2)"/>
      <w:numFmt w:val="lowerLetter"/>
      <w:start w:val="39"/>
    </w:lvl>
  </w:abstractNum>
  <w:abstractNum w:abstractNumId="172">
    <w:nsid w:val="1AFE3625"/>
    <w:multiLevelType w:val="hybridMultilevel"/>
    <w:lvl w:ilvl="0">
      <w:lvlJc w:val="left"/>
      <w:lvlText w:val="(%1)"/>
      <w:numFmt w:val="lowerLetter"/>
      <w:start w:val="43"/>
    </w:lvl>
  </w:abstractNum>
  <w:abstractNum w:abstractNumId="173">
    <w:nsid w:val="3CA88ECF"/>
    <w:multiLevelType w:val="hybridMultilevel"/>
    <w:lvl w:ilvl="0">
      <w:lvlJc w:val="left"/>
      <w:lvlText w:val="%1"/>
      <w:numFmt w:val="decimal"/>
      <w:start w:val="1"/>
    </w:lvl>
    <w:lvl w:ilvl="1">
      <w:lvlJc w:val="left"/>
      <w:lvlText w:val="(%2)"/>
      <w:numFmt w:val="lowerLetter"/>
      <w:start w:val="49"/>
    </w:lvl>
  </w:abstractNum>
  <w:abstractNum w:abstractNumId="174">
    <w:nsid w:val="6EBE4208"/>
    <w:multiLevelType w:val="hybridMultilevel"/>
    <w:lvl w:ilvl="0">
      <w:lvlJc w:val="left"/>
      <w:lvlText w:val="%1."/>
      <w:numFmt w:val="decimal"/>
      <w:start w:val="2"/>
    </w:lvl>
    <w:lvl w:ilvl="1">
      <w:lvlJc w:val="left"/>
      <w:lvlText w:val="(%2)"/>
      <w:numFmt w:val="lowerLetter"/>
      <w:start w:val="1"/>
    </w:lvl>
  </w:abstractNum>
  <w:abstractNum w:abstractNumId="175">
    <w:nsid w:val="C058DF5"/>
    <w:multiLevelType w:val="hybridMultilevel"/>
    <w:lvl w:ilvl="0">
      <w:lvlJc w:val="left"/>
      <w:lvlText w:val="%1"/>
      <w:numFmt w:val="lowerLetter"/>
      <w:start w:val="1"/>
    </w:lvl>
    <w:lvl w:ilvl="1">
      <w:lvlJc w:val="left"/>
      <w:lvlText w:val="(%2)"/>
      <w:numFmt w:val="lowerLetter"/>
      <w:start w:val="4"/>
    </w:lvl>
  </w:abstractNum>
  <w:abstractNum w:abstractNumId="176">
    <w:nsid w:val="CBE5BE9"/>
    <w:multiLevelType w:val="hybridMultilevel"/>
    <w:lvl w:ilvl="0">
      <w:lvlJc w:val="left"/>
      <w:lvlText w:val="(%1)"/>
      <w:numFmt w:val="lowerLetter"/>
      <w:start w:val="25"/>
    </w:lvl>
    <w:lvl w:ilvl="1">
      <w:lvlJc w:val="left"/>
      <w:lvlText w:val="(%2)"/>
      <w:numFmt w:val="lowerLetter"/>
      <w:start w:val="5"/>
    </w:lvl>
  </w:abstractNum>
  <w:abstractNum w:abstractNumId="177">
    <w:nsid w:val="3102BBE2"/>
    <w:multiLevelType w:val="hybridMultilevel"/>
    <w:lvl w:ilvl="0">
      <w:lvlJc w:val="left"/>
      <w:lvlText w:val="(%1)"/>
      <w:numFmt w:val="lowerLetter"/>
      <w:start w:val="7"/>
    </w:lvl>
  </w:abstractNum>
  <w:abstractNum w:abstractNumId="178">
    <w:nsid w:val="26A02C5E"/>
    <w:multiLevelType w:val="hybridMultilevel"/>
    <w:lvl w:ilvl="0">
      <w:lvlJc w:val="left"/>
      <w:lvlText w:val="%1."/>
      <w:numFmt w:val="decimal"/>
      <w:start w:val="3"/>
    </w:lvl>
  </w:abstractNum>
  <w:abstractNum w:abstractNumId="179">
    <w:nsid w:val="541C8153"/>
    <w:multiLevelType w:val="hybridMultilevel"/>
    <w:lvl w:ilvl="0">
      <w:lvlJc w:val="left"/>
      <w:lvlText w:val="%1."/>
      <w:numFmt w:val="decimal"/>
      <w:start w:val="4"/>
    </w:lvl>
  </w:abstractNum>
  <w:abstractNum w:abstractNumId="180">
    <w:nsid w:val="67906F60"/>
    <w:multiLevelType w:val="hybridMultilevel"/>
    <w:lvl w:ilvl="0">
      <w:lvlJc w:val="left"/>
      <w:lvlText w:val="%1."/>
      <w:numFmt w:val="decimal"/>
      <w:start w:val="5"/>
    </w:lvl>
  </w:abstractNum>
  <w:abstractNum w:abstractNumId="181">
    <w:nsid w:val="10DB9DAA"/>
    <w:multiLevelType w:val="hybridMultilevel"/>
    <w:lvl w:ilvl="0">
      <w:lvlJc w:val="left"/>
      <w:lvlText w:val="%1."/>
      <w:numFmt w:val="decimal"/>
      <w:start w:val="6"/>
    </w:lvl>
  </w:abstractNum>
  <w:abstractNum w:abstractNumId="182">
    <w:nsid w:val="697D2D2"/>
    <w:multiLevelType w:val="hybridMultilevel"/>
    <w:lvl w:ilvl="0">
      <w:lvlJc w:val="left"/>
      <w:lvlText w:val="(%1)"/>
      <w:numFmt w:val="lowerLetter"/>
      <w:start w:val="1"/>
    </w:lvl>
  </w:abstractNum>
  <w:abstractNum w:abstractNumId="183">
    <w:nsid w:val="6D68AB2"/>
    <w:multiLevelType w:val="hybridMultilevel"/>
    <w:lvl w:ilvl="0">
      <w:lvlJc w:val="left"/>
      <w:lvlText w:val="(%1)"/>
      <w:numFmt w:val="lowerLetter"/>
      <w:start w:val="2"/>
    </w:lvl>
    <w:lvl w:ilvl="1">
      <w:lvlJc w:val="left"/>
      <w:lvlText w:val="(%2)"/>
      <w:numFmt w:val="lowerRoman"/>
      <w:start w:val="1"/>
    </w:lvl>
  </w:abstractNum>
  <w:abstractNum w:abstractNumId="184">
    <w:nsid w:val="3A966CD0"/>
    <w:multiLevelType w:val="hybridMultilevel"/>
    <w:lvl w:ilvl="0">
      <w:lvlJc w:val="left"/>
      <w:lvlText w:val="(%1)"/>
      <w:numFmt w:val="lowerLetter"/>
      <w:start w:val="6"/>
    </w:lvl>
  </w:abstractNum>
  <w:abstractNum w:abstractNumId="185">
    <w:nsid w:val="63F37E85"/>
    <w:multiLevelType w:val="hybridMultilevel"/>
    <w:lvl w:ilvl="0">
      <w:lvlJc w:val="left"/>
      <w:lvlText w:val="(%1)"/>
      <w:numFmt w:val="lowerLetter"/>
      <w:start w:val="12"/>
    </w:lvl>
    <w:lvl w:ilvl="1">
      <w:lvlJc w:val="left"/>
      <w:lvlText w:val="(%2)"/>
      <w:numFmt w:val="lowerRoman"/>
      <w:start w:val="1"/>
    </w:lvl>
  </w:abstractNum>
  <w:abstractNum w:abstractNumId="186">
    <w:nsid w:val="5895F5FA"/>
    <w:multiLevelType w:val="hybridMultilevel"/>
    <w:lvl w:ilvl="0">
      <w:lvlJc w:val="left"/>
      <w:lvlText w:val="%1."/>
      <w:numFmt w:val="decimal"/>
      <w:start w:val="7"/>
    </w:lvl>
    <w:lvl w:ilvl="1">
      <w:lvlJc w:val="left"/>
      <w:lvlText w:val="(%2)"/>
      <w:numFmt w:val="lowerLetter"/>
      <w:start w:val="1"/>
    </w:lvl>
  </w:abstractNum>
  <w:abstractNum w:abstractNumId="187">
    <w:nsid w:val="38A5D054"/>
    <w:multiLevelType w:val="hybridMultilevel"/>
    <w:lvl w:ilvl="0">
      <w:lvlJc w:val="left"/>
      <w:lvlText w:val="%1"/>
      <w:numFmt w:val="lowerRoman"/>
      <w:start w:val="1"/>
    </w:lvl>
    <w:lvl w:ilvl="1">
      <w:lvlJc w:val="left"/>
      <w:lvlText w:val="(%2)"/>
      <w:numFmt w:val="lowerLetter"/>
      <w:start w:val="6"/>
    </w:lvl>
  </w:abstractNum>
  <w:abstractNum w:abstractNumId="188">
    <w:nsid w:val="F3F09D8"/>
    <w:multiLevelType w:val="hybridMultilevel"/>
    <w:lvl w:ilvl="0">
      <w:lvlJc w:val="left"/>
      <w:lvlText w:val="(%1)"/>
      <w:numFmt w:val="lowerRoman"/>
      <w:start w:val="4"/>
    </w:lvl>
    <w:lvl w:ilvl="1">
      <w:lvlJc w:val="left"/>
      <w:lvlText w:val="%2"/>
      <w:numFmt w:val="lowerLetter"/>
      <w:start w:val="1"/>
    </w:lvl>
  </w:abstractNum>
  <w:abstractNum w:abstractNumId="189">
    <w:nsid w:val="4B793735"/>
    <w:multiLevelType w:val="hybridMultilevel"/>
    <w:lvl w:ilvl="0">
      <w:lvlJc w:val="left"/>
      <w:lvlText w:val="(%1)"/>
      <w:numFmt w:val="lowerLetter"/>
      <w:start w:val="8"/>
    </w:lvl>
  </w:abstractNum>
  <w:abstractNum w:abstractNumId="190">
    <w:nsid w:val="4A10B4E8"/>
    <w:multiLevelType w:val="hybridMultilevel"/>
    <w:lvl w:ilvl="0">
      <w:lvlJc w:val="left"/>
      <w:lvlText w:val="(%1)"/>
      <w:numFmt w:val="lowerLetter"/>
      <w:start w:val="11"/>
    </w:lvl>
  </w:abstractNum>
  <w:abstractNum w:abstractNumId="191">
    <w:nsid w:val="43D3BCD4"/>
    <w:multiLevelType w:val="hybridMultilevel"/>
    <w:lvl w:ilvl="0">
      <w:lvlJc w:val="left"/>
      <w:lvlText w:val="%1"/>
      <w:numFmt w:val="decimal"/>
      <w:start w:val="1"/>
    </w:lvl>
    <w:lvl w:ilvl="1">
      <w:lvlJc w:val="left"/>
      <w:lvlText w:val="(%2)"/>
      <w:numFmt w:val="lowerLetter"/>
      <w:start w:val="15"/>
    </w:lvl>
    <w:lvl w:ilvl="2">
      <w:lvlJc w:val="left"/>
      <w:lvlText w:val="%3"/>
      <w:numFmt w:val="lowerLetter"/>
      <w:start w:val="1"/>
    </w:lvl>
  </w:abstractNum>
  <w:abstractNum w:abstractNumId="192">
    <w:nsid w:val="4C2A7166"/>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93">
    <w:nsid w:val="2E534A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194">
    <w:nsid w:val="26F2D3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195">
    <w:nsid w:val="71C1AF98"/>
    <w:multiLevelType w:val="hybridMultilevel"/>
    <w:lvl w:ilvl="0">
      <w:lvlJc w:val="left"/>
      <w:lvlText w:val="%1."/>
      <w:numFmt w:val="decimal"/>
      <w:start w:val="9"/>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196">
    <w:nsid w:val="3D00B9D9"/>
    <w:multiLevelType w:val="hybridMultilevel"/>
    <w:lvl w:ilvl="0">
      <w:lvlJc w:val="left"/>
      <w:lvlText w:val="(%1)"/>
      <w:numFmt w:val="lowerLetter"/>
      <w:start w:val="3"/>
    </w:lvl>
  </w:abstractNum>
  <w:abstractNum w:abstractNumId="197">
    <w:nsid w:val="15BCABA8"/>
    <w:multiLevelType w:val="hybridMultilevel"/>
    <w:lvl w:ilvl="0">
      <w:lvlJc w:val="left"/>
      <w:lvlText w:val="(%1)"/>
      <w:numFmt w:val="lowerLetter"/>
      <w:start w:val="5"/>
    </w:lvl>
  </w:abstractNum>
  <w:abstractNum w:abstractNumId="198">
    <w:nsid w:val="4E0B9A87"/>
    <w:multiLevelType w:val="hybridMultilevel"/>
    <w:lvl w:ilvl="0">
      <w:lvlJc w:val="left"/>
      <w:lvlText w:val="(%1)"/>
      <w:numFmt w:val="lowerLetter"/>
      <w:start w:val="6"/>
    </w:lvl>
  </w:abstractNum>
  <w:abstractNum w:abstractNumId="199">
    <w:nsid w:val="434BAE75"/>
    <w:multiLevelType w:val="hybridMultilevel"/>
    <w:lvl w:ilvl="0">
      <w:lvlJc w:val="left"/>
      <w:lvlText w:val="%1"/>
      <w:numFmt w:val="decimal"/>
      <w:start w:val="1"/>
    </w:lvl>
    <w:lvl w:ilvl="1">
      <w:lvlJc w:val="left"/>
      <w:lvlText w:val="(%2)"/>
      <w:numFmt w:val="lowerLetter"/>
      <w:start w:val="7"/>
    </w:lvl>
  </w:abstractNum>
  <w:abstractNum w:abstractNumId="200">
    <w:nsid w:val="4F38F265"/>
    <w:multiLevelType w:val="hybridMultilevel"/>
    <w:lvl w:ilvl="0">
      <w:lvlJc w:val="left"/>
      <w:lvlText w:val="%1."/>
      <w:numFmt w:val="decimal"/>
      <w:start w:val="11"/>
    </w:lvl>
    <w:lvl w:ilvl="1">
      <w:lvlJc w:val="left"/>
      <w:lvlText w:val="(%2)"/>
      <w:numFmt w:val="lowerLetter"/>
      <w:start w:val="1"/>
    </w:lvl>
  </w:abstractNum>
  <w:abstractNum w:abstractNumId="201">
    <w:nsid w:val="4C502870"/>
    <w:multiLevelType w:val="hybridMultilevel"/>
    <w:lvl w:ilvl="0">
      <w:lvlJc w:val="left"/>
      <w:lvlText w:val="(%1)"/>
      <w:numFmt w:val="lowerLetter"/>
      <w:start w:val="3"/>
    </w:lvl>
  </w:abstractNum>
  <w:abstractNum w:abstractNumId="202">
    <w:nsid w:val="1DE8725A"/>
    <w:multiLevelType w:val="hybridMultilevel"/>
    <w:lvl w:ilvl="0">
      <w:lvlJc w:val="left"/>
      <w:lvlText w:val="%1"/>
      <w:numFmt w:val="decimal"/>
      <w:start w:val="1"/>
    </w:lvl>
    <w:lvl w:ilvl="1">
      <w:lvlJc w:val="left"/>
      <w:lvlText w:val="(%2)"/>
      <w:numFmt w:val="lowerLetter"/>
      <w:start w:val="4"/>
    </w:lvl>
  </w:abstractNum>
  <w:abstractNum w:abstractNumId="203">
    <w:nsid w:val="6A37288A"/>
    <w:multiLevelType w:val="hybridMultilevel"/>
    <w:lvl w:ilvl="0">
      <w:lvlJc w:val="left"/>
      <w:lvlText w:val="%1."/>
      <w:numFmt w:val="decimal"/>
      <w:start w:val="13"/>
    </w:lvl>
    <w:lvl w:ilvl="1">
      <w:lvlJc w:val="left"/>
      <w:lvlText w:val="(%2)"/>
      <w:numFmt w:val="lowerLetter"/>
      <w:start w:val="2"/>
    </w:lvl>
  </w:abstractNum>
  <w:abstractNum w:abstractNumId="204">
    <w:nsid w:val="8F8B73F"/>
    <w:multiLevelType w:val="hybridMultilevel"/>
    <w:lvl w:ilvl="0">
      <w:lvlJc w:val="left"/>
      <w:lvlText w:val="%1"/>
      <w:numFmt w:val="decimal"/>
      <w:start w:val="1"/>
    </w:lvl>
    <w:lvl w:ilvl="1">
      <w:lvlJc w:val="left"/>
      <w:lvlText w:val="(%2)"/>
      <w:numFmt w:val="lowerLetter"/>
      <w:start w:val="4"/>
    </w:lvl>
  </w:abstractNum>
  <w:abstractNum w:abstractNumId="205">
    <w:nsid w:val="CA6B462"/>
    <w:multiLevelType w:val="hybridMultilevel"/>
    <w:lvl w:ilvl="0">
      <w:lvlJc w:val="left"/>
      <w:lvlText w:val="%1."/>
      <w:numFmt w:val="decimal"/>
      <w:start w:val="14"/>
    </w:lvl>
    <w:lvl w:ilvl="1">
      <w:lvlJc w:val="left"/>
      <w:lvlText w:val="(%2)"/>
      <w:numFmt w:val="lowerLetter"/>
      <w:start w:val="2"/>
    </w:lvl>
  </w:abstractNum>
  <w:abstractNum w:abstractNumId="206">
    <w:nsid w:val="763CB680"/>
    <w:multiLevelType w:val="hybridMultilevel"/>
    <w:lvl w:ilvl="0">
      <w:lvlJc w:val="left"/>
      <w:lvlText w:val="%1."/>
      <w:numFmt w:val="decimal"/>
      <w:start w:val="15"/>
    </w:lvl>
    <w:lvl w:ilvl="1">
      <w:lvlJc w:val="left"/>
      <w:lvlText w:val="(%2)"/>
      <w:numFmt w:val="lowerLetter"/>
      <w:start w:val="2"/>
    </w:lvl>
  </w:abstractNum>
  <w:abstractNum w:abstractNumId="207">
    <w:nsid w:val="15B71329"/>
    <w:multiLevelType w:val="hybridMultilevel"/>
    <w:lvl w:ilvl="0">
      <w:lvlJc w:val="left"/>
      <w:lvlText w:val="%1."/>
      <w:numFmt w:val="decimal"/>
      <w:start w:val="1"/>
    </w:lvl>
  </w:abstractNum>
  <w:abstractNum w:abstractNumId="208">
    <w:nsid w:val="3DA97044"/>
    <w:multiLevelType w:val="hybridMultilevel"/>
    <w:lvl w:ilvl="0">
      <w:lvlJc w:val="left"/>
      <w:lvlText w:val="(%1)"/>
      <w:numFmt w:val="lowerLetter"/>
      <w:start w:val="1"/>
    </w:lvl>
  </w:abstractNum>
  <w:abstractNum w:abstractNumId="209">
    <w:nsid w:val="1CDCE2DE"/>
    <w:multiLevelType w:val="hybridMultilevel"/>
    <w:lvl w:ilvl="0">
      <w:lvlJc w:val="left"/>
      <w:lvlText w:val="(%1)"/>
      <w:numFmt w:val="lowerLetter"/>
      <w:start w:val="4"/>
    </w:lvl>
  </w:abstractNum>
  <w:abstractNum w:abstractNumId="210">
    <w:nsid w:val="69D3947C"/>
    <w:multiLevelType w:val="hybridMultilevel"/>
    <w:lvl w:ilvl="0">
      <w:lvlJc w:val="left"/>
      <w:lvlText w:val="(%1)"/>
      <w:numFmt w:val="lowerLetter"/>
      <w:start w:val="7"/>
    </w:lvl>
  </w:abstractNum>
  <w:abstractNum w:abstractNumId="211">
    <w:nsid w:val="2539DFA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53" Type="http://schemas.openxmlformats.org/officeDocument/2006/relationships/image" Target="media/image432.png"/><Relationship Id="rId470" Type="http://schemas.openxmlformats.org/officeDocument/2006/relationships/image" Target="media/image433.pn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6" Type="http://schemas.openxmlformats.org/officeDocument/2006/relationships/image" Target="media/image438.png"/><Relationship Id="rId477"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0" Type="http://schemas.openxmlformats.org/officeDocument/2006/relationships/image" Target="media/image442.png"/><Relationship Id="rId481" Type="http://schemas.openxmlformats.org/officeDocument/2006/relationships/image" Target="media/image443.png"/><Relationship Id="rId482"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6" Type="http://schemas.openxmlformats.org/officeDocument/2006/relationships/image" Target="media/image448.png"/><Relationship Id="rId487" Type="http://schemas.openxmlformats.org/officeDocument/2006/relationships/image" Target="media/image449.png"/><Relationship Id="rId48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94" Type="http://schemas.openxmlformats.org/officeDocument/2006/relationships/image" Target="media/image456.png"/><Relationship Id="rId495" Type="http://schemas.openxmlformats.org/officeDocument/2006/relationships/image" Target="media/image457.png"/><Relationship Id="rId496" Type="http://schemas.openxmlformats.org/officeDocument/2006/relationships/image" Target="media/image458.png"/><Relationship Id="rId497" Type="http://schemas.openxmlformats.org/officeDocument/2006/relationships/image" Target="media/image459.png"/><Relationship Id="rId498" Type="http://schemas.openxmlformats.org/officeDocument/2006/relationships/image" Target="media/image460.png"/><Relationship Id="rId499" Type="http://schemas.openxmlformats.org/officeDocument/2006/relationships/image" Target="media/image461.png"/><Relationship Id="rId500" Type="http://schemas.openxmlformats.org/officeDocument/2006/relationships/image" Target="media/image462.png"/><Relationship Id="rId501" Type="http://schemas.openxmlformats.org/officeDocument/2006/relationships/image" Target="media/image463.png"/><Relationship Id="rId502" Type="http://schemas.openxmlformats.org/officeDocument/2006/relationships/image" Target="media/image464.png"/><Relationship Id="rId503" Type="http://schemas.openxmlformats.org/officeDocument/2006/relationships/image" Target="media/image465.png"/><Relationship Id="rId504" Type="http://schemas.openxmlformats.org/officeDocument/2006/relationships/image" Target="media/image466.png"/><Relationship Id="rId505" Type="http://schemas.openxmlformats.org/officeDocument/2006/relationships/image" Target="media/image467.png"/><Relationship Id="rId506" Type="http://schemas.openxmlformats.org/officeDocument/2006/relationships/image" Target="media/image468.png"/><Relationship Id="rId507" Type="http://schemas.openxmlformats.org/officeDocument/2006/relationships/image" Target="media/image469.png"/><Relationship Id="rId508" Type="http://schemas.openxmlformats.org/officeDocument/2006/relationships/image" Target="media/image470.png"/><Relationship Id="rId509" Type="http://schemas.openxmlformats.org/officeDocument/2006/relationships/image" Target="media/image471.png"/><Relationship Id="rId510" Type="http://schemas.openxmlformats.org/officeDocument/2006/relationships/image" Target="media/image472.png"/><Relationship Id="rId511" Type="http://schemas.openxmlformats.org/officeDocument/2006/relationships/image" Target="media/image473.png"/><Relationship Id="rId512" Type="http://schemas.openxmlformats.org/officeDocument/2006/relationships/image" Target="media/image474.png"/><Relationship Id="rId513" Type="http://schemas.openxmlformats.org/officeDocument/2006/relationships/image" Target="media/image475.png"/><Relationship Id="rId514" Type="http://schemas.openxmlformats.org/officeDocument/2006/relationships/image" Target="media/image476.png"/><Relationship Id="rId515" Type="http://schemas.openxmlformats.org/officeDocument/2006/relationships/image" Target="media/image477.png"/><Relationship Id="rId516" Type="http://schemas.openxmlformats.org/officeDocument/2006/relationships/image" Target="media/image478.png"/><Relationship Id="rId439" Type="http://schemas.openxmlformats.org/officeDocument/2006/relationships/hyperlink" Target="http://www.sec.gov/Archives/edgar/data/1794515/000162828020009137/exhibit31-closing8xkxchart.htm" TargetMode="External"/><Relationship Id="rId440" Type="http://schemas.openxmlformats.org/officeDocument/2006/relationships/hyperlink" Target="http://www.sec.gov/Archives/edgar/data/1794515/000162828020009137/exhibit32-closing8xkxbylaws.htm" TargetMode="External"/><Relationship Id="rId441" Type="http://schemas.openxmlformats.org/officeDocument/2006/relationships/hyperlink" Target="http://www.sec.gov/Archives/edgar/data/1794515/000162828020009137/exhibit101-closing8xkxopco.htm" TargetMode="External"/><Relationship Id="rId442" Type="http://schemas.openxmlformats.org/officeDocument/2006/relationships/hyperlink" Target="http://www.sec.gov/Archives/edgar/data/1794515/000162828020009137/exhibit102-closing8xkxhold.htm" TargetMode="External"/><Relationship Id="rId443" Type="http://schemas.openxmlformats.org/officeDocument/2006/relationships/hyperlink" Target="http://www.sec.gov/Archives/edgar/data/1794515/000162828020009137/exhibit103-closing8xkxexch.htm" TargetMode="External"/><Relationship Id="rId444" Type="http://schemas.openxmlformats.org/officeDocument/2006/relationships/hyperlink" Target="http://www.sec.gov/Archives/edgar/data/1794515/000162828020009137/exhibit104-closing8xkxreor.htm" TargetMode="External"/><Relationship Id="rId445" Type="http://schemas.openxmlformats.org/officeDocument/2006/relationships/hyperlink" Target="http://www.sec.gov/Archives/edgar/data/1794515/000162828020009137/exhibit105-closing8xkxregi.htm" TargetMode="External"/><Relationship Id="rId446" Type="http://schemas.openxmlformats.org/officeDocument/2006/relationships/hyperlink" Target="http://www.sec.gov/Archives/edgar/data/1794515/000162828020009137/exhibit106-closing8xkxstoc.htm" TargetMode="External"/><Relationship Id="rId447" Type="http://schemas.openxmlformats.org/officeDocument/2006/relationships/hyperlink" Target="http://www.sec.gov/Archives/edgar/data/1794515/000162828020009137/exhibit107-closing8xkx2020.htm" TargetMode="External"/><Relationship Id="rId448" Type="http://schemas.openxmlformats.org/officeDocument/2006/relationships/hyperlink" Target="http://www.sec.gov/Archives/edgar/data/1794515/000162828020009137/exhibit108-closing8xkxempl.htm" TargetMode="External"/><Relationship Id="rId449" Type="http://schemas.openxmlformats.org/officeDocument/2006/relationships/hyperlink" Target="http://www.sec.gov/Archives/edgar/data/1794515/000162828020009137/exhibit109-closing8xkxform.htm" TargetMode="External"/><Relationship Id="rId450" Type="http://schemas.openxmlformats.org/officeDocument/2006/relationships/hyperlink" Target="http://www.sec.gov/Archives/edgar/data/1794515/000162828020002344/exhibit1010-firstliencredi.htm" TargetMode="External"/><Relationship Id="rId451" Type="http://schemas.openxmlformats.org/officeDocument/2006/relationships/hyperlink" Target="http://www.sec.gov/Archives/edgar/data/1794515/000162828020002344/exhibit1011-amendmentno1da.htm" TargetMode="External"/><Relationship Id="rId452" Type="http://schemas.openxmlformats.org/officeDocument/2006/relationships/hyperlink" Target="http://www.sec.gov/Archives/edgar/data/1794515/000162828020002344/exhibit1012-firstliensecur.htm" TargetMode="External"/><Relationship Id="rId454" Type="http://schemas.openxmlformats.org/officeDocument/2006/relationships/hyperlink" Target="http://www.sec.gov/Archives/edgar/data/1794515/000162828020002344/exhibit1013-firstlienholdi.htm" TargetMode="External"/><Relationship Id="rId455" Type="http://schemas.openxmlformats.org/officeDocument/2006/relationships/hyperlink" Target="http://www.sec.gov/Archives/edgar/data/1794515/000162828020002344/exhibit1014-firstliensubsi.htm" TargetMode="External"/><Relationship Id="rId456" Type="http://schemas.openxmlformats.org/officeDocument/2006/relationships/hyperlink" Target="http://www.sec.gov/Archives/edgar/data/1794515/000162828020002344/exhibit1015-firstlieninter.htm" TargetMode="External"/><Relationship Id="rId457" Type="http://schemas.openxmlformats.org/officeDocument/2006/relationships/hyperlink" Target="http://www.sec.gov/Archives/edgar/data/1794515/000179451520000019/zi-ex1020x20200810.htm" TargetMode="External"/><Relationship Id="rId458" Type="http://schemas.openxmlformats.org/officeDocument/2006/relationships/hyperlink" Target="http://www.sec.gov/Archives/edgar/data/1794515/000162828020002344/exhibit1025-employmentagre.htm" TargetMode="External"/><Relationship Id="rId459" Type="http://schemas.openxmlformats.org/officeDocument/2006/relationships/hyperlink" Target="http://www.sec.gov/Archives/edgar/data/1794515/000162828020002344/exhibit1026-formofhskbfund.htm" TargetMode="External"/><Relationship Id="rId460" Type="http://schemas.openxmlformats.org/officeDocument/2006/relationships/hyperlink" Target="http://www.sec.gov/Archives/edgar/data/1794515/000162828020002344/exhibit1027-formofclasspin.htm" TargetMode="External"/><Relationship Id="rId461" Type="http://schemas.openxmlformats.org/officeDocument/2006/relationships/hyperlink" Target="http://www.sec.gov/Archives/edgar/data/1794515/000162828020008317/exhibit1028formofstandarde.htm" TargetMode="External"/><Relationship Id="rId462" Type="http://schemas.openxmlformats.org/officeDocument/2006/relationships/hyperlink" Target="http://www.sec.gov/Archives/edgar/data/1794515/000162828020008317/exhibit1029formofstockopti.htm" TargetMode="External"/><Relationship Id="rId463" Type="http://schemas.openxmlformats.org/officeDocument/2006/relationships/hyperlink" Target="http://www.sec.gov/Archives/edgar/data/1794515/000162828020008317/exhibit1030formofleverager.htm" TargetMode="External"/><Relationship Id="rId464" Type="http://schemas.openxmlformats.org/officeDocument/2006/relationships/hyperlink" Target="http://www.sec.gov/Archives/edgar/data/1794515/000162828020008317/exhibit1031formofstandarde.htm" TargetMode="External"/><Relationship Id="rId465" Type="http://schemas.openxmlformats.org/officeDocument/2006/relationships/hyperlink" Target="http://www.sec.gov/Archives/edgar/data/1794515/000162828020008317/exhibit1032formofnon-emplo.htm" TargetMode="External"/><Relationship Id="rId466" Type="http://schemas.openxmlformats.org/officeDocument/2006/relationships/hyperlink" Target="http://www.sec.gov/Archives/edgar/data/1794515/000162828020008317/exhibit1033formofnon-emplo.htm" TargetMode="External"/><Relationship Id="rId467" Type="http://schemas.openxmlformats.org/officeDocument/2006/relationships/hyperlink" Target="http://www.sec.gov/Archives/edgar/data/1794515/000162828020008317/exhibit1034formofclasspuni.htm" TargetMode="External"/><Relationship Id="rId468" Type="http://schemas.openxmlformats.org/officeDocument/2006/relationships/hyperlink" Target="http://www.sec.gov/Archives/edgar/data/1794515/000162828020008317/exhibit1035formofltipunita.htm" TargetMode="External"/><Relationship Id="rId469" Type="http://schemas.openxmlformats.org/officeDocument/2006/relationships/hyperlink" Target="http://www.sec.gov/Archives/edgar/data/1794515/000162828020008317/exhibit1036formofrestricti.htm" TargetMode="External"/><Relationship Id="rId471" Type="http://schemas.openxmlformats.org/officeDocument/2006/relationships/hyperlink" Target="https://www.sec.gov/Archives/edgar/data/1794515/000162828020016750/exhibit211s-1shel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2020-11-30T06:33:16Z</dcterms:created>
  <dcterms:modified xsi:type="dcterms:W3CDTF">2020-11-30T06:33:16Z</dcterms:modified>
</cp:coreProperties>
</file>