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220" w:type="dxa"/>
            <w:vAlign w:val="bottom"/>
          </w:tcPr>
          <w:p>
            <w:pPr>
              <w:ind w:left="40"/>
              <w:spacing w:after="0"/>
              <w:rPr>
                <w:sz w:val="20"/>
                <w:szCs w:val="20"/>
                <w:color w:val="auto"/>
              </w:rPr>
            </w:pPr>
            <w:r>
              <w:rPr>
                <w:rFonts w:ascii="Arial" w:cs="Arial" w:eastAsia="Arial" w:hAnsi="Arial"/>
                <w:sz w:val="22"/>
                <w:szCs w:val="22"/>
                <w:color w:val="auto"/>
              </w:rPr>
              <w:t>0001802267</w:t>
            </w:r>
          </w:p>
        </w:tc>
        <w:tc>
          <w:tcPr>
            <w:tcW w:w="436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220" w:type="dxa"/>
            <w:vAlign w:val="bottom"/>
          </w:tcPr>
          <w:p>
            <w:pPr>
              <w:ind w:left="40"/>
              <w:spacing w:after="0"/>
              <w:rPr>
                <w:sz w:val="20"/>
                <w:szCs w:val="20"/>
                <w:color w:val="auto"/>
              </w:rPr>
            </w:pPr>
            <w:r>
              <w:rPr>
                <w:rFonts w:ascii="Arial" w:cs="Arial" w:eastAsia="Arial" w:hAnsi="Arial"/>
                <w:sz w:val="22"/>
                <w:szCs w:val="22"/>
                <w:color w:val="auto"/>
              </w:rPr>
              <w:t>XXXXXXXX</w:t>
            </w:r>
          </w:p>
        </w:tc>
        <w:tc>
          <w:tcPr>
            <w:tcW w:w="436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2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220" w:type="dxa"/>
            <w:vAlign w:val="bottom"/>
          </w:tcPr>
          <w:p>
            <w:pPr>
              <w:spacing w:after="0"/>
              <w:rPr>
                <w:sz w:val="24"/>
                <w:szCs w:val="24"/>
                <w:color w:val="auto"/>
              </w:rPr>
            </w:pPr>
          </w:p>
        </w:tc>
        <w:tc>
          <w:tcPr>
            <w:tcW w:w="4360" w:type="dxa"/>
            <w:vAlign w:val="bottom"/>
          </w:tcPr>
          <w:p>
            <w:pPr>
              <w:spacing w:after="0"/>
              <w:rPr>
                <w:sz w:val="24"/>
                <w:szCs w:val="24"/>
                <w:color w:val="auto"/>
              </w:rPr>
            </w:pPr>
          </w:p>
        </w:tc>
      </w:tr>
      <w:tr>
        <w:trPr>
          <w:trHeight w:val="835"/>
        </w:trPr>
        <w:tc>
          <w:tcPr>
            <w:tcW w:w="62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436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Arial" w:cs="Arial" w:eastAsia="Arial" w:hAnsi="Arial"/>
                <w:sz w:val="22"/>
                <w:szCs w:val="22"/>
                <w:color w:val="auto"/>
              </w:rPr>
              <w:t>ZoomInfo Technologies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Arial" w:cs="Arial" w:eastAsia="Arial" w:hAnsi="Arial"/>
                <w:sz w:val="22"/>
                <w:szCs w:val="22"/>
                <w:color w:val="auto"/>
              </w:rPr>
              <w:t>001-39310</w:t>
            </w:r>
          </w:p>
        </w:tc>
      </w:tr>
      <w:tr>
        <w:trPr>
          <w:trHeight w:val="266"/>
        </w:trPr>
        <w:tc>
          <w:tcPr>
            <w:tcW w:w="30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360" w:type="dxa"/>
            <w:vAlign w:val="bottom"/>
          </w:tcPr>
          <w:p>
            <w:pPr>
              <w:ind w:left="460"/>
              <w:spacing w:after="0"/>
              <w:rPr>
                <w:sz w:val="20"/>
                <w:szCs w:val="20"/>
                <w:color w:val="auto"/>
              </w:rPr>
            </w:pPr>
            <w:r>
              <w:rPr>
                <w:rFonts w:ascii="Arial" w:cs="Arial" w:eastAsia="Arial" w:hAnsi="Arial"/>
                <w:sz w:val="22"/>
                <w:szCs w:val="22"/>
                <w:color w:val="auto"/>
              </w:rPr>
              <w:t>805 Broadway Street</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Arial" w:cs="Arial" w:eastAsia="Arial" w:hAnsi="Arial"/>
                <w:sz w:val="22"/>
                <w:szCs w:val="22"/>
                <w:color w:val="auto"/>
              </w:rPr>
              <w:t>Suite 900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Arial" w:cs="Arial" w:eastAsia="Arial" w:hAnsi="Arial"/>
                <w:sz w:val="22"/>
                <w:szCs w:val="22"/>
                <w:color w:val="auto"/>
              </w:rPr>
              <w:t>Vancouver</w:t>
            </w:r>
          </w:p>
        </w:tc>
      </w:tr>
      <w:tr>
        <w:trPr>
          <w:trHeight w:val="243"/>
        </w:trPr>
        <w:tc>
          <w:tcPr>
            <w:tcW w:w="3000" w:type="dxa"/>
            <w:vAlign w:val="bottom"/>
          </w:tcPr>
          <w:p>
            <w:pPr>
              <w:spacing w:after="0"/>
              <w:rPr>
                <w:sz w:val="21"/>
                <w:szCs w:val="21"/>
                <w:color w:val="auto"/>
              </w:rPr>
            </w:pPr>
          </w:p>
        </w:tc>
        <w:tc>
          <w:tcPr>
            <w:tcW w:w="3220" w:type="dxa"/>
            <w:vAlign w:val="bottom"/>
          </w:tcPr>
          <w:p>
            <w:pPr>
              <w:spacing w:after="0"/>
              <w:rPr>
                <w:sz w:val="21"/>
                <w:szCs w:val="21"/>
                <w:color w:val="auto"/>
              </w:rPr>
            </w:pPr>
          </w:p>
        </w:tc>
        <w:tc>
          <w:tcPr>
            <w:tcW w:w="4360" w:type="dxa"/>
            <w:vAlign w:val="bottom"/>
          </w:tcPr>
          <w:p>
            <w:pPr>
              <w:ind w:left="460"/>
              <w:spacing w:after="0" w:line="243" w:lineRule="exact"/>
              <w:rPr>
                <w:sz w:val="20"/>
                <w:szCs w:val="20"/>
                <w:color w:val="auto"/>
              </w:rPr>
            </w:pPr>
            <w:r>
              <w:rPr>
                <w:rFonts w:ascii="Arial" w:cs="Arial" w:eastAsia="Arial" w:hAnsi="Arial"/>
                <w:sz w:val="22"/>
                <w:szCs w:val="22"/>
                <w:color w:val="auto"/>
              </w:rPr>
              <w:t>WASHINGTON</w:t>
            </w:r>
          </w:p>
        </w:tc>
      </w:tr>
      <w:tr>
        <w:trPr>
          <w:trHeight w:val="274"/>
        </w:trPr>
        <w:tc>
          <w:tcPr>
            <w:tcW w:w="3000" w:type="dxa"/>
            <w:vAlign w:val="bottom"/>
          </w:tcPr>
          <w:p>
            <w:pPr>
              <w:spacing w:after="0"/>
              <w:rPr>
                <w:sz w:val="23"/>
                <w:szCs w:val="23"/>
                <w:color w:val="auto"/>
              </w:rPr>
            </w:pPr>
          </w:p>
        </w:tc>
        <w:tc>
          <w:tcPr>
            <w:tcW w:w="3220" w:type="dxa"/>
            <w:vAlign w:val="bottom"/>
          </w:tcPr>
          <w:p>
            <w:pPr>
              <w:spacing w:after="0"/>
              <w:rPr>
                <w:sz w:val="23"/>
                <w:szCs w:val="23"/>
                <w:color w:val="auto"/>
              </w:rPr>
            </w:pPr>
          </w:p>
        </w:tc>
        <w:tc>
          <w:tcPr>
            <w:tcW w:w="4360" w:type="dxa"/>
            <w:vAlign w:val="bottom"/>
          </w:tcPr>
          <w:p>
            <w:pPr>
              <w:ind w:left="460"/>
              <w:spacing w:after="0"/>
              <w:rPr>
                <w:sz w:val="20"/>
                <w:szCs w:val="20"/>
                <w:color w:val="auto"/>
              </w:rPr>
            </w:pPr>
            <w:r>
              <w:rPr>
                <w:rFonts w:ascii="Arial" w:cs="Arial" w:eastAsia="Arial" w:hAnsi="Arial"/>
                <w:sz w:val="22"/>
                <w:szCs w:val="22"/>
                <w:color w:val="auto"/>
              </w:rPr>
              <w:t>98660</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220" w:type="dxa"/>
            <w:vAlign w:val="bottom"/>
          </w:tcPr>
          <w:p>
            <w:pPr>
              <w:spacing w:after="0"/>
              <w:rPr>
                <w:sz w:val="24"/>
                <w:szCs w:val="24"/>
                <w:color w:val="auto"/>
              </w:rPr>
            </w:pPr>
          </w:p>
        </w:tc>
        <w:tc>
          <w:tcPr>
            <w:tcW w:w="4360" w:type="dxa"/>
            <w:vAlign w:val="bottom"/>
          </w:tcPr>
          <w:p>
            <w:pPr>
              <w:ind w:left="460"/>
              <w:spacing w:after="0"/>
              <w:rPr>
                <w:sz w:val="20"/>
                <w:szCs w:val="20"/>
                <w:color w:val="auto"/>
              </w:rPr>
            </w:pPr>
            <w:r>
              <w:rPr>
                <w:rFonts w:ascii="Arial" w:cs="Arial" w:eastAsia="Arial" w:hAnsi="Arial"/>
                <w:sz w:val="22"/>
                <w:szCs w:val="22"/>
                <w:color w:val="auto"/>
              </w:rPr>
              <w:t>800-914-1220</w:t>
            </w:r>
          </w:p>
        </w:tc>
      </w:tr>
      <w:tr>
        <w:trPr>
          <w:trHeight w:val="297"/>
        </w:trPr>
        <w:tc>
          <w:tcPr>
            <w:tcW w:w="6220" w:type="dxa"/>
            <w:vAlign w:val="bottom"/>
            <w:gridSpan w:val="2"/>
          </w:tcPr>
          <w:p>
            <w:pPr>
              <w:ind w:left="40"/>
              <w:spacing w:after="0"/>
              <w:rPr>
                <w:sz w:val="20"/>
                <w:szCs w:val="20"/>
                <w:color w:val="auto"/>
              </w:rPr>
            </w:pPr>
            <w:r>
              <w:rPr>
                <w:rFonts w:ascii="Arial" w:cs="Arial" w:eastAsia="Arial" w:hAnsi="Arial"/>
                <w:sz w:val="22"/>
                <w:szCs w:val="22"/>
                <w:color w:val="auto"/>
                <w:w w:val="95"/>
              </w:rPr>
              <w:t>Name of Person for Whose Account the Securities are To Be Sold</w:t>
            </w:r>
          </w:p>
        </w:tc>
        <w:tc>
          <w:tcPr>
            <w:tcW w:w="4360" w:type="dxa"/>
            <w:vAlign w:val="bottom"/>
          </w:tcPr>
          <w:p>
            <w:pPr>
              <w:ind w:left="460"/>
              <w:spacing w:after="0"/>
              <w:rPr>
                <w:sz w:val="20"/>
                <w:szCs w:val="20"/>
                <w:color w:val="auto"/>
              </w:rPr>
            </w:pPr>
            <w:r>
              <w:rPr>
                <w:rFonts w:ascii="Arial" w:cs="Arial" w:eastAsia="Arial" w:hAnsi="Arial"/>
                <w:sz w:val="22"/>
                <w:szCs w:val="22"/>
                <w:color w:val="auto"/>
                <w:w w:val="89"/>
              </w:rPr>
              <w:t>Carlyle Partners VI Evergreen Holdings, L.P.</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66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19"/>
          <w:szCs w:val="19"/>
          <w:color w:val="auto"/>
        </w:rPr>
        <w:t>Stockholder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w w:val="98"/>
              </w:rPr>
              <w:t>Goldman Sachs &amp; Co.</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 Stock</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200 West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New York  NY  10282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125390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1988685.40</w:t>
            </w:r>
          </w:p>
        </w:tc>
        <w:tc>
          <w:tcPr>
            <w:tcW w:w="1320" w:type="dxa"/>
            <w:vAlign w:val="bottom"/>
          </w:tcPr>
          <w:p>
            <w:pPr>
              <w:jc w:val="right"/>
              <w:ind w:right="112"/>
              <w:spacing w:after="0"/>
              <w:rPr>
                <w:sz w:val="20"/>
                <w:szCs w:val="20"/>
                <w:color w:val="auto"/>
              </w:rPr>
            </w:pPr>
            <w:r>
              <w:rPr>
                <w:rFonts w:ascii="Arial" w:cs="Arial" w:eastAsia="Arial" w:hAnsi="Arial"/>
                <w:sz w:val="22"/>
                <w:szCs w:val="22"/>
                <w:color w:val="auto"/>
                <w:w w:val="98"/>
              </w:rPr>
              <w:t>401469491</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09/05/2023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60"/>
        <w:spacing w:after="0"/>
        <w:tabs>
          <w:tab w:leader="none" w:pos="1580" w:val="left"/>
          <w:tab w:leader="none" w:pos="294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r>
      <w:r>
        <w:rPr>
          <w:sz w:val="20"/>
          <w:szCs w:val="20"/>
          <w:color w:val="auto"/>
        </w:rPr>
        <w:tab/>
      </w:r>
      <w:r>
        <w:rPr>
          <w:rFonts w:ascii="Arial" w:cs="Arial" w:eastAsia="Arial" w:hAnsi="Arial"/>
          <w:sz w:val="22"/>
          <w:szCs w:val="22"/>
          <w:b w:val="1"/>
          <w:bCs w:val="1"/>
          <w:color w:val="auto"/>
        </w:rPr>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4140" w:type="dxa"/>
            <w:vAlign w:val="bottom"/>
          </w:tcPr>
          <w:p>
            <w:pPr>
              <w:ind w:left="2800"/>
              <w:spacing w:after="0"/>
              <w:rPr>
                <w:sz w:val="20"/>
                <w:szCs w:val="20"/>
                <w:color w:val="auto"/>
              </w:rPr>
            </w:pPr>
            <w:r>
              <w:rPr>
                <w:rFonts w:ascii="Arial" w:cs="Arial" w:eastAsia="Arial" w:hAnsi="Arial"/>
                <w:sz w:val="22"/>
                <w:szCs w:val="22"/>
                <w:b w:val="1"/>
                <w:bCs w:val="1"/>
                <w:color w:val="auto"/>
              </w:rPr>
              <w:t>Transaction</w:t>
            </w:r>
          </w:p>
        </w:tc>
        <w:tc>
          <w:tcPr>
            <w:tcW w:w="1420" w:type="dxa"/>
            <w:vAlign w:val="bottom"/>
          </w:tcPr>
          <w:p>
            <w:pPr>
              <w:jc w:val="center"/>
              <w:ind w:left="92"/>
              <w:spacing w:after="0"/>
              <w:rPr>
                <w:sz w:val="20"/>
                <w:szCs w:val="20"/>
                <w:color w:val="auto"/>
              </w:rPr>
            </w:pPr>
            <w:r>
              <w:rPr>
                <w:rFonts w:ascii="Arial" w:cs="Arial" w:eastAsia="Arial" w:hAnsi="Arial"/>
                <w:sz w:val="22"/>
                <w:szCs w:val="22"/>
                <w:b w:val="1"/>
                <w:bCs w:val="1"/>
                <w:color w:val="auto"/>
                <w:w w:val="92"/>
              </w:rPr>
              <w:t>Whom</w:t>
            </w:r>
          </w:p>
        </w:tc>
        <w:tc>
          <w:tcPr>
            <w:tcW w:w="2800" w:type="dxa"/>
            <w:vAlign w:val="bottom"/>
          </w:tcPr>
          <w:p>
            <w:pPr>
              <w:jc w:val="right"/>
              <w:ind w:right="12"/>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4140" w:type="dxa"/>
            <w:vAlign w:val="bottom"/>
          </w:tcPr>
          <w:p>
            <w:pPr>
              <w:spacing w:after="0"/>
              <w:rPr>
                <w:sz w:val="24"/>
                <w:szCs w:val="24"/>
                <w:color w:val="auto"/>
              </w:rPr>
            </w:pPr>
          </w:p>
        </w:tc>
        <w:tc>
          <w:tcPr>
            <w:tcW w:w="1420" w:type="dxa"/>
            <w:vAlign w:val="bottom"/>
          </w:tcPr>
          <w:p>
            <w:pPr>
              <w:jc w:val="center"/>
              <w:ind w:left="92"/>
              <w:spacing w:after="0"/>
              <w:rPr>
                <w:sz w:val="20"/>
                <w:szCs w:val="20"/>
                <w:color w:val="auto"/>
              </w:rPr>
            </w:pPr>
            <w:r>
              <w:rPr>
                <w:rFonts w:ascii="Arial" w:cs="Arial" w:eastAsia="Arial" w:hAnsi="Arial"/>
                <w:sz w:val="22"/>
                <w:szCs w:val="22"/>
                <w:b w:val="1"/>
                <w:bCs w:val="1"/>
                <w:color w:val="auto"/>
                <w:w w:val="90"/>
              </w:rPr>
              <w:t>Acquired</w:t>
            </w:r>
          </w:p>
        </w:tc>
        <w:tc>
          <w:tcPr>
            <w:tcW w:w="2800" w:type="dxa"/>
            <w:vAlign w:val="bottom"/>
          </w:tcPr>
          <w:p>
            <w:pPr>
              <w:jc w:val="right"/>
              <w:ind w:right="2052"/>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4140" w:type="dxa"/>
            <w:vAlign w:val="bottom"/>
          </w:tcPr>
          <w:p>
            <w:pPr>
              <w:ind w:left="2520"/>
              <w:spacing w:after="0"/>
              <w:rPr>
                <w:sz w:val="20"/>
                <w:szCs w:val="20"/>
                <w:color w:val="auto"/>
              </w:rPr>
            </w:pPr>
            <w:r>
              <w:rPr>
                <w:rFonts w:ascii="Arial" w:cs="Arial" w:eastAsia="Arial" w:hAnsi="Arial"/>
                <w:sz w:val="22"/>
                <w:szCs w:val="22"/>
                <w:color w:val="auto"/>
              </w:rPr>
              <w:t>Acquired upon</w:t>
            </w:r>
          </w:p>
        </w:tc>
        <w:tc>
          <w:tcPr>
            <w:tcW w:w="14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Arial" w:cs="Arial" w:eastAsia="Arial" w:hAnsi="Arial"/>
                <w:sz w:val="22"/>
                <w:szCs w:val="22"/>
                <w:color w:val="auto"/>
              </w:rPr>
              <w:t>conversion on a</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Arial" w:cs="Arial" w:eastAsia="Arial" w:hAnsi="Arial"/>
                <w:sz w:val="22"/>
                <w:szCs w:val="22"/>
                <w:color w:val="auto"/>
                <w:w w:val="97"/>
              </w:rPr>
              <w:t>one-to-one basis</w:t>
            </w:r>
          </w:p>
        </w:tc>
        <w:tc>
          <w:tcPr>
            <w:tcW w:w="1420" w:type="dxa"/>
            <w:vAlign w:val="bottom"/>
            <w:vMerge w:val="restart"/>
          </w:tcPr>
          <w:p>
            <w:pPr>
              <w:ind w:left="100"/>
              <w:spacing w:after="0"/>
              <w:rPr>
                <w:sz w:val="20"/>
                <w:szCs w:val="20"/>
                <w:color w:val="auto"/>
              </w:rPr>
            </w:pPr>
            <w:r>
              <w:rPr>
                <w:rFonts w:ascii="Arial" w:cs="Arial" w:eastAsia="Arial" w:hAnsi="Arial"/>
                <w:sz w:val="22"/>
                <w:szCs w:val="22"/>
                <w:color w:val="auto"/>
              </w:rPr>
              <w:t>Acquired</w:t>
            </w: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3"/>
        </w:trPr>
        <w:tc>
          <w:tcPr>
            <w:tcW w:w="4140" w:type="dxa"/>
            <w:vAlign w:val="bottom"/>
            <w:vMerge w:val="restart"/>
          </w:tcPr>
          <w:p>
            <w:pPr>
              <w:ind w:left="2520"/>
              <w:spacing w:after="0" w:line="210" w:lineRule="exact"/>
              <w:rPr>
                <w:sz w:val="20"/>
                <w:szCs w:val="20"/>
                <w:color w:val="auto"/>
              </w:rPr>
            </w:pPr>
            <w:r>
              <w:rPr>
                <w:rFonts w:ascii="Arial" w:cs="Arial" w:eastAsia="Arial" w:hAnsi="Arial"/>
                <w:sz w:val="22"/>
                <w:szCs w:val="22"/>
                <w:color w:val="auto"/>
              </w:rPr>
              <w:t>for no additional</w:t>
            </w:r>
          </w:p>
        </w:tc>
        <w:tc>
          <w:tcPr>
            <w:tcW w:w="1420" w:type="dxa"/>
            <w:vAlign w:val="bottom"/>
            <w:vMerge w:val="continue"/>
          </w:tcPr>
          <w:p>
            <w:pPr>
              <w:spacing w:after="0"/>
              <w:rPr>
                <w:sz w:val="13"/>
                <w:szCs w:val="13"/>
                <w:color w:val="auto"/>
              </w:rPr>
            </w:pPr>
          </w:p>
        </w:tc>
        <w:tc>
          <w:tcPr>
            <w:tcW w:w="280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4140" w:type="dxa"/>
            <w:vAlign w:val="bottom"/>
            <w:vMerge w:val="continue"/>
          </w:tcPr>
          <w:p>
            <w:pPr>
              <w:spacing w:after="0"/>
              <w:rPr>
                <w:sz w:val="5"/>
                <w:szCs w:val="5"/>
                <w:color w:val="auto"/>
              </w:rPr>
            </w:pPr>
          </w:p>
        </w:tc>
        <w:tc>
          <w:tcPr>
            <w:tcW w:w="1420" w:type="dxa"/>
            <w:vAlign w:val="bottom"/>
          </w:tcPr>
          <w:p>
            <w:pPr>
              <w:spacing w:after="0"/>
              <w:rPr>
                <w:sz w:val="5"/>
                <w:szCs w:val="5"/>
                <w:color w:val="auto"/>
              </w:rPr>
            </w:pPr>
          </w:p>
        </w:tc>
        <w:tc>
          <w:tcPr>
            <w:tcW w:w="2800" w:type="dxa"/>
            <w:vAlign w:val="bottom"/>
          </w:tcPr>
          <w:p>
            <w:pPr>
              <w:spacing w:after="0"/>
              <w:rPr>
                <w:sz w:val="5"/>
                <w:szCs w:val="5"/>
                <w:color w:val="auto"/>
              </w:rPr>
            </w:pPr>
          </w:p>
        </w:tc>
        <w:tc>
          <w:tcPr>
            <w:tcW w:w="2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140" w:type="dxa"/>
            <w:vAlign w:val="bottom"/>
          </w:tcPr>
          <w:p>
            <w:pPr>
              <w:spacing w:after="0" w:line="243" w:lineRule="exact"/>
              <w:rPr>
                <w:sz w:val="20"/>
                <w:szCs w:val="20"/>
                <w:color w:val="auto"/>
              </w:rPr>
            </w:pPr>
            <w:r>
              <w:rPr>
                <w:rFonts w:ascii="Arial" w:cs="Arial" w:eastAsia="Arial" w:hAnsi="Arial"/>
                <w:sz w:val="16"/>
                <w:szCs w:val="16"/>
                <w:color w:val="auto"/>
              </w:rPr>
              <w:t xml:space="preserve">Common Stock 09/03/2021 </w:t>
            </w:r>
            <w:r>
              <w:rPr>
                <w:rFonts w:ascii="Arial" w:cs="Arial" w:eastAsia="Arial" w:hAnsi="Arial"/>
                <w:sz w:val="28"/>
                <w:szCs w:val="28"/>
                <w:color w:val="auto"/>
                <w:vertAlign w:val="subscript"/>
              </w:rPr>
              <w:t>consideration of</w:t>
            </w:r>
          </w:p>
        </w:tc>
        <w:tc>
          <w:tcPr>
            <w:tcW w:w="1420" w:type="dxa"/>
            <w:vAlign w:val="bottom"/>
          </w:tcPr>
          <w:p>
            <w:pPr>
              <w:ind w:left="100"/>
              <w:spacing w:after="0" w:line="243" w:lineRule="exact"/>
              <w:rPr>
                <w:sz w:val="20"/>
                <w:szCs w:val="20"/>
                <w:color w:val="auto"/>
              </w:rPr>
            </w:pPr>
            <w:r>
              <w:rPr>
                <w:rFonts w:ascii="Arial" w:cs="Arial" w:eastAsia="Arial" w:hAnsi="Arial"/>
                <w:sz w:val="22"/>
                <w:szCs w:val="22"/>
                <w:color w:val="auto"/>
              </w:rPr>
              <w:t>directly from</w:t>
            </w:r>
          </w:p>
        </w:tc>
        <w:tc>
          <w:tcPr>
            <w:tcW w:w="2800" w:type="dxa"/>
            <w:vAlign w:val="bottom"/>
          </w:tcPr>
          <w:p>
            <w:pPr>
              <w:jc w:val="right"/>
              <w:ind w:right="212"/>
              <w:spacing w:after="0" w:line="243" w:lineRule="exact"/>
              <w:rPr>
                <w:sz w:val="20"/>
                <w:szCs w:val="20"/>
                <w:color w:val="auto"/>
              </w:rPr>
            </w:pPr>
            <w:r>
              <w:rPr>
                <w:rFonts w:ascii="Arial" w:cs="Arial" w:eastAsia="Arial" w:hAnsi="Arial"/>
                <w:sz w:val="22"/>
                <w:szCs w:val="22"/>
                <w:color w:val="auto"/>
              </w:rPr>
              <w:t>33780781</w:t>
            </w:r>
          </w:p>
        </w:tc>
        <w:tc>
          <w:tcPr>
            <w:tcW w:w="2420" w:type="dxa"/>
            <w:vAlign w:val="bottom"/>
          </w:tcPr>
          <w:p>
            <w:pPr>
              <w:ind w:left="120"/>
              <w:spacing w:after="0" w:line="243" w:lineRule="exact"/>
              <w:rPr>
                <w:sz w:val="20"/>
                <w:szCs w:val="20"/>
                <w:color w:val="auto"/>
              </w:rPr>
            </w:pPr>
            <w:r>
              <w:rPr>
                <w:rFonts w:ascii="Arial" w:cs="Arial" w:eastAsia="Arial" w:hAnsi="Arial"/>
                <w:sz w:val="22"/>
                <w:szCs w:val="22"/>
                <w:color w:val="auto"/>
                <w:w w:val="86"/>
              </w:rPr>
              <w:t>03/31/2018 Cash purchase</w:t>
            </w:r>
          </w:p>
        </w:tc>
        <w:tc>
          <w:tcPr>
            <w:tcW w:w="0" w:type="dxa"/>
            <w:vAlign w:val="bottom"/>
          </w:tcPr>
          <w:p>
            <w:pPr>
              <w:spacing w:after="0"/>
              <w:rPr>
                <w:sz w:val="1"/>
                <w:szCs w:val="1"/>
                <w:color w:val="auto"/>
              </w:rPr>
            </w:pPr>
          </w:p>
        </w:tc>
      </w:tr>
      <w:tr>
        <w:trPr>
          <w:trHeight w:val="276"/>
        </w:trPr>
        <w:tc>
          <w:tcPr>
            <w:tcW w:w="4140" w:type="dxa"/>
            <w:vAlign w:val="bottom"/>
          </w:tcPr>
          <w:p>
            <w:pPr>
              <w:ind w:left="2520"/>
              <w:spacing w:after="0"/>
              <w:rPr>
                <w:sz w:val="20"/>
                <w:szCs w:val="20"/>
                <w:color w:val="auto"/>
              </w:rPr>
            </w:pPr>
            <w:r>
              <w:rPr>
                <w:rFonts w:ascii="Arial" w:cs="Arial" w:eastAsia="Arial" w:hAnsi="Arial"/>
                <w:sz w:val="22"/>
                <w:szCs w:val="22"/>
                <w:color w:val="auto"/>
                <w:w w:val="92"/>
              </w:rPr>
              <w:t>membership units</w:t>
            </w:r>
          </w:p>
        </w:tc>
        <w:tc>
          <w:tcPr>
            <w:tcW w:w="1420" w:type="dxa"/>
            <w:vAlign w:val="bottom"/>
          </w:tcPr>
          <w:p>
            <w:pPr>
              <w:ind w:left="100"/>
              <w:spacing w:after="0"/>
              <w:rPr>
                <w:sz w:val="20"/>
                <w:szCs w:val="20"/>
                <w:color w:val="auto"/>
              </w:rPr>
            </w:pPr>
            <w:r>
              <w:rPr>
                <w:rFonts w:ascii="Arial" w:cs="Arial" w:eastAsia="Arial" w:hAnsi="Arial"/>
                <w:sz w:val="22"/>
                <w:szCs w:val="22"/>
                <w:color w:val="auto"/>
              </w:rPr>
              <w:t>issuer</w:t>
            </w: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40" w:type="dxa"/>
            <w:vAlign w:val="bottom"/>
          </w:tcPr>
          <w:p>
            <w:pPr>
              <w:ind w:left="2520"/>
              <w:spacing w:after="0" w:line="243" w:lineRule="exact"/>
              <w:rPr>
                <w:sz w:val="20"/>
                <w:szCs w:val="20"/>
                <w:color w:val="auto"/>
              </w:rPr>
            </w:pPr>
            <w:r>
              <w:rPr>
                <w:rFonts w:ascii="Arial" w:cs="Arial" w:eastAsia="Arial" w:hAnsi="Arial"/>
                <w:sz w:val="22"/>
                <w:szCs w:val="22"/>
                <w:color w:val="auto"/>
              </w:rPr>
              <w:t>of ZoomInfo</w:t>
            </w:r>
          </w:p>
        </w:tc>
        <w:tc>
          <w:tcPr>
            <w:tcW w:w="142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4140" w:type="dxa"/>
            <w:vAlign w:val="bottom"/>
          </w:tcPr>
          <w:p>
            <w:pPr>
              <w:ind w:left="2520"/>
              <w:spacing w:after="0"/>
              <w:rPr>
                <w:sz w:val="20"/>
                <w:szCs w:val="20"/>
                <w:color w:val="auto"/>
              </w:rPr>
            </w:pPr>
            <w:r>
              <w:rPr>
                <w:rFonts w:ascii="Arial" w:cs="Arial" w:eastAsia="Arial" w:hAnsi="Arial"/>
                <w:sz w:val="22"/>
                <w:szCs w:val="22"/>
                <w:color w:val="auto"/>
              </w:rPr>
              <w:t>Holdings LLC.</w:t>
            </w:r>
          </w:p>
        </w:tc>
        <w:tc>
          <w:tcPr>
            <w:tcW w:w="1420" w:type="dxa"/>
            <w:vAlign w:val="bottom"/>
          </w:tcPr>
          <w:p>
            <w:pPr>
              <w:spacing w:after="0"/>
              <w:rPr>
                <w:sz w:val="23"/>
                <w:szCs w:val="23"/>
                <w:color w:val="auto"/>
              </w:rPr>
            </w:pPr>
          </w:p>
        </w:tc>
        <w:tc>
          <w:tcPr>
            <w:tcW w:w="2800" w:type="dxa"/>
            <w:vAlign w:val="bottom"/>
          </w:tcPr>
          <w:p>
            <w:pPr>
              <w:spacing w:after="0"/>
              <w:rPr>
                <w:sz w:val="23"/>
                <w:szCs w:val="23"/>
                <w:color w:val="auto"/>
              </w:rPr>
            </w:pPr>
          </w:p>
        </w:tc>
        <w:tc>
          <w:tcPr>
            <w:tcW w:w="2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-691515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02" w:right="339" w:bottom="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tabs>
          <w:tab w:leader="none" w:pos="4400" w:val="left"/>
        </w:tabs>
        <w:rPr>
          <w:sz w:val="20"/>
          <w:szCs w:val="20"/>
          <w:color w:val="auto"/>
        </w:rPr>
      </w:pPr>
      <w:r>
        <w:rPr>
          <w:rFonts w:ascii="Arial" w:cs="Arial" w:eastAsia="Arial" w:hAnsi="Arial"/>
          <w:sz w:val="22"/>
          <w:szCs w:val="22"/>
          <w:b w:val="1"/>
          <w:bCs w:val="1"/>
          <w:color w:val="auto"/>
        </w:rPr>
        <w:t>Name and Address of Seller</w:t>
      </w:r>
      <w:r>
        <w:rPr>
          <w:sz w:val="20"/>
          <w:szCs w:val="20"/>
          <w:color w:val="auto"/>
        </w:rPr>
        <w:tab/>
      </w:r>
      <w:r>
        <w:rPr>
          <w:rFonts w:ascii="Arial" w:cs="Arial" w:eastAsia="Arial" w:hAnsi="Arial"/>
          <w:sz w:val="19"/>
          <w:szCs w:val="19"/>
          <w:b w:val="1"/>
          <w:bCs w:val="1"/>
          <w:color w:val="auto"/>
        </w:rPr>
        <w:t>Title of Securities Sold</w:t>
      </w:r>
    </w:p>
    <w:p>
      <w:pPr>
        <w:spacing w:after="0" w:line="293"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Carlyle Partners VI Evergreen Holdings,</w:t>
      </w:r>
    </w:p>
    <w:p>
      <w:pPr>
        <w:ind w:left="40"/>
        <w:spacing w:after="0" w:line="238" w:lineRule="auto"/>
        <w:rPr>
          <w:sz w:val="20"/>
          <w:szCs w:val="20"/>
          <w:color w:val="auto"/>
        </w:rPr>
      </w:pPr>
      <w:r>
        <w:rPr>
          <w:rFonts w:ascii="Arial" w:cs="Arial" w:eastAsia="Arial" w:hAnsi="Arial"/>
          <w:sz w:val="22"/>
          <w:szCs w:val="22"/>
          <w:color w:val="auto"/>
        </w:rPr>
        <w:t>L.P.</w:t>
      </w:r>
    </w:p>
    <w:p>
      <w:pPr>
        <w:ind w:left="40"/>
        <w:spacing w:after="0"/>
        <w:tabs>
          <w:tab w:leader="none" w:pos="3640" w:val="left"/>
        </w:tabs>
        <w:rPr>
          <w:sz w:val="20"/>
          <w:szCs w:val="20"/>
          <w:color w:val="auto"/>
        </w:rPr>
      </w:pPr>
      <w:r>
        <w:rPr>
          <w:rFonts w:ascii="Arial" w:cs="Arial" w:eastAsia="Arial" w:hAnsi="Arial"/>
          <w:sz w:val="22"/>
          <w:szCs w:val="22"/>
          <w:color w:val="auto"/>
        </w:rPr>
        <w:t>1001 Pennsylvania Avenue NW</w:t>
      </w:r>
      <w:r>
        <w:rPr>
          <w:sz w:val="20"/>
          <w:szCs w:val="20"/>
          <w:color w:val="auto"/>
        </w:rPr>
        <w:tab/>
      </w:r>
      <w:r>
        <w:rPr>
          <w:rFonts w:ascii="Arial" w:cs="Arial" w:eastAsia="Arial" w:hAnsi="Arial"/>
          <w:sz w:val="19"/>
          <w:szCs w:val="19"/>
          <w:color w:val="auto"/>
        </w:rPr>
        <w:t>Common Stock</w:t>
      </w:r>
    </w:p>
    <w:p>
      <w:pPr>
        <w:ind w:left="40"/>
        <w:spacing w:after="0" w:line="231" w:lineRule="auto"/>
        <w:rPr>
          <w:sz w:val="20"/>
          <w:szCs w:val="20"/>
          <w:color w:val="auto"/>
        </w:rPr>
      </w:pPr>
      <w:r>
        <w:rPr>
          <w:rFonts w:ascii="Arial" w:cs="Arial" w:eastAsia="Arial" w:hAnsi="Arial"/>
          <w:sz w:val="22"/>
          <w:szCs w:val="22"/>
          <w:color w:val="auto"/>
        </w:rPr>
        <w:t>Suite 220 South</w:t>
      </w:r>
    </w:p>
    <w:p>
      <w:pPr>
        <w:ind w:left="40"/>
        <w:spacing w:after="0"/>
        <w:rPr>
          <w:sz w:val="20"/>
          <w:szCs w:val="20"/>
          <w:color w:val="auto"/>
        </w:rPr>
      </w:pPr>
      <w:r>
        <w:rPr>
          <w:rFonts w:ascii="Arial" w:cs="Arial" w:eastAsia="Arial" w:hAnsi="Arial"/>
          <w:sz w:val="22"/>
          <w:szCs w:val="22"/>
          <w:color w:val="auto"/>
        </w:rPr>
        <w:t>Washington  DC  20004</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Carlyle Partners VI Evergreen Holdings,</w:t>
      </w:r>
    </w:p>
    <w:p>
      <w:pPr>
        <w:ind w:left="40"/>
        <w:spacing w:after="0" w:line="238" w:lineRule="auto"/>
        <w:rPr>
          <w:sz w:val="20"/>
          <w:szCs w:val="20"/>
          <w:color w:val="auto"/>
        </w:rPr>
      </w:pPr>
      <w:r>
        <w:rPr>
          <w:rFonts w:ascii="Arial" w:cs="Arial" w:eastAsia="Arial" w:hAnsi="Arial"/>
          <w:sz w:val="22"/>
          <w:szCs w:val="22"/>
          <w:color w:val="auto"/>
        </w:rPr>
        <w:t>L.P.</w:t>
      </w:r>
    </w:p>
    <w:p>
      <w:pPr>
        <w:ind w:left="40"/>
        <w:spacing w:after="0"/>
        <w:tabs>
          <w:tab w:leader="none" w:pos="3640" w:val="left"/>
        </w:tabs>
        <w:rPr>
          <w:sz w:val="20"/>
          <w:szCs w:val="20"/>
          <w:color w:val="auto"/>
        </w:rPr>
      </w:pPr>
      <w:r>
        <w:rPr>
          <w:rFonts w:ascii="Arial" w:cs="Arial" w:eastAsia="Arial" w:hAnsi="Arial"/>
          <w:sz w:val="22"/>
          <w:szCs w:val="22"/>
          <w:color w:val="auto"/>
        </w:rPr>
        <w:t>1001 Pennsylvania Avenue NW</w:t>
      </w:r>
      <w:r>
        <w:rPr>
          <w:sz w:val="20"/>
          <w:szCs w:val="20"/>
          <w:color w:val="auto"/>
        </w:rPr>
        <w:tab/>
      </w:r>
      <w:r>
        <w:rPr>
          <w:rFonts w:ascii="Arial" w:cs="Arial" w:eastAsia="Arial" w:hAnsi="Arial"/>
          <w:sz w:val="19"/>
          <w:szCs w:val="19"/>
          <w:color w:val="auto"/>
        </w:rPr>
        <w:t>Common Stock</w:t>
      </w:r>
    </w:p>
    <w:p>
      <w:pPr>
        <w:ind w:left="40"/>
        <w:spacing w:after="0" w:line="231" w:lineRule="auto"/>
        <w:rPr>
          <w:sz w:val="20"/>
          <w:szCs w:val="20"/>
          <w:color w:val="auto"/>
        </w:rPr>
      </w:pPr>
      <w:r>
        <w:rPr>
          <w:rFonts w:ascii="Arial" w:cs="Arial" w:eastAsia="Arial" w:hAnsi="Arial"/>
          <w:sz w:val="22"/>
          <w:szCs w:val="22"/>
          <w:color w:val="auto"/>
        </w:rPr>
        <w:t>Suite 220 South</w:t>
      </w:r>
    </w:p>
    <w:p>
      <w:pPr>
        <w:ind w:left="40"/>
        <w:spacing w:after="0"/>
        <w:rPr>
          <w:sz w:val="20"/>
          <w:szCs w:val="20"/>
          <w:color w:val="auto"/>
        </w:rPr>
      </w:pPr>
      <w:r>
        <w:rPr>
          <w:rFonts w:ascii="Arial" w:cs="Arial" w:eastAsia="Arial" w:hAnsi="Arial"/>
          <w:sz w:val="22"/>
          <w:szCs w:val="22"/>
          <w:color w:val="auto"/>
        </w:rPr>
        <w:t>Washington  DC  20004</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color w:val="auto"/>
        </w:rPr>
        <w:t>Carlyle Partners VI Evergreen Holdings,</w:t>
      </w:r>
    </w:p>
    <w:p>
      <w:pPr>
        <w:ind w:left="40"/>
        <w:spacing w:after="0" w:line="238" w:lineRule="auto"/>
        <w:rPr>
          <w:sz w:val="20"/>
          <w:szCs w:val="20"/>
          <w:color w:val="auto"/>
        </w:rPr>
      </w:pPr>
      <w:r>
        <w:rPr>
          <w:rFonts w:ascii="Arial" w:cs="Arial" w:eastAsia="Arial" w:hAnsi="Arial"/>
          <w:sz w:val="22"/>
          <w:szCs w:val="22"/>
          <w:color w:val="auto"/>
        </w:rPr>
        <w:t>L.P.</w:t>
      </w:r>
    </w:p>
    <w:p>
      <w:pPr>
        <w:ind w:left="40"/>
        <w:spacing w:after="0"/>
        <w:tabs>
          <w:tab w:leader="none" w:pos="3640" w:val="left"/>
        </w:tabs>
        <w:rPr>
          <w:sz w:val="20"/>
          <w:szCs w:val="20"/>
          <w:color w:val="auto"/>
        </w:rPr>
      </w:pPr>
      <w:r>
        <w:rPr>
          <w:rFonts w:ascii="Arial" w:cs="Arial" w:eastAsia="Arial" w:hAnsi="Arial"/>
          <w:sz w:val="22"/>
          <w:szCs w:val="22"/>
          <w:color w:val="auto"/>
        </w:rPr>
        <w:t>1001 Pennsylvania Avenue NW</w:t>
      </w:r>
      <w:r>
        <w:rPr>
          <w:sz w:val="20"/>
          <w:szCs w:val="20"/>
          <w:color w:val="auto"/>
        </w:rPr>
        <w:tab/>
      </w:r>
      <w:r>
        <w:rPr>
          <w:rFonts w:ascii="Arial" w:cs="Arial" w:eastAsia="Arial" w:hAnsi="Arial"/>
          <w:sz w:val="19"/>
          <w:szCs w:val="19"/>
          <w:color w:val="auto"/>
        </w:rPr>
        <w:t>Common Stock</w:t>
      </w:r>
    </w:p>
    <w:p>
      <w:pPr>
        <w:ind w:left="40"/>
        <w:spacing w:after="0" w:line="231" w:lineRule="auto"/>
        <w:rPr>
          <w:sz w:val="20"/>
          <w:szCs w:val="20"/>
          <w:color w:val="auto"/>
        </w:rPr>
      </w:pPr>
      <w:r>
        <w:rPr>
          <w:rFonts w:ascii="Arial" w:cs="Arial" w:eastAsia="Arial" w:hAnsi="Arial"/>
          <w:sz w:val="22"/>
          <w:szCs w:val="22"/>
          <w:color w:val="auto"/>
        </w:rPr>
        <w:t>Suite 220 South</w:t>
      </w:r>
    </w:p>
    <w:p>
      <w:pPr>
        <w:ind w:left="40"/>
        <w:spacing w:after="0"/>
        <w:rPr>
          <w:sz w:val="20"/>
          <w:szCs w:val="20"/>
          <w:color w:val="auto"/>
        </w:rPr>
      </w:pPr>
      <w:r>
        <w:rPr>
          <w:rFonts w:ascii="Arial" w:cs="Arial" w:eastAsia="Arial" w:hAnsi="Arial"/>
          <w:sz w:val="22"/>
          <w:szCs w:val="22"/>
          <w:color w:val="auto"/>
        </w:rPr>
        <w:t>Washington  DC  20004</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10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00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2280" w:type="dxa"/>
            <w:vAlign w:val="bottom"/>
            <w:gridSpan w:val="2"/>
          </w:tcPr>
          <w:p>
            <w:pPr>
              <w:jc w:val="right"/>
              <w:ind w:right="592"/>
              <w:spacing w:after="0"/>
              <w:rPr>
                <w:sz w:val="20"/>
                <w:szCs w:val="20"/>
                <w:color w:val="auto"/>
              </w:rPr>
            </w:pPr>
            <w:r>
              <w:rPr>
                <w:rFonts w:ascii="Arial" w:cs="Arial" w:eastAsia="Arial" w:hAnsi="Arial"/>
                <w:sz w:val="22"/>
                <w:szCs w:val="22"/>
                <w:color w:val="auto"/>
                <w:w w:val="87"/>
              </w:rPr>
              <w:t>09/05/2023 91846</w:t>
            </w:r>
          </w:p>
        </w:tc>
        <w:tc>
          <w:tcPr>
            <w:tcW w:w="1580" w:type="dxa"/>
            <w:vAlign w:val="bottom"/>
          </w:tcPr>
          <w:p>
            <w:pPr>
              <w:jc w:val="right"/>
              <w:ind w:right="332"/>
              <w:spacing w:after="0"/>
              <w:rPr>
                <w:sz w:val="20"/>
                <w:szCs w:val="20"/>
                <w:color w:val="auto"/>
              </w:rPr>
            </w:pPr>
            <w:r>
              <w:rPr>
                <w:rFonts w:ascii="Arial" w:cs="Arial" w:eastAsia="Arial" w:hAnsi="Arial"/>
                <w:sz w:val="22"/>
                <w:szCs w:val="22"/>
                <w:color w:val="auto"/>
                <w:w w:val="96"/>
              </w:rPr>
              <w:t>1665737.43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09/06/2023 19517</w:t>
      </w:r>
      <w:r>
        <w:rPr>
          <w:sz w:val="20"/>
          <w:szCs w:val="20"/>
          <w:color w:val="auto"/>
        </w:rPr>
        <w:tab/>
      </w:r>
      <w:r>
        <w:rPr>
          <w:rFonts w:ascii="Arial" w:cs="Arial" w:eastAsia="Arial" w:hAnsi="Arial"/>
          <w:sz w:val="19"/>
          <w:szCs w:val="19"/>
          <w:color w:val="auto"/>
        </w:rPr>
        <w:t>351977.38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tabs>
          <w:tab w:leader="none" w:pos="2360" w:val="left"/>
        </w:tabs>
        <w:rPr>
          <w:sz w:val="20"/>
          <w:szCs w:val="20"/>
          <w:color w:val="auto"/>
        </w:rPr>
      </w:pPr>
      <w:r>
        <w:rPr>
          <w:rFonts w:ascii="Arial" w:cs="Arial" w:eastAsia="Arial" w:hAnsi="Arial"/>
          <w:sz w:val="22"/>
          <w:szCs w:val="22"/>
          <w:color w:val="auto"/>
        </w:rPr>
        <w:t>09/07/2023 30829</w:t>
      </w:r>
      <w:r>
        <w:rPr>
          <w:sz w:val="20"/>
          <w:szCs w:val="20"/>
          <w:color w:val="auto"/>
        </w:rPr>
        <w:tab/>
      </w:r>
      <w:r>
        <w:rPr>
          <w:rFonts w:ascii="Arial" w:cs="Arial" w:eastAsia="Arial" w:hAnsi="Arial"/>
          <w:sz w:val="19"/>
          <w:szCs w:val="19"/>
          <w:color w:val="auto"/>
        </w:rPr>
        <w:t>556441.87</w:t>
      </w:r>
    </w:p>
    <w:p>
      <w:pPr>
        <w:spacing w:after="0" w:line="704" w:lineRule="exact"/>
        <w:rPr>
          <w:sz w:val="20"/>
          <w:szCs w:val="20"/>
          <w:color w:val="auto"/>
        </w:rPr>
      </w:pPr>
    </w:p>
    <w:p>
      <w:pPr>
        <w:sectPr>
          <w:pgSz w:w="11900" w:h="16838" w:orient="portrait"/>
          <w:cols w:equalWidth="0" w:num="2">
            <w:col w:w="6580" w:space="720"/>
            <w:col w:w="3940"/>
          </w:cols>
          <w:pgMar w:left="320" w:top="102" w:right="339" w:bottom="0" w:gutter="0" w:footer="0" w:header="0"/>
          <w:type w:val="continuous"/>
        </w:sectPr>
      </w:pPr>
    </w:p>
    <w:p>
      <w:pPr>
        <w:spacing w:after="0" w:line="88"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Remarks and Signature</w:t>
      </w:r>
    </w:p>
    <w:p>
      <w:pPr>
        <w:sectPr>
          <w:pgSz w:w="11900" w:h="16838" w:orient="portrait"/>
          <w:cols w:equalWidth="0" w:num="1">
            <w:col w:w="11240"/>
          </w:cols>
          <w:pgMar w:left="320" w:top="102" w:right="33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Arial" w:cs="Arial" w:eastAsia="Arial" w:hAnsi="Arial"/>
          <w:sz w:val="22"/>
          <w:szCs w:val="22"/>
          <w:color w:val="auto"/>
        </w:rPr>
        <w:t>Date of Notice</w:t>
      </w:r>
    </w:p>
    <w:p>
      <w:pPr>
        <w:spacing w:after="0" w:line="44" w:lineRule="exact"/>
        <w:rPr>
          <w:sz w:val="20"/>
          <w:szCs w:val="20"/>
          <w:color w:val="auto"/>
        </w:rPr>
      </w:pPr>
    </w:p>
    <w:p>
      <w:pPr>
        <w:ind w:left="40"/>
        <w:spacing w:after="0" w:line="286" w:lineRule="auto"/>
        <w:rPr>
          <w:sz w:val="20"/>
          <w:szCs w:val="20"/>
          <w:color w:val="auto"/>
        </w:rPr>
      </w:pPr>
      <w:r>
        <w:rPr>
          <w:rFonts w:ascii="Arial" w:cs="Arial" w:eastAsia="Arial" w:hAnsi="Arial"/>
          <w:sz w:val="19"/>
          <w:szCs w:val="19"/>
          <w:color w:val="auto"/>
        </w:rPr>
        <w:t>Date of Plan Adoption or Giving of Instruction, If Relying on Rule 10b5-1</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00"/>
        <w:spacing w:after="0"/>
        <w:rPr>
          <w:sz w:val="20"/>
          <w:szCs w:val="20"/>
          <w:color w:val="auto"/>
        </w:rPr>
      </w:pPr>
      <w:r>
        <w:rPr>
          <w:rFonts w:ascii="Arial" w:cs="Arial" w:eastAsia="Arial" w:hAnsi="Arial"/>
          <w:sz w:val="22"/>
          <w:szCs w:val="22"/>
          <w:color w:val="auto"/>
        </w:rPr>
        <w:t>This Form 144 is being filed to supplement the Form 144 filed by the Reporting Person on September 5, 2023 solely to increase the number of shares eligible to be sold during the original three month period by 125,390 additional shares.</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09/25/2023</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08/03/2023</w:t>
      </w:r>
    </w:p>
    <w:p>
      <w:pPr>
        <w:spacing w:after="0" w:line="740" w:lineRule="exact"/>
        <w:rPr>
          <w:sz w:val="20"/>
          <w:szCs w:val="20"/>
          <w:color w:val="auto"/>
        </w:rPr>
      </w:pPr>
    </w:p>
    <w:p>
      <w:pPr>
        <w:sectPr>
          <w:pgSz w:w="11900" w:h="16838" w:orient="portrait"/>
          <w:cols w:equalWidth="0" w:num="2">
            <w:col w:w="2240" w:space="500"/>
            <w:col w:w="8500"/>
          </w:cols>
          <w:pgMar w:left="320" w:top="102" w:right="339" w:bottom="0" w:gutter="0" w:footer="0" w:header="0"/>
          <w:type w:val="continuous"/>
        </w:sectPr>
      </w:pPr>
    </w:p>
    <w:p>
      <w:pPr>
        <w:spacing w:after="0" w:line="128"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78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280" w:type="dxa"/>
            <w:vAlign w:val="bottom"/>
          </w:tcPr>
          <w:p>
            <w:pPr>
              <w:ind w:left="920"/>
              <w:spacing w:after="0" w:line="246" w:lineRule="exact"/>
              <w:rPr>
                <w:sz w:val="20"/>
                <w:szCs w:val="20"/>
                <w:color w:val="auto"/>
              </w:rPr>
            </w:pPr>
            <w:r>
              <w:rPr>
                <w:rFonts w:ascii="Arial" w:cs="Arial" w:eastAsia="Arial" w:hAnsi="Arial"/>
                <w:sz w:val="22"/>
                <w:szCs w:val="22"/>
                <w:color w:val="auto"/>
                <w:w w:val="89"/>
              </w:rPr>
              <w:t>Carlyle Partners VI Evergreen Holdings, L.P., By: TC Group VI S1, L.P., its general partner, By:</w:t>
            </w:r>
          </w:p>
        </w:tc>
        <w:tc>
          <w:tcPr>
            <w:tcW w:w="0" w:type="dxa"/>
            <w:vAlign w:val="bottom"/>
          </w:tcPr>
          <w:p>
            <w:pPr>
              <w:spacing w:after="0"/>
              <w:rPr>
                <w:sz w:val="1"/>
                <w:szCs w:val="1"/>
                <w:color w:val="auto"/>
              </w:rPr>
            </w:pPr>
          </w:p>
        </w:tc>
      </w:tr>
      <w:tr>
        <w:trPr>
          <w:trHeight w:val="153"/>
        </w:trPr>
        <w:tc>
          <w:tcPr>
            <w:tcW w:w="1780" w:type="dxa"/>
            <w:vAlign w:val="bottom"/>
            <w:vMerge w:val="continue"/>
          </w:tcPr>
          <w:p>
            <w:pPr>
              <w:spacing w:after="0"/>
              <w:rPr>
                <w:sz w:val="13"/>
                <w:szCs w:val="13"/>
                <w:color w:val="auto"/>
              </w:rPr>
            </w:pPr>
          </w:p>
        </w:tc>
        <w:tc>
          <w:tcPr>
            <w:tcW w:w="9280" w:type="dxa"/>
            <w:vAlign w:val="bottom"/>
            <w:vMerge w:val="restart"/>
          </w:tcPr>
          <w:p>
            <w:pPr>
              <w:ind w:left="920"/>
              <w:spacing w:after="0"/>
              <w:rPr>
                <w:sz w:val="20"/>
                <w:szCs w:val="20"/>
                <w:color w:val="auto"/>
              </w:rPr>
            </w:pPr>
            <w:r>
              <w:rPr>
                <w:rFonts w:ascii="Arial" w:cs="Arial" w:eastAsia="Arial" w:hAnsi="Arial"/>
                <w:sz w:val="22"/>
                <w:szCs w:val="22"/>
                <w:color w:val="auto"/>
              </w:rPr>
              <w:t>/s/ Jeremy W. Anderson, Vice President</w:t>
            </w:r>
          </w:p>
        </w:tc>
        <w:tc>
          <w:tcPr>
            <w:tcW w:w="0" w:type="dxa"/>
            <w:vAlign w:val="bottom"/>
          </w:tcPr>
          <w:p>
            <w:pPr>
              <w:spacing w:after="0"/>
              <w:rPr>
                <w:sz w:val="1"/>
                <w:szCs w:val="1"/>
                <w:color w:val="auto"/>
              </w:rPr>
            </w:pPr>
          </w:p>
        </w:tc>
      </w:tr>
      <w:tr>
        <w:trPr>
          <w:trHeight w:val="121"/>
        </w:trPr>
        <w:tc>
          <w:tcPr>
            <w:tcW w:w="1780" w:type="dxa"/>
            <w:vAlign w:val="bottom"/>
          </w:tcPr>
          <w:p>
            <w:pPr>
              <w:spacing w:after="0"/>
              <w:rPr>
                <w:sz w:val="10"/>
                <w:szCs w:val="10"/>
                <w:color w:val="auto"/>
              </w:rPr>
            </w:pPr>
          </w:p>
        </w:tc>
        <w:tc>
          <w:tcPr>
            <w:tcW w:w="9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02" w:right="339" w:bottom="0" w:gutter="0" w:footer="0" w:header="0"/>
          <w:type w:val="continuous"/>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p>
      <w:pPr>
        <w:sectPr>
          <w:pgSz w:w="11900" w:h="16838" w:orient="portrait"/>
          <w:cols w:equalWidth="0" w:num="1">
            <w:col w:w="11240"/>
          </w:cols>
          <w:pgMar w:left="320" w:top="102" w:right="339" w:bottom="0" w:gutter="0" w:footer="0" w:header="0"/>
          <w:type w:val="continuous"/>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2023-09-25T17:55:58Z</dcterms:created>
  <dcterms:modified xsi:type="dcterms:W3CDTF">2023-09-25T17:55:58Z</dcterms:modified>
</cp:coreProperties>
</file>