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3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-219075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20" w:type="dxa"/>
            <w:vAlign w:val="bottom"/>
          </w:tcPr>
          <w:p>
            <w:pPr>
              <w:jc w:val="center"/>
              <w:ind w:right="3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26" w:lineRule="exact"/>
              <w:rPr>
                <w:sz w:val="20"/>
                <w:szCs w:val="20"/>
                <w:color w:val="auto"/>
              </w:rPr>
            </w:pPr>
            <w:r>
              <w:rPr>
                <w:rFonts w:ascii="Arial" w:cs="Arial" w:eastAsia="Arial" w:hAnsi="Arial"/>
                <w:sz w:val="12"/>
                <w:szCs w:val="12"/>
                <w:color w:val="auto"/>
                <w:w w:val="99"/>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-588010</wp:posOffset>
            </wp:positionV>
            <wp:extent cx="55880"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134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-588010</wp:posOffset>
            </wp:positionV>
            <wp:extent cx="55880"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34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7050405" cy="6164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6164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120" w:space="620"/>
            <w:col w:w="8340"/>
          </w:cols>
          <w:pgMar w:left="460" w:top="217" w:right="359" w:bottom="148"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2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Schuck Henry</w:t>
              </w:r>
            </w:hyperlink>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gridSpan w:val="8"/>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ZoomInfo Technologies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vMerge w:val="restart"/>
          </w:tcPr>
          <w:p>
            <w:pPr>
              <w:spacing w:after="0"/>
              <w:rPr>
                <w:sz w:val="5"/>
                <w:szCs w:val="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260" w:type="dxa"/>
            <w:vAlign w:val="bottom"/>
            <w:gridSpan w:val="5"/>
            <w:vMerge w:val="restart"/>
          </w:tcPr>
          <w:p>
            <w:pPr>
              <w:spacing w:after="0"/>
              <w:rPr>
                <w:sz w:val="20"/>
                <w:szCs w:val="20"/>
                <w:color w:val="auto"/>
              </w:rPr>
            </w:pPr>
            <w:r>
              <w:rPr>
                <w:rFonts w:ascii="Arial" w:cs="Arial" w:eastAsia="Arial" w:hAnsi="Arial"/>
                <w:sz w:val="16"/>
                <w:szCs w:val="16"/>
                <w:color w:val="0000FF"/>
              </w:rPr>
              <w:t>C/O ZOOMINFO TECHNOLOGIES INC.,</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gridSpan w:val="8"/>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4"/>
            <w:vMerge w:val="restart"/>
          </w:tcPr>
          <w:p>
            <w:pPr>
              <w:jc w:val="right"/>
              <w:ind w:right="138"/>
              <w:spacing w:after="0"/>
              <w:rPr>
                <w:sz w:val="20"/>
                <w:szCs w:val="20"/>
                <w:color w:val="auto"/>
              </w:rPr>
            </w:pPr>
            <w:r>
              <w:rPr>
                <w:rFonts w:ascii="Arial" w:cs="Arial" w:eastAsia="Arial" w:hAnsi="Arial"/>
                <w:sz w:val="16"/>
                <w:szCs w:val="16"/>
                <w:color w:val="0000FF"/>
              </w:rPr>
              <w:t>Chief Executive Officer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1400" w:type="dxa"/>
            <w:vAlign w:val="bottom"/>
            <w:gridSpan w:val="6"/>
            <w:vMerge w:val="restart"/>
          </w:tcPr>
          <w:p>
            <w:pPr>
              <w:ind w:left="540"/>
              <w:spacing w:after="0"/>
              <w:rPr>
                <w:sz w:val="20"/>
                <w:szCs w:val="20"/>
                <w:color w:val="auto"/>
              </w:rPr>
            </w:pPr>
            <w:r>
              <w:rPr>
                <w:rFonts w:ascii="Arial" w:cs="Arial" w:eastAsia="Arial" w:hAnsi="Arial"/>
                <w:sz w:val="16"/>
                <w:szCs w:val="16"/>
                <w:color w:val="0000FF"/>
              </w:rPr>
              <w:t>06/15/2021</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1400" w:type="dxa"/>
            <w:vAlign w:val="bottom"/>
            <w:gridSpan w:val="6"/>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260" w:type="dxa"/>
            <w:vAlign w:val="bottom"/>
            <w:gridSpan w:val="5"/>
          </w:tcPr>
          <w:p>
            <w:pPr>
              <w:spacing w:after="0"/>
              <w:rPr>
                <w:sz w:val="20"/>
                <w:szCs w:val="20"/>
                <w:color w:val="auto"/>
              </w:rPr>
            </w:pPr>
            <w:r>
              <w:rPr>
                <w:rFonts w:ascii="Arial" w:cs="Arial" w:eastAsia="Arial" w:hAnsi="Arial"/>
                <w:sz w:val="16"/>
                <w:szCs w:val="16"/>
                <w:color w:val="0000FF"/>
              </w:rPr>
              <w:t>805 BROADWAY STREET, SUITE 900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4"/>
          </w:tcPr>
          <w:p>
            <w:pPr>
              <w:spacing w:after="0"/>
              <w:rPr>
                <w:sz w:val="13"/>
                <w:szCs w:val="13"/>
                <w:color w:val="auto"/>
              </w:rPr>
            </w:pPr>
          </w:p>
        </w:tc>
        <w:tc>
          <w:tcPr>
            <w:tcW w:w="780" w:type="dxa"/>
            <w:vAlign w:val="bottom"/>
            <w:gridSpan w:val="2"/>
          </w:tcPr>
          <w:p>
            <w:pPr>
              <w:spacing w:after="0"/>
              <w:rPr>
                <w:sz w:val="13"/>
                <w:szCs w:val="13"/>
                <w:color w:val="auto"/>
              </w:rPr>
            </w:pPr>
          </w:p>
        </w:tc>
        <w:tc>
          <w:tcPr>
            <w:tcW w:w="10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2800" w:type="dxa"/>
            <w:vAlign w:val="bottom"/>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gridSpan w:val="4"/>
          </w:tcPr>
          <w:p>
            <w:pPr>
              <w:spacing w:after="0" w:line="20" w:lineRule="exact"/>
              <w:rPr>
                <w:sz w:val="1"/>
                <w:szCs w:val="1"/>
                <w:color w:val="auto"/>
              </w:rPr>
            </w:pPr>
          </w:p>
        </w:tc>
        <w:tc>
          <w:tcPr>
            <w:tcW w:w="780" w:type="dxa"/>
            <w:vAlign w:val="bottom"/>
            <w:tcBorders>
              <w:bottom w:val="single" w:sz="8" w:color="2C2C2C"/>
            </w:tcBorders>
            <w:gridSpan w:val="2"/>
          </w:tcPr>
          <w:p>
            <w:pPr>
              <w:spacing w:after="0" w:line="20" w:lineRule="exact"/>
              <w:rPr>
                <w:sz w:val="1"/>
                <w:szCs w:val="1"/>
                <w:color w:val="auto"/>
              </w:rPr>
            </w:pPr>
          </w:p>
        </w:tc>
        <w:tc>
          <w:tcPr>
            <w:tcW w:w="1040" w:type="dxa"/>
            <w:vAlign w:val="bottom"/>
            <w:tcBorders>
              <w:bottom w:val="single" w:sz="8" w:color="2C2C2C"/>
            </w:tcBorders>
            <w:gridSpan w:val="3"/>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gridSpan w:val="2"/>
          </w:tcPr>
          <w:p>
            <w:pPr>
              <w:spacing w:after="0" w:line="20" w:lineRule="exact"/>
              <w:rPr>
                <w:sz w:val="1"/>
                <w:szCs w:val="1"/>
                <w:color w:val="auto"/>
              </w:rPr>
            </w:pPr>
          </w:p>
        </w:tc>
        <w:tc>
          <w:tcPr>
            <w:tcW w:w="2800" w:type="dxa"/>
            <w:vAlign w:val="bottom"/>
            <w:tcBorders>
              <w:bottom w:val="single" w:sz="8" w:color="2C2C2C"/>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60" w:type="dxa"/>
            <w:vAlign w:val="bottom"/>
            <w:gridSpan w:val="9"/>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VANCOUVER,</w:t>
            </w:r>
          </w:p>
        </w:tc>
        <w:tc>
          <w:tcPr>
            <w:tcW w:w="1100" w:type="dxa"/>
            <w:vAlign w:val="bottom"/>
          </w:tcPr>
          <w:p>
            <w:pPr>
              <w:spacing w:after="0"/>
              <w:rPr>
                <w:sz w:val="20"/>
                <w:szCs w:val="20"/>
                <w:color w:val="auto"/>
              </w:rPr>
            </w:pPr>
            <w:r>
              <w:rPr>
                <w:rFonts w:ascii="Arial" w:cs="Arial" w:eastAsia="Arial" w:hAnsi="Arial"/>
                <w:sz w:val="16"/>
                <w:szCs w:val="16"/>
                <w:color w:val="0000FF"/>
              </w:rPr>
              <w:t>WA</w:t>
            </w:r>
          </w:p>
        </w:tc>
        <w:tc>
          <w:tcPr>
            <w:tcW w:w="940" w:type="dxa"/>
            <w:vAlign w:val="bottom"/>
          </w:tcPr>
          <w:p>
            <w:pPr>
              <w:ind w:left="140"/>
              <w:spacing w:after="0"/>
              <w:rPr>
                <w:sz w:val="20"/>
                <w:szCs w:val="20"/>
                <w:color w:val="auto"/>
              </w:rPr>
            </w:pPr>
            <w:r>
              <w:rPr>
                <w:rFonts w:ascii="Arial" w:cs="Arial" w:eastAsia="Arial" w:hAnsi="Arial"/>
                <w:sz w:val="16"/>
                <w:szCs w:val="16"/>
                <w:color w:val="0000FF"/>
              </w:rPr>
              <w:t>98660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00" w:type="dxa"/>
            <w:vAlign w:val="bottom"/>
            <w:gridSpan w:val="7"/>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6"/>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20"/>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gridSpan w:val="6"/>
          </w:tcPr>
          <w:p>
            <w:pPr>
              <w:jc w:val="center"/>
              <w:ind w:right="410"/>
              <w:spacing w:after="0"/>
              <w:rPr>
                <w:sz w:val="20"/>
                <w:szCs w:val="20"/>
                <w:color w:val="auto"/>
              </w:rPr>
            </w:pPr>
            <w:r>
              <w:rPr>
                <w:rFonts w:ascii="Arial" w:cs="Arial" w:eastAsia="Arial" w:hAnsi="Arial"/>
                <w:sz w:val="11"/>
                <w:szCs w:val="11"/>
                <w:b w:val="1"/>
                <w:bCs w:val="1"/>
                <w:color w:val="auto"/>
                <w:w w:val="98"/>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80"/>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6"/>
              </w:rPr>
              <w:t>Transaction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rPr>
              <w:t>(Month/Day/Year)  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jc w:val="right"/>
              <w:ind w:right="158"/>
              <w:spacing w:after="0" w:line="121" w:lineRule="exact"/>
              <w:rPr>
                <w:sz w:val="20"/>
                <w:szCs w:val="20"/>
                <w:color w:val="auto"/>
              </w:rPr>
            </w:pPr>
            <w:r>
              <w:rPr>
                <w:rFonts w:ascii="Arial" w:cs="Arial" w:eastAsia="Arial" w:hAnsi="Arial"/>
                <w:sz w:val="11"/>
                <w:szCs w:val="11"/>
                <w:b w:val="1"/>
                <w:bCs w:val="1"/>
                <w:color w:val="auto"/>
                <w:w w:val="99"/>
              </w:rPr>
              <w:t>(D) or Indirect</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3"/>
          </w:tcPr>
          <w:p>
            <w:pPr>
              <w:ind w:left="380"/>
              <w:spacing w:after="0" w:line="121"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2"/>
              </w:rPr>
              <w:t>06/15/2021</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(1)(2)</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82"/>
              <w:spacing w:after="0"/>
              <w:rPr>
                <w:sz w:val="20"/>
                <w:szCs w:val="20"/>
                <w:color w:val="auto"/>
              </w:rPr>
            </w:pPr>
            <w:r>
              <w:rPr>
                <w:rFonts w:ascii="Arial" w:cs="Arial" w:eastAsia="Arial" w:hAnsi="Arial"/>
                <w:sz w:val="16"/>
                <w:szCs w:val="16"/>
                <w:color w:val="0000FF"/>
                <w:w w:val="86"/>
              </w:rPr>
              <w:t>400,000</w:t>
            </w:r>
          </w:p>
        </w:tc>
        <w:tc>
          <w:tcPr>
            <w:tcW w:w="12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w w:val="93"/>
              </w:rPr>
              <w:t>A</w:t>
            </w: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0"/>
                <w:szCs w:val="10"/>
                <w:color w:val="008000"/>
                <w:w w:val="97"/>
              </w:rPr>
              <w:t>(3)</w:t>
            </w: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400,000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2"/>
              </w:rPr>
              <w:t>06/15/2021</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82"/>
              <w:spacing w:after="0"/>
              <w:rPr>
                <w:sz w:val="20"/>
                <w:szCs w:val="20"/>
                <w:color w:val="auto"/>
              </w:rPr>
            </w:pPr>
            <w:r>
              <w:rPr>
                <w:rFonts w:ascii="Arial" w:cs="Arial" w:eastAsia="Arial" w:hAnsi="Arial"/>
                <w:sz w:val="16"/>
                <w:szCs w:val="16"/>
                <w:color w:val="0000FF"/>
                <w:w w:val="86"/>
              </w:rPr>
              <w:t>325,455</w:t>
            </w:r>
          </w:p>
        </w:tc>
        <w:tc>
          <w:tcPr>
            <w:tcW w:w="12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w w:val="86"/>
              </w:rPr>
              <w:t>D</w:t>
            </w: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44.83</w:t>
            </w:r>
            <w:r>
              <w:rPr>
                <w:rFonts w:ascii="Arial" w:cs="Arial" w:eastAsia="Arial" w:hAnsi="Arial"/>
                <w:sz w:val="20"/>
                <w:szCs w:val="20"/>
                <w:color w:val="008000"/>
                <w:w w:val="85"/>
                <w:vertAlign w:val="superscript"/>
              </w:rPr>
              <w:t>(4)</w:t>
            </w: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74,545</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2"/>
              </w:rPr>
              <w:t>06/15/2021</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82"/>
              <w:spacing w:after="0"/>
              <w:rPr>
                <w:sz w:val="20"/>
                <w:szCs w:val="20"/>
                <w:color w:val="auto"/>
              </w:rPr>
            </w:pPr>
            <w:r>
              <w:rPr>
                <w:rFonts w:ascii="Arial" w:cs="Arial" w:eastAsia="Arial" w:hAnsi="Arial"/>
                <w:sz w:val="16"/>
                <w:szCs w:val="16"/>
                <w:color w:val="0000FF"/>
                <w:w w:val="85"/>
              </w:rPr>
              <w:t>74,545</w:t>
            </w:r>
          </w:p>
        </w:tc>
        <w:tc>
          <w:tcPr>
            <w:tcW w:w="12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w w:val="86"/>
              </w:rPr>
              <w:t>D</w:t>
            </w: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45.96</w:t>
            </w:r>
            <w:r>
              <w:rPr>
                <w:rFonts w:ascii="Arial" w:cs="Arial" w:eastAsia="Arial" w:hAnsi="Arial"/>
                <w:sz w:val="20"/>
                <w:szCs w:val="20"/>
                <w:color w:val="008000"/>
                <w:w w:val="85"/>
                <w:vertAlign w:val="superscript"/>
              </w:rPr>
              <w:t>(5)</w:t>
            </w:r>
          </w:p>
        </w:tc>
        <w:tc>
          <w:tcPr>
            <w:tcW w:w="720" w:type="dxa"/>
            <w:vAlign w:val="bottom"/>
            <w:tcBorders>
              <w:bottom w:val="single" w:sz="8" w:color="2C2C2C"/>
            </w:tcBorders>
            <w:gridSpan w:val="2"/>
          </w:tcPr>
          <w:p>
            <w:pPr>
              <w:jc w:val="center"/>
              <w:ind w:left="333"/>
              <w:spacing w:after="0"/>
              <w:rPr>
                <w:sz w:val="20"/>
                <w:szCs w:val="20"/>
                <w:color w:val="auto"/>
              </w:rPr>
            </w:pPr>
            <w:r>
              <w:rPr>
                <w:rFonts w:ascii="Arial" w:cs="Arial" w:eastAsia="Arial" w:hAnsi="Arial"/>
                <w:sz w:val="16"/>
                <w:szCs w:val="16"/>
                <w:color w:val="0000FF"/>
                <w:w w:val="89"/>
              </w:rPr>
              <w:t>0</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60" w:type="dxa"/>
            <w:vAlign w:val="bottom"/>
            <w:gridSpan w:val="20"/>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0" w:type="dxa"/>
            <w:vAlign w:val="bottom"/>
            <w:gridSpan w:val="17"/>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5"/>
          </w:tcPr>
          <w:p>
            <w:pPr>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4"/>
              </w:rPr>
              <w:t>Derivative</w:t>
            </w:r>
          </w:p>
        </w:tc>
        <w:tc>
          <w:tcPr>
            <w:tcW w:w="520" w:type="dxa"/>
            <w:vAlign w:val="bottom"/>
          </w:tcPr>
          <w:p>
            <w:pPr>
              <w:spacing w:after="0"/>
              <w:rPr>
                <w:sz w:val="10"/>
                <w:szCs w:val="10"/>
                <w:color w:val="auto"/>
              </w:rPr>
            </w:pP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10"/>
                <w:szCs w:val="10"/>
                <w:color w:val="auto"/>
              </w:rPr>
            </w:pPr>
          </w:p>
        </w:tc>
        <w:tc>
          <w:tcPr>
            <w:tcW w:w="1520" w:type="dxa"/>
            <w:vAlign w:val="bottom"/>
            <w:gridSpan w:val="5"/>
          </w:tcPr>
          <w:p>
            <w:pPr>
              <w:ind w:left="4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4"/>
              </w:rPr>
              <w:t>Securities</w:t>
            </w:r>
          </w:p>
        </w:tc>
        <w:tc>
          <w:tcPr>
            <w:tcW w:w="520" w:type="dxa"/>
            <w:vAlign w:val="bottom"/>
          </w:tcPr>
          <w:p>
            <w:pPr>
              <w:spacing w:after="0"/>
              <w:rPr>
                <w:sz w:val="10"/>
                <w:szCs w:val="10"/>
                <w:color w:val="auto"/>
              </w:rPr>
            </w:pP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60" w:type="dxa"/>
            <w:vAlign w:val="bottom"/>
          </w:tcPr>
          <w:p>
            <w:pPr>
              <w:spacing w:after="0"/>
              <w:rPr>
                <w:sz w:val="10"/>
                <w:szCs w:val="10"/>
                <w:color w:val="auto"/>
              </w:rPr>
            </w:pPr>
          </w:p>
        </w:tc>
        <w:tc>
          <w:tcPr>
            <w:tcW w:w="1520" w:type="dxa"/>
            <w:vAlign w:val="bottom"/>
            <w:gridSpan w:val="5"/>
          </w:tcPr>
          <w:p>
            <w:pPr>
              <w:ind w:left="40"/>
              <w:spacing w:after="0" w:line="121" w:lineRule="exact"/>
              <w:rPr>
                <w:sz w:val="20"/>
                <w:szCs w:val="20"/>
                <w:color w:val="auto"/>
              </w:rPr>
            </w:pPr>
            <w:r>
              <w:rPr>
                <w:rFonts w:ascii="Arial" w:cs="Arial" w:eastAsia="Arial" w:hAnsi="Arial"/>
                <w:sz w:val="11"/>
                <w:szCs w:val="11"/>
                <w:b w:val="1"/>
                <w:bCs w:val="1"/>
                <w:color w:val="auto"/>
              </w:rPr>
              <w:t>Derivative Security (Instr. 3</w:t>
            </w:r>
          </w:p>
        </w:tc>
        <w:tc>
          <w:tcPr>
            <w:tcW w:w="20" w:type="dxa"/>
            <w:vAlign w:val="bottom"/>
          </w:tcPr>
          <w:p>
            <w:pPr>
              <w:spacing w:after="0"/>
              <w:rPr>
                <w:sz w:val="10"/>
                <w:szCs w:val="10"/>
                <w:color w:val="auto"/>
              </w:rPr>
            </w:pPr>
          </w:p>
        </w:tc>
        <w:tc>
          <w:tcPr>
            <w:tcW w:w="7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and 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Date</w:t>
            </w:r>
          </w:p>
        </w:tc>
        <w:tc>
          <w:tcPr>
            <w:tcW w:w="62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00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00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of HSKB</w:t>
            </w: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4"/>
            <w:vMerge w:val="restart"/>
          </w:tcPr>
          <w:p>
            <w:pPr>
              <w:ind w:left="8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90"/>
              <w:spacing w:after="0"/>
              <w:rPr>
                <w:sz w:val="20"/>
                <w:szCs w:val="20"/>
                <w:color w:val="auto"/>
              </w:rPr>
            </w:pPr>
            <w:r>
              <w:rPr>
                <w:rFonts w:ascii="Arial" w:cs="Arial" w:eastAsia="Arial" w:hAnsi="Arial"/>
                <w:sz w:val="16"/>
                <w:szCs w:val="16"/>
                <w:color w:val="0000FF"/>
                <w:w w:val="86"/>
              </w:rPr>
              <w:t>400,000</w:t>
            </w: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continue"/>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(6)</w:t>
            </w: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06/15/2021</w:t>
            </w: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vMerge w:val="restart"/>
          </w:tcPr>
          <w:p>
            <w:pPr>
              <w:spacing w:after="0"/>
              <w:rPr>
                <w:sz w:val="20"/>
                <w:szCs w:val="20"/>
                <w:color w:val="auto"/>
              </w:rPr>
            </w:pPr>
            <w:r>
              <w:rPr>
                <w:rFonts w:ascii="Arial" w:cs="Arial" w:eastAsia="Arial" w:hAnsi="Arial"/>
                <w:sz w:val="12"/>
                <w:szCs w:val="12"/>
                <w:color w:val="0000FF"/>
              </w:rPr>
              <w:t>400,000</w:t>
            </w: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jc w:val="center"/>
              <w:ind w:right="160"/>
              <w:spacing w:after="0"/>
              <w:rPr>
                <w:sz w:val="20"/>
                <w:szCs w:val="20"/>
                <w:color w:val="auto"/>
              </w:rPr>
            </w:pPr>
            <w:r>
              <w:rPr>
                <w:rFonts w:ascii="Arial" w:cs="Arial" w:eastAsia="Arial" w:hAnsi="Arial"/>
                <w:sz w:val="10"/>
                <w:szCs w:val="10"/>
                <w:color w:val="008000"/>
                <w:w w:val="97"/>
              </w:rPr>
              <w:t>(6)</w:t>
            </w: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gridSpan w:val="2"/>
            <w:vMerge w:val="restart"/>
          </w:tcPr>
          <w:p>
            <w:pPr>
              <w:jc w:val="right"/>
              <w:ind w:right="26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9"/>
              </w:rPr>
              <w:t>4,063,514</w:t>
            </w:r>
          </w:p>
        </w:tc>
        <w:tc>
          <w:tcPr>
            <w:tcW w:w="620" w:type="dxa"/>
            <w:vAlign w:val="bottom"/>
            <w:vMerge w:val="restart"/>
          </w:tcPr>
          <w:p>
            <w:pPr>
              <w:jc w:val="right"/>
              <w:ind w:right="138"/>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Funds,</w:t>
            </w:r>
          </w:p>
        </w:tc>
        <w:tc>
          <w:tcPr>
            <w:tcW w:w="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6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0"/>
                <w:szCs w:val="10"/>
                <w:color w:val="0000FF"/>
              </w:rPr>
              <w:t>Stock</w:t>
            </w:r>
            <w:r>
              <w:rPr>
                <w:rFonts w:ascii="Arial" w:cs="Arial" w:eastAsia="Arial" w:hAnsi="Arial"/>
                <w:sz w:val="15"/>
                <w:szCs w:val="15"/>
                <w:color w:val="008000"/>
                <w:vertAlign w:val="superscript"/>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Borders>
              <w:bottom w:val="single" w:sz="8" w:color="2C2C2C"/>
            </w:tcBorders>
            <w:gridSpan w:val="2"/>
          </w:tcPr>
          <w:p>
            <w:pPr>
              <w:ind w:left="60"/>
              <w:spacing w:after="0" w:line="133" w:lineRule="exact"/>
              <w:rPr>
                <w:sz w:val="20"/>
                <w:szCs w:val="20"/>
                <w:color w:val="auto"/>
              </w:rPr>
            </w:pPr>
            <w:r>
              <w:rPr>
                <w:rFonts w:ascii="Arial" w:cs="Arial" w:eastAsia="Arial" w:hAnsi="Arial"/>
                <w:sz w:val="12"/>
                <w:szCs w:val="12"/>
                <w:color w:val="0000FF"/>
              </w:rPr>
              <w:t>LLC</w:t>
            </w: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vMerge w:val="restart"/>
          </w:tcPr>
          <w:p>
            <w:pPr>
              <w:ind w:left="80"/>
              <w:spacing w:after="0" w:line="26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center"/>
              <w:ind w:right="160"/>
              <w:spacing w:after="0"/>
              <w:rPr>
                <w:sz w:val="20"/>
                <w:szCs w:val="20"/>
                <w:color w:val="auto"/>
              </w:rPr>
            </w:pPr>
            <w:r>
              <w:rPr>
                <w:rFonts w:ascii="Arial" w:cs="Arial" w:eastAsia="Arial" w:hAnsi="Arial"/>
                <w:sz w:val="10"/>
                <w:szCs w:val="10"/>
                <w:color w:val="008000"/>
                <w:w w:val="97"/>
              </w:rPr>
              <w:t>(3)</w:t>
            </w: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90"/>
              <w:spacing w:after="0"/>
              <w:rPr>
                <w:sz w:val="20"/>
                <w:szCs w:val="20"/>
                <w:color w:val="auto"/>
              </w:rPr>
            </w:pPr>
            <w:r>
              <w:rPr>
                <w:rFonts w:ascii="Arial" w:cs="Arial" w:eastAsia="Arial" w:hAnsi="Arial"/>
                <w:sz w:val="16"/>
                <w:szCs w:val="16"/>
                <w:color w:val="0000FF"/>
                <w:w w:val="86"/>
              </w:rPr>
              <w:t>400,000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ZoomInfo</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06/15/2021</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color w:val="0000FF"/>
              </w:rPr>
              <w:t>400,000</w:t>
            </w:r>
          </w:p>
        </w:tc>
        <w:tc>
          <w:tcPr>
            <w:tcW w:w="5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0"/>
              </w:rPr>
              <w:t>Common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gridSpan w:val="2"/>
          </w:tcPr>
          <w:p>
            <w:pPr>
              <w:jc w:val="right"/>
              <w:ind w:right="262"/>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87"/>
              </w:rPr>
              <w:t>400,000</w:t>
            </w:r>
          </w:p>
        </w:tc>
        <w:tc>
          <w:tcPr>
            <w:tcW w:w="620" w:type="dxa"/>
            <w:vAlign w:val="bottom"/>
          </w:tcPr>
          <w:p>
            <w:pPr>
              <w:jc w:val="right"/>
              <w:ind w:right="138"/>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Holdings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vMerge w:val="restart"/>
          </w:tcPr>
          <w:p>
            <w:pPr>
              <w:ind w:left="80"/>
              <w:spacing w:after="0" w:line="26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center"/>
              <w:ind w:right="160"/>
              <w:spacing w:after="0"/>
              <w:rPr>
                <w:sz w:val="20"/>
                <w:szCs w:val="20"/>
                <w:color w:val="auto"/>
              </w:rPr>
            </w:pPr>
            <w:r>
              <w:rPr>
                <w:rFonts w:ascii="Arial" w:cs="Arial" w:eastAsia="Arial" w:hAnsi="Arial"/>
                <w:sz w:val="10"/>
                <w:szCs w:val="10"/>
                <w:color w:val="008000"/>
                <w:w w:val="97"/>
              </w:rPr>
              <w:t>(3)</w:t>
            </w: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90"/>
              <w:spacing w:after="0"/>
              <w:rPr>
                <w:sz w:val="20"/>
                <w:szCs w:val="20"/>
                <w:color w:val="auto"/>
              </w:rPr>
            </w:pPr>
            <w:r>
              <w:rPr>
                <w:rFonts w:ascii="Arial" w:cs="Arial" w:eastAsia="Arial" w:hAnsi="Arial"/>
                <w:sz w:val="16"/>
                <w:szCs w:val="16"/>
                <w:color w:val="0000FF"/>
                <w:w w:val="86"/>
              </w:rPr>
              <w:t>400,000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ZoomInfo</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06/15/2021</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color w:val="0000FF"/>
              </w:rPr>
              <w:t>400,000</w:t>
            </w: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0"/>
              </w:rPr>
              <w:t>Common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gridSpan w:val="2"/>
          </w:tcPr>
          <w:p>
            <w:pPr>
              <w:jc w:val="right"/>
              <w:ind w:right="262"/>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40" w:type="dxa"/>
            <w:vAlign w:val="bottom"/>
          </w:tcPr>
          <w:p>
            <w:pPr>
              <w:jc w:val="center"/>
              <w:ind w:left="244"/>
              <w:spacing w:after="0" w:line="133" w:lineRule="exact"/>
              <w:rPr>
                <w:sz w:val="20"/>
                <w:szCs w:val="20"/>
                <w:color w:val="auto"/>
              </w:rPr>
            </w:pPr>
            <w:r>
              <w:rPr>
                <w:rFonts w:ascii="Arial" w:cs="Arial" w:eastAsia="Arial" w:hAnsi="Arial"/>
                <w:sz w:val="12"/>
                <w:szCs w:val="12"/>
                <w:color w:val="0000FF"/>
                <w:w w:val="89"/>
              </w:rPr>
              <w:t>0</w:t>
            </w:r>
          </w:p>
        </w:tc>
        <w:tc>
          <w:tcPr>
            <w:tcW w:w="340" w:type="dxa"/>
            <w:vAlign w:val="bottom"/>
          </w:tcPr>
          <w:p>
            <w:pPr>
              <w:spacing w:after="0"/>
              <w:rPr>
                <w:sz w:val="11"/>
                <w:szCs w:val="11"/>
                <w:color w:val="auto"/>
              </w:rPr>
            </w:pPr>
          </w:p>
        </w:tc>
        <w:tc>
          <w:tcPr>
            <w:tcW w:w="620" w:type="dxa"/>
            <w:vAlign w:val="bottom"/>
          </w:tcPr>
          <w:p>
            <w:pPr>
              <w:jc w:val="right"/>
              <w:ind w:right="138"/>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Holdings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center"/>
              <w:ind w:right="160"/>
              <w:spacing w:after="0"/>
              <w:rPr>
                <w:sz w:val="20"/>
                <w:szCs w:val="20"/>
                <w:color w:val="auto"/>
              </w:rPr>
            </w:pPr>
            <w:r>
              <w:rPr>
                <w:rFonts w:ascii="Arial" w:cs="Arial" w:eastAsia="Arial" w:hAnsi="Arial"/>
                <w:sz w:val="10"/>
                <w:szCs w:val="10"/>
                <w:color w:val="008000"/>
                <w:w w:val="97"/>
              </w:rPr>
              <w:t>(3)</w:t>
            </w:r>
          </w:p>
        </w:tc>
        <w:tc>
          <w:tcPr>
            <w:tcW w:w="52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120" w:type="dxa"/>
            <w:vAlign w:val="bottom"/>
          </w:tcPr>
          <w:p>
            <w:pPr>
              <w:spacing w:after="0"/>
              <w:rPr>
                <w:sz w:val="11"/>
                <w:szCs w:val="11"/>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5"/>
              </w:rPr>
              <w:t>30,910,041</w:t>
            </w:r>
            <w:r>
              <w:rPr>
                <w:rFonts w:ascii="Arial" w:cs="Arial" w:eastAsia="Arial" w:hAnsi="Arial"/>
                <w:sz w:val="20"/>
                <w:szCs w:val="20"/>
                <w:color w:val="008000"/>
                <w:w w:val="85"/>
                <w:vertAlign w:val="superscript"/>
              </w:rPr>
              <w:t>(7)</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6"/>
              </w:rPr>
              <w:t>30,910,041</w:t>
            </w:r>
            <w:r>
              <w:rPr>
                <w:rFonts w:ascii="Arial" w:cs="Arial" w:eastAsia="Arial" w:hAnsi="Arial"/>
                <w:sz w:val="20"/>
                <w:szCs w:val="20"/>
                <w:color w:val="008000"/>
                <w:w w:val="86"/>
                <w:vertAlign w:val="superscript"/>
              </w:rPr>
              <w:t>(7)</w:t>
            </w:r>
          </w:p>
        </w:tc>
        <w:tc>
          <w:tcPr>
            <w:tcW w:w="62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130" w:lineRule="exact"/>
              <w:rPr>
                <w:sz w:val="20"/>
                <w:szCs w:val="20"/>
                <w:color w:val="auto"/>
              </w:rPr>
            </w:pPr>
            <w:r>
              <w:rPr>
                <w:rFonts w:ascii="Arial" w:cs="Arial" w:eastAsia="Arial" w:hAnsi="Arial"/>
                <w:sz w:val="12"/>
                <w:szCs w:val="12"/>
                <w:color w:val="0000FF"/>
              </w:rPr>
              <w:t>ZoomInfo</w:t>
            </w:r>
          </w:p>
        </w:tc>
        <w:tc>
          <w:tcPr>
            <w:tcW w:w="5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520" w:type="dxa"/>
            <w:vAlign w:val="bottom"/>
            <w:vMerge w:val="restart"/>
          </w:tcPr>
          <w:p>
            <w:pPr>
              <w:jc w:val="center"/>
              <w:spacing w:after="0" w:line="130" w:lineRule="exact"/>
              <w:rPr>
                <w:sz w:val="20"/>
                <w:szCs w:val="20"/>
                <w:color w:val="auto"/>
              </w:rPr>
            </w:pPr>
            <w:r>
              <w:rPr>
                <w:rFonts w:ascii="Arial" w:cs="Arial" w:eastAsia="Arial" w:hAnsi="Arial"/>
                <w:sz w:val="12"/>
                <w:szCs w:val="12"/>
                <w:color w:val="0000FF"/>
                <w:w w:val="90"/>
              </w:rPr>
              <w:t>Common</w:t>
            </w:r>
          </w:p>
        </w:tc>
        <w:tc>
          <w:tcPr>
            <w:tcW w:w="1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20" w:type="dxa"/>
            <w:vAlign w:val="bottom"/>
            <w:vMerge w:val="restart"/>
          </w:tcPr>
          <w:p>
            <w:pPr>
              <w:ind w:left="360"/>
              <w:spacing w:after="0" w:line="130" w:lineRule="exact"/>
              <w:rPr>
                <w:sz w:val="20"/>
                <w:szCs w:val="20"/>
                <w:color w:val="auto"/>
              </w:rPr>
            </w:pPr>
            <w:r>
              <w:rPr>
                <w:rFonts w:ascii="Arial" w:cs="Arial" w:eastAsia="Arial" w:hAnsi="Arial"/>
                <w:sz w:val="12"/>
                <w:szCs w:val="12"/>
                <w:color w:val="0000FF"/>
              </w:rPr>
              <w:t>I</w:t>
            </w:r>
          </w:p>
        </w:tc>
        <w:tc>
          <w:tcPr>
            <w:tcW w:w="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gridSpan w:val="3"/>
          </w:tcPr>
          <w:p>
            <w:pPr>
              <w:ind w:left="580"/>
              <w:spacing w:after="0" w:line="86" w:lineRule="exact"/>
              <w:rPr>
                <w:sz w:val="20"/>
                <w:szCs w:val="20"/>
                <w:color w:val="auto"/>
              </w:rPr>
            </w:pPr>
            <w:r>
              <w:rPr>
                <w:rFonts w:ascii="Arial" w:cs="Arial" w:eastAsia="Arial" w:hAnsi="Arial"/>
                <w:sz w:val="9"/>
                <w:szCs w:val="9"/>
                <w:color w:val="008000"/>
              </w:rPr>
              <w:t>(8)</w:t>
            </w:r>
          </w:p>
        </w:tc>
        <w:tc>
          <w:tcPr>
            <w:tcW w:w="0" w:type="dxa"/>
            <w:vAlign w:val="bottom"/>
          </w:tcPr>
          <w:p>
            <w:pPr>
              <w:spacing w:after="0"/>
              <w:rPr>
                <w:sz w:val="1"/>
                <w:szCs w:val="1"/>
                <w:color w:val="auto"/>
              </w:rPr>
            </w:pPr>
          </w:p>
        </w:tc>
      </w:tr>
      <w:tr>
        <w:trPr>
          <w:trHeight w:val="12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Holdings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3"/>
          </w:tcPr>
          <w:p>
            <w:pPr>
              <w:ind w:left="160"/>
              <w:spacing w:after="0" w:line="121"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25"/>
        </w:trPr>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2"/>
          <w:szCs w:val="12"/>
          <w:color w:val="0000FF"/>
        </w:rPr>
        <w:t>LLC</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transactions reported in this Form 4 were effected pursuant to a 10b5-1 trading plan entered into prior to November 30, 2020.</w:t>
      </w:r>
    </w:p>
    <w:p>
      <w:pPr>
        <w:spacing w:after="0" w:line="43" w:lineRule="exact"/>
        <w:rPr>
          <w:rFonts w:ascii="Arial" w:cs="Arial" w:eastAsia="Arial" w:hAnsi="Arial"/>
          <w:sz w:val="12"/>
          <w:szCs w:val="12"/>
          <w:color w:val="008000"/>
        </w:rPr>
      </w:pPr>
    </w:p>
    <w:p>
      <w:pPr>
        <w:ind w:left="40" w:right="220" w:hanging="7"/>
        <w:spacing w:after="0" w:line="245"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2021, 400,000 limited liability company units of HSKB Funds, LLC ("HSKB Units") held directly by the Reporting Person were exchanged for limited liability company units ("OpCo Units") of ZoomInfo Holdings LLC ("OpCo") together with an equal number of shares of Class B common stock ("Class B Common Stock") of ZoomInfo Technologies Inc. ("ZoomInfo" or the "Issuer"). These OpCo Units and shares of Class B Common Stock were exchanged for shares of ZoomInfo's Class A common stock ("Class A Common Stock") which were sold as described herein.</w:t>
      </w:r>
    </w:p>
    <w:p>
      <w:pPr>
        <w:spacing w:after="0" w:line="25" w:lineRule="exact"/>
        <w:rPr>
          <w:rFonts w:ascii="Arial" w:cs="Arial" w:eastAsia="Arial" w:hAnsi="Arial"/>
          <w:sz w:val="12"/>
          <w:szCs w:val="12"/>
          <w:color w:val="008000"/>
        </w:rPr>
      </w:pPr>
    </w:p>
    <w:p>
      <w:pPr>
        <w:ind w:left="40" w:right="200" w:hanging="7"/>
        <w:spacing w:after="0" w:line="245"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OpCo, OpCo Units and an equal number of shares of Class B Common Stock, together are exchangeable for shares of Class A Common Stock on a one-for-one basis at the discretion of the holder, subject to exchange rate adjustments for stock splits, stock dividends, and reclassifications. These exchange rights do not expire. Shares of Class B Common Stock have no economic value and have 10 votes per share.</w:t>
      </w:r>
    </w:p>
    <w:p>
      <w:pPr>
        <w:spacing w:after="0" w:line="25" w:lineRule="exact"/>
        <w:rPr>
          <w:rFonts w:ascii="Arial" w:cs="Arial" w:eastAsia="Arial" w:hAnsi="Arial"/>
          <w:sz w:val="12"/>
          <w:szCs w:val="12"/>
          <w:color w:val="008000"/>
        </w:rPr>
      </w:pPr>
    </w:p>
    <w:p>
      <w:pPr>
        <w:ind w:left="40" w:right="220" w:hanging="7"/>
        <w:spacing w:after="0" w:line="298" w:lineRule="auto"/>
        <w:tabs>
          <w:tab w:leader="none" w:pos="16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$44.50 to $45.49,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40" w:right="220" w:hanging="7"/>
        <w:spacing w:after="0" w:line="298" w:lineRule="auto"/>
        <w:tabs>
          <w:tab w:leader="none" w:pos="16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$45.50 to $46.42,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jc w:val="both"/>
        <w:ind w:left="40" w:right="180" w:hanging="7"/>
        <w:spacing w:after="0" w:line="245"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these HSKB Units represents the economic value of one OpCo Unit. Each such HSKB Unit is fully vested and is exchangeable, at the Reporting Person's option, into an OpCo Unit and a share of Class B Common Stock, which together are exchangeable by the Issuer for shares of Class A Common Stock on a one-for-one basis, subject to exchange rate adjustments for stock splits, stock dividends, and reclassifications. Shares of Class B Common Stock have no economic value and have 10 votes per share.</w:t>
      </w:r>
    </w:p>
    <w:p>
      <w:pPr>
        <w:spacing w:after="0" w:line="25"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Reporting Person's proportionate pecuniary interest in the securities held directly by DO Holdings (WA), LLC.</w:t>
      </w:r>
    </w:p>
    <w:p>
      <w:pPr>
        <w:spacing w:after="0" w:line="43" w:lineRule="exact"/>
        <w:rPr>
          <w:rFonts w:ascii="Arial" w:cs="Arial" w:eastAsia="Arial" w:hAnsi="Arial"/>
          <w:sz w:val="12"/>
          <w:szCs w:val="12"/>
          <w:color w:val="008000"/>
        </w:rPr>
      </w:pPr>
    </w:p>
    <w:p>
      <w:pPr>
        <w:ind w:left="40" w:right="36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securities held directly by DO Holdings (WA), LLC. DO Holdings (WA), LLC is owned by Henry Schuck and Kirk Brown. The Reporting Person may be deemed to share voting and dispositive power over the securities held by DO Holdings (WA), LLC.</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5" w:lineRule="auto"/>
        <w:rPr>
          <w:sz w:val="20"/>
          <w:szCs w:val="20"/>
          <w:color w:val="auto"/>
        </w:rPr>
      </w:pPr>
      <w:r>
        <w:rPr>
          <w:rFonts w:ascii="Arial" w:cs="Arial" w:eastAsia="Arial" w:hAnsi="Arial"/>
          <w:sz w:val="16"/>
          <w:szCs w:val="16"/>
          <w:color w:val="0000FF"/>
        </w:rPr>
        <w:t xml:space="preserve">/s/ Anthony Stark, as Attorney-in- </w:t>
      </w:r>
      <w:r>
        <w:rPr>
          <w:rFonts w:ascii="Arial" w:cs="Arial" w:eastAsia="Arial" w:hAnsi="Arial"/>
          <w:sz w:val="31"/>
          <w:szCs w:val="31"/>
          <w:color w:val="0000FF"/>
          <w:vertAlign w:val="subscript"/>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620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-19685</wp:posOffset>
            </wp:positionV>
            <wp:extent cx="172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2085" cy="762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-81280</wp:posOffset>
            </wp:positionV>
            <wp:extent cx="4552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60" w:hanging="7"/>
        <w:spacing w:after="0" w:line="313"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3217"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2021-06-17T16:15:19Z</dcterms:created>
  <dcterms:modified xsi:type="dcterms:W3CDTF">2021-06-17T16:15:19Z</dcterms:modified>
</cp:coreProperties>
</file>