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605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6055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Mironov Jason</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ZoomInfo Technologies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60" w:type="dxa"/>
            <w:vAlign w:val="bottom"/>
          </w:tcPr>
          <w:p>
            <w:pPr>
              <w:spacing w:after="0"/>
              <w:rPr>
                <w:sz w:val="2"/>
                <w:szCs w:val="2"/>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48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8"/>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ZOOMINFO TECHNOLOGIES, INC.</w:t>
            </w:r>
          </w:p>
        </w:tc>
        <w:tc>
          <w:tcPr>
            <w:tcW w:w="1080" w:type="dxa"/>
            <w:vAlign w:val="bottom"/>
            <w:gridSpan w:val="5"/>
          </w:tcPr>
          <w:p>
            <w:pPr>
              <w:ind w:left="160"/>
              <w:spacing w:after="0"/>
              <w:rPr>
                <w:sz w:val="20"/>
                <w:szCs w:val="20"/>
                <w:color w:val="auto"/>
              </w:rPr>
            </w:pPr>
            <w:r>
              <w:rPr>
                <w:rFonts w:ascii="Arial" w:cs="Arial" w:eastAsia="Arial" w:hAnsi="Arial"/>
                <w:sz w:val="17"/>
                <w:szCs w:val="17"/>
                <w:color w:val="0000FF"/>
              </w:rPr>
              <w:t>11/04/2021</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805 BROADWAY STREET, SUITE 900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9"/>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VANCOUVER  WA</w:t>
            </w:r>
          </w:p>
        </w:tc>
        <w:tc>
          <w:tcPr>
            <w:tcW w:w="1340" w:type="dxa"/>
            <w:vAlign w:val="bottom"/>
          </w:tcPr>
          <w:p>
            <w:pPr>
              <w:ind w:left="140"/>
              <w:spacing w:after="0"/>
              <w:rPr>
                <w:sz w:val="20"/>
                <w:szCs w:val="20"/>
                <w:color w:val="auto"/>
              </w:rPr>
            </w:pPr>
            <w:r>
              <w:rPr>
                <w:rFonts w:ascii="Arial" w:cs="Arial" w:eastAsia="Arial" w:hAnsi="Arial"/>
                <w:sz w:val="17"/>
                <w:szCs w:val="17"/>
                <w:color w:val="0000FF"/>
              </w:rPr>
              <w:t>98660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2"/>
          </w:tcPr>
          <w:p>
            <w:pPr>
              <w:ind w:left="400"/>
              <w:spacing w:after="0" w:line="134" w:lineRule="exact"/>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26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64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jc w:val="center"/>
              <w:ind w:right="133"/>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Form: Direct</w:t>
            </w:r>
          </w:p>
        </w:tc>
        <w:tc>
          <w:tcPr>
            <w:tcW w:w="5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9"/>
              </w:rPr>
              <w:t>(D) or</w:t>
            </w:r>
          </w:p>
        </w:tc>
        <w:tc>
          <w:tcPr>
            <w:tcW w:w="460" w:type="dxa"/>
            <w:vAlign w:val="bottom"/>
          </w:tcPr>
          <w:p>
            <w:pPr>
              <w:spacing w:after="0"/>
              <w:rPr>
                <w:sz w:val="11"/>
                <w:szCs w:val="11"/>
                <w:color w:val="auto"/>
              </w:rPr>
            </w:pP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1"/>
              </w:rPr>
              <w:t>854,497</w:t>
            </w:r>
          </w:p>
        </w:tc>
        <w:tc>
          <w:tcPr>
            <w:tcW w:w="16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gridSpan w:val="3"/>
            <w:vMerge w:val="restart"/>
          </w:tcPr>
          <w:p>
            <w:pPr>
              <w:jc w:val="center"/>
              <w:ind w:right="318"/>
              <w:spacing w:after="0"/>
              <w:rPr>
                <w:sz w:val="20"/>
                <w:szCs w:val="20"/>
                <w:color w:val="auto"/>
              </w:rPr>
            </w:pPr>
            <w:r>
              <w:rPr>
                <w:rFonts w:ascii="Arial" w:cs="Arial" w:eastAsia="Arial" w:hAnsi="Arial"/>
                <w:sz w:val="17"/>
                <w:szCs w:val="17"/>
                <w:color w:val="0000FF"/>
                <w:w w:val="91"/>
              </w:rPr>
              <w:t>27,801,596</w:t>
            </w:r>
          </w:p>
        </w:tc>
        <w:tc>
          <w:tcPr>
            <w:tcW w:w="460" w:type="dxa"/>
            <w:vAlign w:val="bottom"/>
            <w:vMerge w:val="restart"/>
          </w:tcPr>
          <w:p>
            <w:pPr>
              <w:jc w:val="center"/>
              <w:ind w:right="302"/>
              <w:spacing w:after="0"/>
              <w:rPr>
                <w:sz w:val="20"/>
                <w:szCs w:val="20"/>
                <w:color w:val="auto"/>
              </w:rPr>
            </w:pPr>
            <w:r>
              <w:rPr>
                <w:rFonts w:ascii="Arial" w:cs="Arial" w:eastAsia="Arial" w:hAnsi="Arial"/>
                <w:sz w:val="17"/>
                <w:szCs w:val="17"/>
                <w:color w:val="0000FF"/>
                <w:w w:val="83"/>
              </w:rPr>
              <w:t>I</w:t>
            </w:r>
          </w:p>
        </w:tc>
        <w:tc>
          <w:tcPr>
            <w:tcW w:w="560" w:type="dxa"/>
            <w:vAlign w:val="bottom"/>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22,057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91"/>
              </w:rPr>
              <w:t>717,709</w:t>
            </w:r>
          </w:p>
        </w:tc>
        <w:tc>
          <w:tcPr>
            <w:tcW w:w="460" w:type="dxa"/>
            <w:vAlign w:val="bottom"/>
            <w:tcBorders>
              <w:top w:val="single" w:sz="8" w:color="2C2C2C"/>
            </w:tcBorders>
            <w:vMerge w:val="restart"/>
          </w:tcPr>
          <w:p>
            <w:pPr>
              <w:jc w:val="center"/>
              <w:ind w:right="302"/>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147,571</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4,801,308</w:t>
            </w:r>
          </w:p>
        </w:tc>
        <w:tc>
          <w:tcPr>
            <w:tcW w:w="460" w:type="dxa"/>
            <w:vAlign w:val="bottom"/>
            <w:tcBorders>
              <w:top w:val="single" w:sz="8" w:color="2C2C2C"/>
            </w:tcBorders>
            <w:vMerge w:val="restart"/>
          </w:tcPr>
          <w:p>
            <w:pPr>
              <w:jc w:val="center"/>
              <w:ind w:right="302"/>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31,735</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1,032,538</w:t>
            </w:r>
          </w:p>
        </w:tc>
        <w:tc>
          <w:tcPr>
            <w:tcW w:w="460" w:type="dxa"/>
            <w:vAlign w:val="bottom"/>
            <w:tcBorders>
              <w:top w:val="single" w:sz="8" w:color="2C2C2C"/>
            </w:tcBorders>
            <w:vMerge w:val="restart"/>
          </w:tcPr>
          <w:p>
            <w:pPr>
              <w:jc w:val="center"/>
              <w:ind w:right="302"/>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1,052</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820" w:type="dxa"/>
            <w:vAlign w:val="bottom"/>
            <w:tcBorders>
              <w:top w:val="single" w:sz="8" w:color="2C2C2C"/>
            </w:tcBorders>
            <w:gridSpan w:val="2"/>
            <w:vMerge w:val="restart"/>
          </w:tcPr>
          <w:p>
            <w:pPr>
              <w:jc w:val="center"/>
              <w:ind w:left="213"/>
              <w:spacing w:after="0"/>
              <w:rPr>
                <w:sz w:val="20"/>
                <w:szCs w:val="20"/>
                <w:color w:val="auto"/>
              </w:rPr>
            </w:pPr>
            <w:r>
              <w:rPr>
                <w:rFonts w:ascii="Arial" w:cs="Arial" w:eastAsia="Arial" w:hAnsi="Arial"/>
                <w:sz w:val="17"/>
                <w:szCs w:val="17"/>
                <w:color w:val="0000FF"/>
                <w:w w:val="92"/>
              </w:rPr>
              <w:t>34,282</w:t>
            </w:r>
          </w:p>
        </w:tc>
        <w:tc>
          <w:tcPr>
            <w:tcW w:w="7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jc w:val="center"/>
              <w:ind w:right="302"/>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55,879</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1,818,076</w:t>
            </w:r>
          </w:p>
        </w:tc>
        <w:tc>
          <w:tcPr>
            <w:tcW w:w="460" w:type="dxa"/>
            <w:vAlign w:val="bottom"/>
            <w:tcBorders>
              <w:top w:val="single" w:sz="8" w:color="2C2C2C"/>
            </w:tcBorders>
            <w:vMerge w:val="restart"/>
          </w:tcPr>
          <w:p>
            <w:pPr>
              <w:jc w:val="center"/>
              <w:ind w:right="302"/>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50,134</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1,631,124</w:t>
            </w:r>
          </w:p>
        </w:tc>
        <w:tc>
          <w:tcPr>
            <w:tcW w:w="460" w:type="dxa"/>
            <w:vAlign w:val="bottom"/>
            <w:tcBorders>
              <w:top w:val="single" w:sz="8" w:color="2C2C2C"/>
            </w:tcBorders>
            <w:vMerge w:val="restart"/>
          </w:tcPr>
          <w:p>
            <w:pPr>
              <w:jc w:val="center"/>
              <w:ind w:right="302"/>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4,214</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91"/>
              </w:rPr>
              <w:t>137,134</w:t>
            </w:r>
          </w:p>
        </w:tc>
        <w:tc>
          <w:tcPr>
            <w:tcW w:w="460" w:type="dxa"/>
            <w:vAlign w:val="bottom"/>
            <w:tcBorders>
              <w:top w:val="single" w:sz="8" w:color="2C2C2C"/>
            </w:tcBorders>
            <w:vMerge w:val="restart"/>
          </w:tcPr>
          <w:p>
            <w:pPr>
              <w:jc w:val="center"/>
              <w:ind w:right="302"/>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223,518</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7,272,308</w:t>
            </w:r>
          </w:p>
        </w:tc>
        <w:tc>
          <w:tcPr>
            <w:tcW w:w="460" w:type="dxa"/>
            <w:vAlign w:val="bottom"/>
            <w:tcBorders>
              <w:top w:val="single" w:sz="8" w:color="2C2C2C"/>
            </w:tcBorders>
            <w:vMerge w:val="restart"/>
          </w:tcPr>
          <w:p>
            <w:pPr>
              <w:jc w:val="center"/>
              <w:ind w:right="302"/>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200,534</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6,524,505</w:t>
            </w:r>
          </w:p>
        </w:tc>
        <w:tc>
          <w:tcPr>
            <w:tcW w:w="460" w:type="dxa"/>
            <w:vAlign w:val="bottom"/>
            <w:tcBorders>
              <w:top w:val="single" w:sz="8" w:color="2C2C2C"/>
            </w:tcBorders>
            <w:vMerge w:val="restart"/>
          </w:tcPr>
          <w:p>
            <w:pPr>
              <w:jc w:val="center"/>
              <w:ind w:right="302"/>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Footnotes</w:t>
            </w:r>
            <w:r>
              <w:rPr>
                <w:rFonts w:ascii="Arial" w:cs="Arial" w:eastAsia="Arial" w:hAnsi="Arial"/>
                <w:sz w:val="22"/>
                <w:szCs w:val="22"/>
                <w:color w:val="008000"/>
                <w:w w:val="86"/>
                <w:vertAlign w:val="superscript"/>
              </w:rPr>
              <w:t>(4)(13)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center"/>
              <w:ind w:left="213"/>
              <w:spacing w:after="0"/>
              <w:rPr>
                <w:sz w:val="20"/>
                <w:szCs w:val="20"/>
                <w:color w:val="auto"/>
              </w:rPr>
            </w:pPr>
            <w:r>
              <w:rPr>
                <w:rFonts w:ascii="Arial" w:cs="Arial" w:eastAsia="Arial" w:hAnsi="Arial"/>
                <w:sz w:val="17"/>
                <w:szCs w:val="17"/>
                <w:color w:val="0000FF"/>
                <w:w w:val="92"/>
              </w:rPr>
              <w:t>14,733</w:t>
            </w:r>
          </w:p>
        </w:tc>
        <w:tc>
          <w:tcPr>
            <w:tcW w:w="700" w:type="dxa"/>
            <w:vAlign w:val="bottom"/>
          </w:tcPr>
          <w:p>
            <w:pPr>
              <w:spacing w:after="0"/>
              <w:rPr>
                <w:sz w:val="23"/>
                <w:szCs w:val="23"/>
                <w:color w:val="auto"/>
              </w:rPr>
            </w:pPr>
          </w:p>
        </w:tc>
        <w:tc>
          <w:tcPr>
            <w:tcW w:w="460" w:type="dxa"/>
            <w:vAlign w:val="bottom"/>
          </w:tcPr>
          <w:p>
            <w:pPr>
              <w:jc w:val="center"/>
              <w:ind w:right="302"/>
              <w:spacing w:after="0"/>
              <w:rPr>
                <w:sz w:val="20"/>
                <w:szCs w:val="20"/>
                <w:color w:val="auto"/>
              </w:rPr>
            </w:pPr>
            <w:r>
              <w:rPr>
                <w:rFonts w:ascii="Arial" w:cs="Arial" w:eastAsia="Arial" w:hAnsi="Arial"/>
                <w:sz w:val="17"/>
                <w:szCs w:val="17"/>
                <w:color w:val="0000FF"/>
                <w:w w:val="83"/>
              </w:rPr>
              <w:t>I</w:t>
            </w:r>
          </w:p>
        </w:tc>
        <w:tc>
          <w:tcPr>
            <w:tcW w:w="1280" w:type="dxa"/>
            <w:vAlign w:val="bottom"/>
            <w:gridSpan w:val="4"/>
          </w:tcPr>
          <w:p>
            <w:pPr>
              <w:ind w:left="10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center"/>
              <w:ind w:left="233"/>
              <w:spacing w:after="0"/>
              <w:rPr>
                <w:sz w:val="20"/>
                <w:szCs w:val="20"/>
                <w:color w:val="auto"/>
              </w:rPr>
            </w:pPr>
            <w:r>
              <w:rPr>
                <w:rFonts w:ascii="Arial" w:cs="Arial" w:eastAsia="Arial" w:hAnsi="Arial"/>
                <w:sz w:val="17"/>
                <w:szCs w:val="17"/>
                <w:color w:val="0000FF"/>
                <w:w w:val="91"/>
              </w:rPr>
              <w:t>479</w:t>
            </w:r>
          </w:p>
        </w:tc>
        <w:tc>
          <w:tcPr>
            <w:tcW w:w="1160" w:type="dxa"/>
            <w:vAlign w:val="bottom"/>
            <w:gridSpan w:val="2"/>
          </w:tcPr>
          <w:p>
            <w:pPr>
              <w:jc w:val="center"/>
              <w:ind w:left="258"/>
              <w:spacing w:after="0"/>
              <w:rPr>
                <w:sz w:val="20"/>
                <w:szCs w:val="20"/>
                <w:color w:val="auto"/>
              </w:rPr>
            </w:pPr>
            <w:r>
              <w:rPr>
                <w:rFonts w:ascii="Arial" w:cs="Arial" w:eastAsia="Arial" w:hAnsi="Arial"/>
                <w:sz w:val="17"/>
                <w:szCs w:val="17"/>
                <w:color w:val="0000FF"/>
                <w:w w:val="97"/>
              </w:rPr>
              <w:t>D</w:t>
            </w: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5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56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20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Rule 10b5-1 trading plans adopted on December 6, 2020.</w:t>
      </w:r>
    </w:p>
    <w:p>
      <w:pPr>
        <w:spacing w:after="0" w:line="50"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 weighted-average sale price. The shares were sold in multiple transactions at prices ranging from $70.75 to $72.99. The Reporting Persons will provide upon request to the Securities and Exchange Commission, the Company or security holder of the Company, full information regarding the number of shares sold at each separate price.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L.P. ("XI DO AIV").</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TA Associates, L.P. is the ultimate general partner of each of XI DO, SDF III Feeder, Atlantic &amp; Pacific VII-B, XI DO AIV, SDF III DO, Atlantic &amp; Pacific VII-A, Investors IV, AP VII-B, SDF III DO</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50" w:lineRule="auto"/>
        <w:rPr>
          <w:sz w:val="20"/>
          <w:szCs w:val="20"/>
          <w:color w:val="auto"/>
        </w:rPr>
      </w:pPr>
      <w:r>
        <w:rPr>
          <w:rFonts w:ascii="Arial" w:cs="Arial" w:eastAsia="Arial" w:hAnsi="Arial"/>
          <w:sz w:val="13"/>
          <w:szCs w:val="13"/>
          <w:color w:val="008000"/>
        </w:rPr>
        <w:t>AIV II and XI DO AIV II (collectively, the "TA Associates Funds"). Investment and voting control of the TA Associates Funds is held by TA Associates, L.P. The Reporting Person disclaims beneficial ownership of these securities, except to the extent of his pecuniary interest in such securities, and this report shall not be deemed an admission that the Reporting Person is the beneficial owner of such securities for Section 16 or any other purpose.</w:t>
      </w:r>
    </w:p>
    <w:p>
      <w:pPr>
        <w:spacing w:after="0" w:line="26"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SDF III DO AIV, L.P. ("SDF III DO").</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VII-A, L.P. ("Atlantic &amp; Pacific VII-A").</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Investors IV, L.P. ("Investors IV").</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SDF III DO AIV II, L.P. ("SDF III DO AIV II").</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XI DO AIV II, L.P. ("XI DO AIV II").</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AP VII-B DO Subsidiary Partnership, L.P. ("AP VII-B").</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SDF III DO Feeder, L.P. ("SDF III Feeder").</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XI DO Feeder, L.P ("XI DO").</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VII-B, L.P. ("Atlantic &amp; Pacific VII-B").</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Jason Mironov</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11/08/2021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2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0"/>
      </w:cols>
      <w:pgMar w:left="500" w:top="13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0831" TargetMode="External"/><Relationship Id="rId13"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2021-11-08T15:27:15Z</dcterms:created>
  <dcterms:modified xsi:type="dcterms:W3CDTF">2021-11-08T15:27:15Z</dcterms:modified>
</cp:coreProperties>
</file>