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Crockett Todd</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right="260"/>
        <w:spacing w:after="0" w:line="344" w:lineRule="auto"/>
        <w:rPr>
          <w:sz w:val="20"/>
          <w:szCs w:val="20"/>
          <w:color w:val="auto"/>
        </w:rPr>
      </w:pPr>
      <w:r>
        <w:rPr>
          <w:rFonts w:ascii="Arial" w:cs="Arial" w:eastAsia="Arial" w:hAnsi="Arial"/>
          <w:sz w:val="15"/>
          <w:szCs w:val="15"/>
          <w:color w:val="0000FF"/>
        </w:rPr>
        <w:t>C/O ZOOMINFO TECHNOLOGIES, INC 805 BROADWAY STREET, 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ZoomInfo Technologies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ZI</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08/12/2021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97"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180" w:space="720"/>
            <w:col w:w="3109" w:space="720"/>
            <w:col w:w="3351"/>
          </w:cols>
          <w:pgMar w:left="460" w:top="218" w:right="359" w:bottom="0" w:gutter="0" w:footer="0" w:header="0"/>
          <w:type w:val="continuous"/>
        </w:sect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3460" w:type="dxa"/>
            <w:vAlign w:val="bottom"/>
            <w:gridSpan w:val="5"/>
          </w:tcPr>
          <w:p>
            <w:pPr>
              <w:ind w:left="20"/>
              <w:spacing w:after="0" w:line="95" w:lineRule="exact"/>
              <w:rPr>
                <w:sz w:val="20"/>
                <w:szCs w:val="20"/>
                <w:color w:val="auto"/>
              </w:rPr>
            </w:pPr>
            <w:r>
              <w:rPr>
                <w:rFonts w:ascii="Arial" w:cs="Arial" w:eastAsia="Arial" w:hAnsi="Arial"/>
                <w:sz w:val="10"/>
                <w:szCs w:val="10"/>
                <w:color w:val="auto"/>
              </w:rPr>
              <w:t>4. If Amendment, Date of Original Filed (Month/Day/Year)</w:t>
            </w:r>
          </w:p>
        </w:tc>
        <w:tc>
          <w:tcPr>
            <w:tcW w:w="3640" w:type="dxa"/>
            <w:vAlign w:val="bottom"/>
            <w:gridSpan w:val="5"/>
          </w:tcPr>
          <w:p>
            <w:pPr>
              <w:ind w:left="380"/>
              <w:spacing w:after="0" w:line="95" w:lineRule="exact"/>
              <w:rPr>
                <w:sz w:val="20"/>
                <w:szCs w:val="20"/>
                <w:color w:val="auto"/>
              </w:rPr>
            </w:pPr>
            <w:r>
              <w:rPr>
                <w:rFonts w:ascii="Arial" w:cs="Arial" w:eastAsia="Arial" w:hAnsi="Arial"/>
                <w:sz w:val="10"/>
                <w:szCs w:val="10"/>
                <w:color w:val="auto"/>
              </w:rPr>
              <w:t>6. Individual or Joint/Group Filing (Check Applicable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60" w:type="dxa"/>
            <w:vAlign w:val="bottom"/>
            <w:gridSpan w:val="4"/>
            <w:vMerge w:val="restart"/>
          </w:tcPr>
          <w:p>
            <w:pPr>
              <w:ind w:left="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0000FF"/>
              </w:rPr>
              <w:t>VANCOUVER</w:t>
            </w:r>
          </w:p>
        </w:tc>
        <w:tc>
          <w:tcPr>
            <w:tcW w:w="840" w:type="dxa"/>
            <w:vAlign w:val="bottom"/>
            <w:vMerge w:val="restart"/>
          </w:tcPr>
          <w:p>
            <w:pPr>
              <w:ind w:left="120"/>
              <w:spacing w:after="0"/>
              <w:rPr>
                <w:sz w:val="20"/>
                <w:szCs w:val="20"/>
                <w:color w:val="auto"/>
              </w:rPr>
            </w:pPr>
            <w:r>
              <w:rPr>
                <w:rFonts w:ascii="Arial" w:cs="Arial" w:eastAsia="Arial" w:hAnsi="Arial"/>
                <w:sz w:val="16"/>
                <w:szCs w:val="16"/>
                <w:color w:val="0000FF"/>
              </w:rPr>
              <w:t>WA</w:t>
            </w:r>
          </w:p>
        </w:tc>
        <w:tc>
          <w:tcPr>
            <w:tcW w:w="1700" w:type="dxa"/>
            <w:vAlign w:val="bottom"/>
            <w:vMerge w:val="restart"/>
          </w:tcPr>
          <w:p>
            <w:pPr>
              <w:ind w:left="500"/>
              <w:spacing w:after="0"/>
              <w:rPr>
                <w:sz w:val="20"/>
                <w:szCs w:val="20"/>
                <w:color w:val="auto"/>
              </w:rPr>
            </w:pPr>
            <w:r>
              <w:rPr>
                <w:rFonts w:ascii="Arial" w:cs="Arial" w:eastAsia="Arial" w:hAnsi="Arial"/>
                <w:sz w:val="16"/>
                <w:szCs w:val="16"/>
                <w:color w:val="0000FF"/>
              </w:rPr>
              <w:t>98660</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60" w:type="dxa"/>
            <w:vAlign w:val="bottom"/>
            <w:gridSpan w:val="4"/>
            <w:vMerge w:val="restart"/>
          </w:tcPr>
          <w:p>
            <w:pPr>
              <w:ind w:left="340"/>
              <w:spacing w:after="0"/>
              <w:rPr>
                <w:sz w:val="20"/>
                <w:szCs w:val="20"/>
                <w:color w:val="auto"/>
              </w:rPr>
            </w:pPr>
            <w:r>
              <w:rPr>
                <w:rFonts w:ascii="Arial" w:cs="Arial" w:eastAsia="Arial" w:hAnsi="Arial"/>
                <w:sz w:val="13"/>
                <w:szCs w:val="13"/>
                <w:color w:val="auto"/>
                <w:w w:val="99"/>
              </w:rPr>
              <w:t>Form filed by More than One Reporting Person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1700" w:type="dxa"/>
            <w:vAlign w:val="bottom"/>
            <w:tcBorders>
              <w:bottom w:val="single" w:sz="8" w:color="9A9A9A"/>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120"/>
              <w:spacing w:after="0"/>
              <w:rPr>
                <w:sz w:val="20"/>
                <w:szCs w:val="20"/>
                <w:color w:val="auto"/>
              </w:rPr>
            </w:pPr>
            <w:r>
              <w:rPr>
                <w:rFonts w:ascii="Arial" w:cs="Arial" w:eastAsia="Arial" w:hAnsi="Arial"/>
                <w:sz w:val="13"/>
                <w:szCs w:val="13"/>
                <w:color w:val="auto"/>
              </w:rPr>
              <w:t>(State)</w:t>
            </w:r>
          </w:p>
        </w:tc>
        <w:tc>
          <w:tcPr>
            <w:tcW w:w="182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240" w:type="dxa"/>
            <w:vAlign w:val="bottom"/>
            <w:tcBorders>
              <w:bottom w:val="single" w:sz="8" w:color="2C2C2C"/>
            </w:tcBorders>
            <w:gridSpan w:val="8"/>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12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6940" w:type="dxa"/>
            <w:vAlign w:val="bottom"/>
            <w:tcBorders>
              <w:top w:val="single" w:sz="8" w:color="2C2C2C"/>
            </w:tcBorders>
            <w:gridSpan w:val="9"/>
          </w:tcPr>
          <w:p>
            <w:pPr>
              <w:ind w:left="3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6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gridSpan w:val="2"/>
          </w:tcPr>
          <w:p>
            <w:pPr>
              <w:ind w:left="860"/>
              <w:spacing w:after="0" w:line="122"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Of (D) (Instr. 3, 4 and 5)</w:t>
            </w: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 Direct</w:t>
            </w:r>
          </w:p>
        </w:tc>
        <w:tc>
          <w:tcPr>
            <w:tcW w:w="10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20" w:type="dxa"/>
            <w:vAlign w:val="bottom"/>
            <w:gridSpan w:val="2"/>
          </w:tcPr>
          <w:p>
            <w:pPr>
              <w:jc w:val="center"/>
              <w:ind w:left="742"/>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106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 or</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6"/>
              </w:rPr>
              <w:t>Price</w:t>
            </w:r>
          </w:p>
        </w:tc>
        <w:tc>
          <w:tcPr>
            <w:tcW w:w="58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3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114,939</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287"/>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114,939</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(2)(3)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2,968</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287"/>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2,968</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(3)(4)</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19,850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287"/>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19,850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4,269</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287"/>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4,269</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(3)(6)</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142</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287"/>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142</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(3)(7)</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7,517</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287"/>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7,517</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(3)(8)</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6,744</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287"/>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6,744</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(3)(9)</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567</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307"/>
              <w:spacing w:after="0"/>
              <w:rPr>
                <w:sz w:val="20"/>
                <w:szCs w:val="20"/>
                <w:color w:val="auto"/>
              </w:rPr>
            </w:pPr>
            <w:r>
              <w:rPr>
                <w:rFonts w:ascii="Arial" w:cs="Arial" w:eastAsia="Arial" w:hAnsi="Arial"/>
                <w:sz w:val="10"/>
                <w:szCs w:val="10"/>
                <w:color w:val="008000"/>
              </w:rPr>
              <w:t>(10)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567</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(3)(11)</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30,066</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307"/>
              <w:spacing w:after="0"/>
              <w:rPr>
                <w:sz w:val="20"/>
                <w:szCs w:val="20"/>
                <w:color w:val="auto"/>
              </w:rPr>
            </w:pPr>
            <w:r>
              <w:rPr>
                <w:rFonts w:ascii="Arial" w:cs="Arial" w:eastAsia="Arial" w:hAnsi="Arial"/>
                <w:sz w:val="10"/>
                <w:szCs w:val="10"/>
                <w:color w:val="008000"/>
              </w:rPr>
              <w:t>(10)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30,066</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26,974</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307"/>
              <w:spacing w:after="0"/>
              <w:rPr>
                <w:sz w:val="20"/>
                <w:szCs w:val="20"/>
                <w:color w:val="auto"/>
              </w:rPr>
            </w:pPr>
            <w:r>
              <w:rPr>
                <w:rFonts w:ascii="Arial" w:cs="Arial" w:eastAsia="Arial" w:hAnsi="Arial"/>
                <w:sz w:val="10"/>
                <w:szCs w:val="10"/>
                <w:color w:val="008000"/>
              </w:rPr>
              <w:t>(10)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26,974</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114,939</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7"/>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(2)(3)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2,968</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7"/>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(3)(4)</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19,850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7"/>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(3)(5)</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4,269</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7"/>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(3)(6)</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142</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7"/>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(3)(7)</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7,517</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7"/>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(3)(8)</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6,744</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7"/>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(3)(9)</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567</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7"/>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(3)(11)</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30,066</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7"/>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(3)(12)</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26,974</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7"/>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6"/>
                <w:szCs w:val="16"/>
                <w:color w:val="0000FF"/>
                <w:w w:val="89"/>
              </w:rPr>
              <w:t>Footnotes</w:t>
            </w:r>
            <w:r>
              <w:rPr>
                <w:rFonts w:ascii="Arial" w:cs="Arial" w:eastAsia="Arial" w:hAnsi="Arial"/>
                <w:sz w:val="20"/>
                <w:szCs w:val="20"/>
                <w:color w:val="008000"/>
                <w:w w:val="89"/>
                <w:vertAlign w:val="superscript"/>
              </w:rPr>
              <w:t>(3)(13)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840" w:type="dxa"/>
            <w:vAlign w:val="bottom"/>
            <w:shd w:val="clear" w:color="auto" w:fill="808080"/>
          </w:tcPr>
          <w:p>
            <w:pPr>
              <w:spacing w:after="0" w:line="20" w:lineRule="exact"/>
              <w:rPr>
                <w:sz w:val="1"/>
                <w:szCs w:val="1"/>
                <w:color w:val="auto"/>
              </w:rPr>
            </w:pPr>
          </w:p>
        </w:tc>
        <w:tc>
          <w:tcPr>
            <w:tcW w:w="1700" w:type="dxa"/>
            <w:vAlign w:val="bottom"/>
            <w:shd w:val="clear" w:color="auto" w:fill="808080"/>
          </w:tcPr>
          <w:p>
            <w:pPr>
              <w:spacing w:after="0" w:line="20" w:lineRule="exact"/>
              <w:rPr>
                <w:sz w:val="1"/>
                <w:szCs w:val="1"/>
                <w:color w:val="auto"/>
              </w:rPr>
            </w:pPr>
          </w:p>
        </w:tc>
        <w:tc>
          <w:tcPr>
            <w:tcW w:w="120" w:type="dxa"/>
            <w:vAlign w:val="bottom"/>
            <w:shd w:val="clear" w:color="auto" w:fill="808080"/>
          </w:tcPr>
          <w:p>
            <w:pPr>
              <w:spacing w:after="0" w:line="20" w:lineRule="exact"/>
              <w:rPr>
                <w:sz w:val="1"/>
                <w:szCs w:val="1"/>
                <w:color w:val="auto"/>
              </w:rPr>
            </w:pPr>
          </w:p>
        </w:tc>
        <w:tc>
          <w:tcPr>
            <w:tcW w:w="108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300" w:type="dxa"/>
            <w:vAlign w:val="bottom"/>
            <w:shd w:val="clear" w:color="auto" w:fill="808080"/>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1080" w:type="dxa"/>
            <w:vAlign w:val="bottom"/>
            <w:shd w:val="clear" w:color="auto" w:fill="808080"/>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21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0955" cy="219075"/>
                    </a:xfrm>
                    <a:prstGeom prst="rect">
                      <a:avLst/>
                    </a:prstGeom>
                    <a:noFill/>
                  </pic:spPr>
                </pic:pic>
              </a:graphicData>
            </a:graphic>
          </wp:anchor>
        </w:drawing>
      </w:r>
    </w:p>
    <w:p>
      <w:pPr>
        <w:sectPr>
          <w:pgSz w:w="11900" w:h="16838" w:orient="portrait"/>
          <w:cols w:equalWidth="0" w:num="1">
            <w:col w:w="11080"/>
          </w:cols>
          <w:pgMar w:left="460" w:top="218"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539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8500" cy="5396865"/>
                    </a:xfrm>
                    <a:prstGeom prst="rect">
                      <a:avLst/>
                    </a:prstGeom>
                    <a:noFill/>
                  </pic:spPr>
                </pic:pic>
              </a:graphicData>
            </a:graphic>
          </wp:anchor>
        </w:drawing>
        <w:t>Table II - Derivative Securities Acquired, Disposed of, or Beneficially Owned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21"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660" w:type="dxa"/>
            <w:vAlign w:val="bottom"/>
            <w:vMerge w:val="continue"/>
          </w:tcPr>
          <w:p>
            <w:pPr>
              <w:spacing w:after="0"/>
              <w:rPr>
                <w:sz w:val="5"/>
                <w:szCs w:val="5"/>
                <w:color w:val="auto"/>
              </w:rPr>
            </w:pPr>
          </w:p>
        </w:tc>
        <w:tc>
          <w:tcPr>
            <w:tcW w:w="600" w:type="dxa"/>
            <w:vAlign w:val="bottom"/>
            <w:vMerge w:val="restart"/>
          </w:tcPr>
          <w:p>
            <w:pPr>
              <w:jc w:val="center"/>
              <w:ind w:right="6"/>
              <w:spacing w:after="0"/>
              <w:rPr>
                <w:sz w:val="20"/>
                <w:szCs w:val="20"/>
                <w:color w:val="auto"/>
              </w:rPr>
            </w:pPr>
            <w:r>
              <w:rPr>
                <w:rFonts w:ascii="Arial" w:cs="Arial" w:eastAsia="Arial" w:hAnsi="Arial"/>
                <w:sz w:val="16"/>
                <w:szCs w:val="16"/>
                <w:color w:val="0000FF"/>
                <w:w w:val="89"/>
              </w:rPr>
              <w:t>114,939</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08/12/2021</w:t>
            </w:r>
          </w:p>
        </w:tc>
        <w:tc>
          <w:tcPr>
            <w:tcW w:w="1060" w:type="dxa"/>
            <w:vAlign w:val="bottom"/>
          </w:tcPr>
          <w:p>
            <w:pPr>
              <w:spacing w:after="0"/>
              <w:rPr>
                <w:sz w:val="5"/>
                <w:szCs w:val="5"/>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ind w:left="240"/>
              <w:spacing w:after="0" w:line="138" w:lineRule="exact"/>
              <w:rPr>
                <w:sz w:val="20"/>
                <w:szCs w:val="20"/>
                <w:color w:val="auto"/>
              </w:rPr>
            </w:pPr>
            <w:r>
              <w:rPr>
                <w:rFonts w:ascii="Arial" w:cs="Arial" w:eastAsia="Arial" w:hAnsi="Arial"/>
                <w:sz w:val="13"/>
                <w:szCs w:val="13"/>
                <w:color w:val="0000FF"/>
                <w:w w:val="85"/>
              </w:rPr>
              <w:t>114,939</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35,069,428</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60" w:type="dxa"/>
            <w:vAlign w:val="bottom"/>
          </w:tcPr>
          <w:p>
            <w:pPr>
              <w:ind w:left="60"/>
              <w:spacing w:after="0" w:line="63" w:lineRule="exact"/>
              <w:rPr>
                <w:sz w:val="20"/>
                <w:szCs w:val="20"/>
                <w:color w:val="auto"/>
              </w:rPr>
            </w:pPr>
            <w:r>
              <w:rPr>
                <w:rFonts w:ascii="Arial" w:cs="Arial" w:eastAsia="Arial" w:hAnsi="Arial"/>
                <w:sz w:val="7"/>
                <w:szCs w:val="7"/>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tcPr>
          <w:p>
            <w:pPr>
              <w:ind w:left="60"/>
              <w:spacing w:after="0" w:line="63" w:lineRule="exact"/>
              <w:rPr>
                <w:sz w:val="20"/>
                <w:szCs w:val="20"/>
                <w:color w:val="auto"/>
              </w:rPr>
            </w:pPr>
            <w:r>
              <w:rPr>
                <w:rFonts w:ascii="Arial" w:cs="Arial" w:eastAsia="Arial" w:hAnsi="Arial"/>
                <w:sz w:val="6"/>
                <w:szCs w:val="6"/>
                <w:color w:val="0000FF"/>
              </w:rPr>
              <w:t>Footnotes</w:t>
            </w:r>
            <w:r>
              <w:rPr>
                <w:rFonts w:ascii="Arial" w:cs="Arial" w:eastAsia="Arial" w:hAnsi="Arial"/>
                <w:sz w:val="7"/>
                <w:szCs w:val="7"/>
                <w:color w:val="008000"/>
                <w:vertAlign w:val="superscript"/>
              </w:rPr>
              <w:t>(2)(3)</w:t>
            </w:r>
          </w:p>
        </w:tc>
        <w:tc>
          <w:tcPr>
            <w:tcW w:w="0" w:type="dxa"/>
            <w:vAlign w:val="bottom"/>
          </w:tcPr>
          <w:p>
            <w:pPr>
              <w:spacing w:after="0"/>
              <w:rPr>
                <w:sz w:val="1"/>
                <w:szCs w:val="1"/>
                <w:color w:val="auto"/>
              </w:rPr>
            </w:pPr>
          </w:p>
        </w:tc>
      </w:tr>
      <w:tr>
        <w:trPr>
          <w:trHeight w:val="157"/>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21"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4"/>
              </w:rPr>
              <w:t>2,968</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08/12/2021</w:t>
            </w:r>
          </w:p>
        </w:tc>
        <w:tc>
          <w:tcPr>
            <w:tcW w:w="1060" w:type="dxa"/>
            <w:vAlign w:val="bottom"/>
          </w:tcPr>
          <w:p>
            <w:pPr>
              <w:spacing w:after="0"/>
              <w:rPr>
                <w:sz w:val="5"/>
                <w:szCs w:val="5"/>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ind w:left="240"/>
              <w:spacing w:after="0" w:line="138" w:lineRule="exact"/>
              <w:rPr>
                <w:sz w:val="20"/>
                <w:szCs w:val="20"/>
                <w:color w:val="auto"/>
              </w:rPr>
            </w:pPr>
            <w:r>
              <w:rPr>
                <w:rFonts w:ascii="Arial" w:cs="Arial" w:eastAsia="Arial" w:hAnsi="Arial"/>
                <w:sz w:val="13"/>
                <w:szCs w:val="13"/>
                <w:color w:val="0000FF"/>
                <w:w w:val="85"/>
              </w:rPr>
              <w:t>2,968</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5"/>
              </w:rPr>
              <w:t>905,329</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21"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19,850</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08/12/2021</w:t>
            </w:r>
          </w:p>
        </w:tc>
        <w:tc>
          <w:tcPr>
            <w:tcW w:w="1060" w:type="dxa"/>
            <w:vAlign w:val="bottom"/>
          </w:tcPr>
          <w:p>
            <w:pPr>
              <w:spacing w:after="0"/>
              <w:rPr>
                <w:sz w:val="5"/>
                <w:szCs w:val="5"/>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ind w:left="260"/>
              <w:spacing w:after="0" w:line="138" w:lineRule="exact"/>
              <w:rPr>
                <w:sz w:val="20"/>
                <w:szCs w:val="20"/>
                <w:color w:val="auto"/>
              </w:rPr>
            </w:pPr>
            <w:r>
              <w:rPr>
                <w:rFonts w:ascii="Arial" w:cs="Arial" w:eastAsia="Arial" w:hAnsi="Arial"/>
                <w:sz w:val="13"/>
                <w:szCs w:val="13"/>
                <w:color w:val="0000FF"/>
                <w:w w:val="85"/>
              </w:rPr>
              <w:t>19,850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6,056,457</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(3)(5)</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21"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4"/>
              </w:rPr>
              <w:t>4,269</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08/12/2021</w:t>
            </w:r>
          </w:p>
        </w:tc>
        <w:tc>
          <w:tcPr>
            <w:tcW w:w="1060" w:type="dxa"/>
            <w:vAlign w:val="bottom"/>
          </w:tcPr>
          <w:p>
            <w:pPr>
              <w:spacing w:after="0"/>
              <w:rPr>
                <w:sz w:val="5"/>
                <w:szCs w:val="5"/>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ind w:left="240"/>
              <w:spacing w:after="0" w:line="138" w:lineRule="exact"/>
              <w:rPr>
                <w:sz w:val="20"/>
                <w:szCs w:val="20"/>
                <w:color w:val="auto"/>
              </w:rPr>
            </w:pPr>
            <w:r>
              <w:rPr>
                <w:rFonts w:ascii="Arial" w:cs="Arial" w:eastAsia="Arial" w:hAnsi="Arial"/>
                <w:sz w:val="13"/>
                <w:szCs w:val="13"/>
                <w:color w:val="0000FF"/>
                <w:w w:val="85"/>
              </w:rPr>
              <w:t>4,269</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1,302,463</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(3)(6)</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21"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7"/>
              </w:rPr>
              <w:t>142</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08/12/2021</w:t>
            </w:r>
          </w:p>
        </w:tc>
        <w:tc>
          <w:tcPr>
            <w:tcW w:w="1060" w:type="dxa"/>
            <w:vAlign w:val="bottom"/>
          </w:tcPr>
          <w:p>
            <w:pPr>
              <w:spacing w:after="0"/>
              <w:rPr>
                <w:sz w:val="5"/>
                <w:szCs w:val="5"/>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ind w:left="240"/>
              <w:spacing w:after="0" w:line="138" w:lineRule="exact"/>
              <w:rPr>
                <w:sz w:val="20"/>
                <w:szCs w:val="20"/>
                <w:color w:val="auto"/>
              </w:rPr>
            </w:pPr>
            <w:r>
              <w:rPr>
                <w:rFonts w:ascii="Arial" w:cs="Arial" w:eastAsia="Arial" w:hAnsi="Arial"/>
                <w:sz w:val="13"/>
                <w:szCs w:val="13"/>
                <w:color w:val="0000FF"/>
                <w:w w:val="92"/>
              </w:rPr>
              <w:t>142</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90"/>
              </w:rPr>
              <w:t>44,432</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(3)(7)</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21"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4"/>
              </w:rPr>
              <w:t>7,517</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08/12/2021</w:t>
            </w:r>
          </w:p>
        </w:tc>
        <w:tc>
          <w:tcPr>
            <w:tcW w:w="1060" w:type="dxa"/>
            <w:vAlign w:val="bottom"/>
          </w:tcPr>
          <w:p>
            <w:pPr>
              <w:spacing w:after="0"/>
              <w:rPr>
                <w:sz w:val="5"/>
                <w:szCs w:val="5"/>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ind w:left="240"/>
              <w:spacing w:after="0" w:line="138" w:lineRule="exact"/>
              <w:rPr>
                <w:sz w:val="20"/>
                <w:szCs w:val="20"/>
                <w:color w:val="auto"/>
              </w:rPr>
            </w:pPr>
            <w:r>
              <w:rPr>
                <w:rFonts w:ascii="Arial" w:cs="Arial" w:eastAsia="Arial" w:hAnsi="Arial"/>
                <w:sz w:val="13"/>
                <w:szCs w:val="13"/>
                <w:color w:val="0000FF"/>
                <w:w w:val="85"/>
              </w:rPr>
              <w:t>7,517</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2,355,692</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(3)(8)</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21"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4"/>
              </w:rPr>
              <w:t>6,744</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08/12/2021</w:t>
            </w:r>
          </w:p>
        </w:tc>
        <w:tc>
          <w:tcPr>
            <w:tcW w:w="1060" w:type="dxa"/>
            <w:vAlign w:val="bottom"/>
          </w:tcPr>
          <w:p>
            <w:pPr>
              <w:spacing w:after="0"/>
              <w:rPr>
                <w:sz w:val="5"/>
                <w:szCs w:val="5"/>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ind w:left="240"/>
              <w:spacing w:after="0" w:line="138" w:lineRule="exact"/>
              <w:rPr>
                <w:sz w:val="20"/>
                <w:szCs w:val="20"/>
                <w:color w:val="auto"/>
              </w:rPr>
            </w:pPr>
            <w:r>
              <w:rPr>
                <w:rFonts w:ascii="Arial" w:cs="Arial" w:eastAsia="Arial" w:hAnsi="Arial"/>
                <w:sz w:val="13"/>
                <w:szCs w:val="13"/>
                <w:color w:val="0000FF"/>
                <w:w w:val="85"/>
              </w:rPr>
              <w:t>6,744</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2"/>
              </w:rPr>
              <w:t>2,115,413</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(3)(9)</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(17)</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7"/>
              </w:rPr>
              <w:t>567</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6"/>
              </w:rPr>
              <w:t>08/12/2021</w:t>
            </w:r>
          </w:p>
        </w:tc>
        <w:tc>
          <w:tcPr>
            <w:tcW w:w="1060" w:type="dxa"/>
            <w:vAlign w:val="bottom"/>
          </w:tcPr>
          <w:p>
            <w:pPr>
              <w:spacing w:after="0"/>
              <w:rPr>
                <w:sz w:val="3"/>
                <w:szCs w:val="3"/>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ind w:left="240"/>
              <w:spacing w:after="0"/>
              <w:rPr>
                <w:sz w:val="20"/>
                <w:szCs w:val="20"/>
                <w:color w:val="auto"/>
              </w:rPr>
            </w:pPr>
            <w:r>
              <w:rPr>
                <w:rFonts w:ascii="Arial" w:cs="Arial" w:eastAsia="Arial" w:hAnsi="Arial"/>
                <w:sz w:val="13"/>
                <w:szCs w:val="13"/>
                <w:color w:val="0000FF"/>
                <w:w w:val="92"/>
              </w:rPr>
              <w:t>567</w:t>
            </w: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5"/>
              </w:rPr>
              <w:t>172,986</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20" w:type="dxa"/>
            <w:vAlign w:val="bottom"/>
            <w:vMerge w:val="restart"/>
          </w:tcPr>
          <w:p>
            <w:pPr>
              <w:ind w:left="60"/>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(3)(11)</w:t>
            </w:r>
          </w:p>
        </w:tc>
        <w:tc>
          <w:tcPr>
            <w:tcW w:w="0" w:type="dxa"/>
            <w:vAlign w:val="bottom"/>
          </w:tcPr>
          <w:p>
            <w:pPr>
              <w:spacing w:after="0"/>
              <w:rPr>
                <w:sz w:val="1"/>
                <w:szCs w:val="1"/>
                <w:color w:val="auto"/>
              </w:rPr>
            </w:pPr>
          </w:p>
        </w:tc>
      </w:tr>
      <w:tr>
        <w:trPr>
          <w:trHeight w:val="70"/>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660" w:type="dxa"/>
            <w:vAlign w:val="bottom"/>
            <w:tcBorders>
              <w:bottom w:val="single" w:sz="8" w:color="2C2C2C"/>
            </w:tcBorders>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(17)</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30,066</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6"/>
              </w:rPr>
              <w:t>08/12/2021</w:t>
            </w:r>
          </w:p>
        </w:tc>
        <w:tc>
          <w:tcPr>
            <w:tcW w:w="1060" w:type="dxa"/>
            <w:vAlign w:val="bottom"/>
          </w:tcPr>
          <w:p>
            <w:pPr>
              <w:spacing w:after="0"/>
              <w:rPr>
                <w:sz w:val="3"/>
                <w:szCs w:val="3"/>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ind w:left="260"/>
              <w:spacing w:after="0"/>
              <w:rPr>
                <w:sz w:val="20"/>
                <w:szCs w:val="20"/>
                <w:color w:val="auto"/>
              </w:rPr>
            </w:pPr>
            <w:r>
              <w:rPr>
                <w:rFonts w:ascii="Arial" w:cs="Arial" w:eastAsia="Arial" w:hAnsi="Arial"/>
                <w:sz w:val="13"/>
                <w:szCs w:val="13"/>
                <w:color w:val="0000FF"/>
                <w:w w:val="85"/>
              </w:rPr>
              <w:t>30,066</w:t>
            </w: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6"/>
              </w:rPr>
              <w:t>9,173,420</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20" w:type="dxa"/>
            <w:vAlign w:val="bottom"/>
            <w:vMerge w:val="restart"/>
          </w:tcPr>
          <w:p>
            <w:pPr>
              <w:ind w:left="60"/>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(3)(12)</w:t>
            </w:r>
          </w:p>
        </w:tc>
        <w:tc>
          <w:tcPr>
            <w:tcW w:w="0" w:type="dxa"/>
            <w:vAlign w:val="bottom"/>
          </w:tcPr>
          <w:p>
            <w:pPr>
              <w:spacing w:after="0"/>
              <w:rPr>
                <w:sz w:val="1"/>
                <w:szCs w:val="1"/>
                <w:color w:val="auto"/>
              </w:rPr>
            </w:pPr>
          </w:p>
        </w:tc>
      </w:tr>
      <w:tr>
        <w:trPr>
          <w:trHeight w:val="70"/>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660" w:type="dxa"/>
            <w:vAlign w:val="bottom"/>
            <w:tcBorders>
              <w:bottom w:val="single" w:sz="8" w:color="2C2C2C"/>
            </w:tcBorders>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(17)</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26,974</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6"/>
              </w:rPr>
              <w:t>08/12/2021</w:t>
            </w:r>
          </w:p>
        </w:tc>
        <w:tc>
          <w:tcPr>
            <w:tcW w:w="1060" w:type="dxa"/>
            <w:vAlign w:val="bottom"/>
          </w:tcPr>
          <w:p>
            <w:pPr>
              <w:spacing w:after="0"/>
              <w:rPr>
                <w:sz w:val="3"/>
                <w:szCs w:val="3"/>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ind w:left="260"/>
              <w:spacing w:after="0"/>
              <w:rPr>
                <w:sz w:val="20"/>
                <w:szCs w:val="20"/>
                <w:color w:val="auto"/>
              </w:rPr>
            </w:pPr>
            <w:r>
              <w:rPr>
                <w:rFonts w:ascii="Arial" w:cs="Arial" w:eastAsia="Arial" w:hAnsi="Arial"/>
                <w:sz w:val="13"/>
                <w:szCs w:val="13"/>
                <w:color w:val="0000FF"/>
                <w:w w:val="85"/>
              </w:rPr>
              <w:t>26,974</w:t>
            </w: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6"/>
              </w:rPr>
              <w:t>8,230,126</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20" w:type="dxa"/>
            <w:vAlign w:val="bottom"/>
            <w:vMerge w:val="restart"/>
          </w:tcPr>
          <w:p>
            <w:pPr>
              <w:ind w:left="60"/>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(3)(13)</w:t>
            </w:r>
          </w:p>
        </w:tc>
        <w:tc>
          <w:tcPr>
            <w:tcW w:w="0" w:type="dxa"/>
            <w:vAlign w:val="bottom"/>
          </w:tcPr>
          <w:p>
            <w:pPr>
              <w:spacing w:after="0"/>
              <w:rPr>
                <w:sz w:val="1"/>
                <w:szCs w:val="1"/>
                <w:color w:val="auto"/>
              </w:rPr>
            </w:pPr>
          </w:p>
        </w:tc>
      </w:tr>
      <w:tr>
        <w:trPr>
          <w:trHeight w:val="70"/>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160" w:hanging="2"/>
        <w:spacing w:after="0" w:line="236"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Units of ZoomInfo Holdings LLC ("Opco"), which represent limited liability company units of Opco and a corresponding number of shares of Class B Common Stock of the Issuer, were exchanged on a one-for-one basis for shares of Class A Common Stock of the Issuer pursuant to the amended and restated limited liability company agreement of Opco.</w:t>
      </w:r>
    </w:p>
    <w:p>
      <w:pPr>
        <w:spacing w:after="0" w:line="31"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38" w:lineRule="exact"/>
        <w:rPr>
          <w:rFonts w:ascii="Arial" w:cs="Arial" w:eastAsia="Arial" w:hAnsi="Arial"/>
          <w:sz w:val="13"/>
          <w:szCs w:val="13"/>
          <w:color w:val="008000"/>
        </w:rPr>
      </w:pPr>
    </w:p>
    <w:p>
      <w:pPr>
        <w:ind w:left="20" w:right="140" w:hanging="2"/>
        <w:spacing w:after="0" w:line="290" w:lineRule="auto"/>
        <w:tabs>
          <w:tab w:leader="none" w:pos="14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The Reporting Person disclaims beneficial ownership of these securities, except to the extent of his pecuniary interest in such securities, and this report shall not be deemed an admission that the Reporting Person is the beneficial owner of such securities for Section 16 or any other purpose.</w:t>
      </w:r>
    </w:p>
    <w:p>
      <w:pPr>
        <w:spacing w:after="0" w:line="4" w:lineRule="exact"/>
        <w:rPr>
          <w:rFonts w:ascii="Arial" w:cs="Arial" w:eastAsia="Arial" w:hAnsi="Arial"/>
          <w:sz w:val="11"/>
          <w:szCs w:val="11"/>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38" w:lineRule="exact"/>
        <w:rPr>
          <w:rFonts w:ascii="Arial" w:cs="Arial" w:eastAsia="Arial" w:hAnsi="Arial"/>
          <w:sz w:val="13"/>
          <w:szCs w:val="13"/>
          <w:color w:val="008000"/>
        </w:rPr>
      </w:pPr>
    </w:p>
    <w:p>
      <w:pPr>
        <w:ind w:left="200" w:hanging="182"/>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the Issuer's Class C Common Stock were converted on a one-for-one basis for shares of Class A Common Stock of the Issuer.</w:t>
      </w:r>
    </w:p>
    <w:p>
      <w:pPr>
        <w:spacing w:after="0" w:line="38" w:lineRule="exact"/>
        <w:rPr>
          <w:rFonts w:ascii="Arial" w:cs="Arial" w:eastAsia="Arial" w:hAnsi="Arial"/>
          <w:sz w:val="13"/>
          <w:szCs w:val="13"/>
          <w:color w:val="008000"/>
        </w:rPr>
      </w:pPr>
    </w:p>
    <w:p>
      <w:pPr>
        <w:ind w:left="200" w:hanging="182"/>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38" w:lineRule="exact"/>
        <w:rPr>
          <w:rFonts w:ascii="Arial" w:cs="Arial" w:eastAsia="Arial" w:hAnsi="Arial"/>
          <w:sz w:val="13"/>
          <w:szCs w:val="13"/>
          <w:color w:val="008000"/>
        </w:rPr>
      </w:pPr>
    </w:p>
    <w:p>
      <w:pPr>
        <w:ind w:left="200" w:hanging="182"/>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38" w:lineRule="exact"/>
        <w:rPr>
          <w:rFonts w:ascii="Arial" w:cs="Arial" w:eastAsia="Arial" w:hAnsi="Arial"/>
          <w:sz w:val="13"/>
          <w:szCs w:val="13"/>
          <w:color w:val="008000"/>
        </w:rPr>
      </w:pPr>
    </w:p>
    <w:p>
      <w:pPr>
        <w:ind w:left="200" w:hanging="182"/>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38" w:lineRule="exact"/>
        <w:rPr>
          <w:rFonts w:ascii="Arial" w:cs="Arial" w:eastAsia="Arial" w:hAnsi="Arial"/>
          <w:sz w:val="13"/>
          <w:szCs w:val="13"/>
          <w:color w:val="008000"/>
        </w:rPr>
      </w:pPr>
    </w:p>
    <w:p>
      <w:pPr>
        <w:ind w:left="200" w:hanging="182"/>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Rule 10b5-1 trading plans adopted on December 6, 2020.</w:t>
      </w:r>
    </w:p>
    <w:p>
      <w:pPr>
        <w:spacing w:after="0" w:line="38" w:lineRule="exact"/>
        <w:rPr>
          <w:rFonts w:ascii="Arial" w:cs="Arial" w:eastAsia="Arial" w:hAnsi="Arial"/>
          <w:sz w:val="13"/>
          <w:szCs w:val="13"/>
          <w:color w:val="008000"/>
        </w:rPr>
      </w:pPr>
    </w:p>
    <w:p>
      <w:pPr>
        <w:ind w:left="20" w:right="480" w:hanging="2"/>
        <w:spacing w:after="0" w:line="236" w:lineRule="auto"/>
        <w:tabs>
          <w:tab w:leader="none" w:pos="20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 weighted-average sale price. The shares were sold in multiple transactions at prices ranging from $62.50 to $62.91. The Reporting Persons will provide upon request to the Securities and Exchange Commission, the Company or security holder of the Company, full information regarding the number of shares sold at each separate price.</w:t>
      </w:r>
    </w:p>
    <w:p>
      <w:pPr>
        <w:spacing w:after="0" w:line="31" w:lineRule="exact"/>
        <w:rPr>
          <w:rFonts w:ascii="Arial" w:cs="Arial" w:eastAsia="Arial" w:hAnsi="Arial"/>
          <w:sz w:val="13"/>
          <w:szCs w:val="13"/>
          <w:color w:val="008000"/>
        </w:rPr>
      </w:pPr>
    </w:p>
    <w:p>
      <w:pPr>
        <w:ind w:left="20" w:right="160" w:hanging="2"/>
        <w:spacing w:after="0" w:line="228" w:lineRule="auto"/>
        <w:tabs>
          <w:tab w:leader="none" w:pos="20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Units of Opco represent limited liability company units of Opco and a corresponding number of shares of Class B Common Stock of the Issuer, which together are exchangeable at the option of the holder on a one-for-one basis for shares of Class A Common Stock of the Issuer, subject to customary conversion rate adjustments for stock splits, stock dividends, and reclassifications, pursuant to the amended and restated limited liability company agreement of Opco and have no expiration date. The shares of Class B Common Stock (i) confer no incidents of economic ownership on the holders thereof and (ii) only confer ten-to-one voting rights on the holders thereof.</w:t>
      </w:r>
    </w:p>
    <w:p>
      <w:pPr>
        <w:spacing w:after="0" w:line="32" w:lineRule="exact"/>
        <w:rPr>
          <w:rFonts w:ascii="Arial" w:cs="Arial" w:eastAsia="Arial" w:hAnsi="Arial"/>
          <w:sz w:val="13"/>
          <w:szCs w:val="13"/>
          <w:color w:val="008000"/>
        </w:rPr>
      </w:pPr>
    </w:p>
    <w:p>
      <w:pPr>
        <w:ind w:left="20" w:right="220" w:hanging="2"/>
        <w:spacing w:after="0" w:line="227" w:lineRule="auto"/>
        <w:tabs>
          <w:tab w:leader="none" w:pos="20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Class C Common Stock is convertible at the option of the holder on a one-for-one basis for shares of Class A Common Stock of the Issuer and has no expiration date. Upon any transfer of shares of Class C Common Stock, whether or not for value, each such transferred share will automatically convert into one share of Class A Common Stock, except for certain transfers described in the Issuer's amended and restated certificate of incorporation. The shares of Class C Common Stock will convert automatically into Class A Common Stock, on a one-for-one basis, when the aggregate number of outstanding shares of the Company's Class B Common Stock and Class C Common Stock represents less than 5% of the aggregate number of the Company's outstanding shares of Common Stock. The shares of Class C Common Stock have ten votes per share.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Arial" w:cs="Arial" w:eastAsia="Arial" w:hAnsi="Arial"/>
                <w:sz w:val="16"/>
                <w:szCs w:val="16"/>
                <w:color w:val="0000FF"/>
                <w:w w:val="90"/>
              </w:rPr>
              <w:t>/s/ Todd Crockett</w:t>
            </w:r>
          </w:p>
        </w:tc>
        <w:tc>
          <w:tcPr>
            <w:tcW w:w="88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08/16/2021</w:t>
            </w:r>
          </w:p>
        </w:tc>
      </w:tr>
      <w:tr>
        <w:trPr>
          <w:trHeight w:val="20"/>
        </w:trPr>
        <w:tc>
          <w:tcPr>
            <w:tcW w:w="11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800" w:hanging="2"/>
        <w:spacing w:after="0" w:line="352"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09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56054" TargetMode="External"/><Relationship Id="rId13"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2021-08-16T16:08:53Z</dcterms:created>
  <dcterms:modified xsi:type="dcterms:W3CDTF">2021-08-16T16:08:53Z</dcterms:modified>
</cp:coreProperties>
</file>