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5256530</wp:posOffset>
            </wp:positionH>
            <wp:positionV relativeFrom="paragraph">
              <wp:posOffset>-586105</wp:posOffset>
            </wp:positionV>
            <wp:extent cx="7620" cy="586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6740"/>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-594360</wp:posOffset>
            </wp:positionV>
            <wp:extent cx="7620" cy="594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499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-570230</wp:posOffset>
            </wp:positionV>
            <wp:extent cx="1269365" cy="547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473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31750</wp:posOffset>
            </wp:positionV>
            <wp:extent cx="6972300" cy="168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897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80" w:space="460"/>
            <w:col w:w="844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Mironov Jason</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C/O ZOOMINFO TECHNOLOGIES, INC.</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805 BROADWAY STREET, 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ZoomInfo Technologies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ZI</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02/23/2021</w:t>
      </w:r>
    </w:p>
    <w:p>
      <w:pPr>
        <w:spacing w:after="0" w:line="20" w:lineRule="exact"/>
        <w:rPr>
          <w:sz w:val="24"/>
          <w:szCs w:val="24"/>
          <w:color w:val="auto"/>
        </w:rPr>
      </w:pPr>
      <w:r>
        <w:rPr>
          <w:sz w:val="24"/>
          <w:szCs w:val="24"/>
          <w:color w:val="auto"/>
        </w:rPr>
        <w:br w:type="column"/>
      </w:r>
    </w:p>
    <w:p>
      <w:pPr>
        <w:ind w:right="720"/>
        <w:spacing w:after="0" w:line="258"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00"/>
        <w:spacing w:after="0"/>
        <w:tabs>
          <w:tab w:leader="none" w:pos="500" w:val="left"/>
          <w:tab w:leader="none" w:pos="21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99" w:lineRule="exact"/>
        <w:rPr>
          <w:sz w:val="24"/>
          <w:szCs w:val="24"/>
          <w:color w:val="auto"/>
        </w:rPr>
      </w:pPr>
    </w:p>
    <w:p>
      <w:pPr>
        <w:sectPr>
          <w:pgSz w:w="11900" w:h="16838" w:orient="portrait"/>
          <w:cols w:equalWidth="0" w:num="3">
            <w:col w:w="3180" w:space="720"/>
            <w:col w:w="3100" w:space="720"/>
            <w:col w:w="3360"/>
          </w:cols>
          <w:pgMar w:left="460" w:top="220" w:right="359" w:bottom="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680" w:type="dxa"/>
            <w:vAlign w:val="bottom"/>
            <w:shd w:val="clear" w:color="auto" w:fill="9A9A9A"/>
          </w:tcPr>
          <w:p>
            <w:pPr>
              <w:spacing w:after="0"/>
              <w:rPr>
                <w:sz w:val="2"/>
                <w:szCs w:val="2"/>
                <w:color w:val="auto"/>
              </w:rPr>
            </w:pPr>
          </w:p>
        </w:tc>
        <w:tc>
          <w:tcPr>
            <w:tcW w:w="3360" w:type="dxa"/>
            <w:vAlign w:val="bottom"/>
            <w:gridSpan w:val="5"/>
            <w:vMerge w:val="restart"/>
          </w:tcPr>
          <w:p>
            <w:pPr>
              <w:jc w:val="center"/>
              <w:ind w:left="58"/>
              <w:spacing w:after="0"/>
              <w:rPr>
                <w:sz w:val="20"/>
                <w:szCs w:val="20"/>
                <w:color w:val="auto"/>
              </w:rPr>
            </w:pPr>
            <w:r>
              <w:rPr>
                <w:rFonts w:ascii="Arial" w:cs="Arial" w:eastAsia="Arial" w:hAnsi="Arial"/>
                <w:sz w:val="12"/>
                <w:szCs w:val="12"/>
                <w:color w:val="auto"/>
              </w:rPr>
              <w:t>4. If Amendment, Date of Original Filed (Month/Day/Year)</w:t>
            </w:r>
          </w:p>
        </w:tc>
        <w:tc>
          <w:tcPr>
            <w:tcW w:w="3880" w:type="dxa"/>
            <w:vAlign w:val="bottom"/>
            <w:gridSpan w:val="5"/>
            <w:vMerge w:val="restart"/>
          </w:tcPr>
          <w:p>
            <w:pPr>
              <w:ind w:left="62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360" w:type="dxa"/>
            <w:vAlign w:val="bottom"/>
            <w:gridSpan w:val="5"/>
            <w:vMerge w:val="continue"/>
          </w:tcPr>
          <w:p>
            <w:pPr>
              <w:spacing w:after="0"/>
              <w:rPr>
                <w:sz w:val="12"/>
                <w:szCs w:val="12"/>
                <w:color w:val="auto"/>
              </w:rPr>
            </w:pPr>
          </w:p>
        </w:tc>
        <w:tc>
          <w:tcPr>
            <w:tcW w:w="38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80" w:type="dxa"/>
            <w:vAlign w:val="bottom"/>
            <w:gridSpan w:val="4"/>
            <w:vMerge w:val="restart"/>
          </w:tcPr>
          <w:p>
            <w:pPr>
              <w:ind w:left="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0000FF"/>
              </w:rPr>
              <w:t>VANCOUVER</w:t>
            </w:r>
          </w:p>
        </w:tc>
        <w:tc>
          <w:tcPr>
            <w:tcW w:w="840" w:type="dxa"/>
            <w:vAlign w:val="bottom"/>
            <w:vMerge w:val="restart"/>
          </w:tcPr>
          <w:p>
            <w:pPr>
              <w:ind w:left="120"/>
              <w:spacing w:after="0"/>
              <w:rPr>
                <w:sz w:val="20"/>
                <w:szCs w:val="20"/>
                <w:color w:val="auto"/>
              </w:rPr>
            </w:pPr>
            <w:r>
              <w:rPr>
                <w:rFonts w:ascii="Arial" w:cs="Arial" w:eastAsia="Arial" w:hAnsi="Arial"/>
                <w:sz w:val="16"/>
                <w:szCs w:val="16"/>
                <w:color w:val="0000FF"/>
              </w:rPr>
              <w:t>WA</w:t>
            </w:r>
          </w:p>
        </w:tc>
        <w:tc>
          <w:tcPr>
            <w:tcW w:w="1680" w:type="dxa"/>
            <w:vAlign w:val="bottom"/>
            <w:vMerge w:val="restart"/>
          </w:tcPr>
          <w:p>
            <w:pPr>
              <w:ind w:left="500"/>
              <w:spacing w:after="0"/>
              <w:rPr>
                <w:sz w:val="20"/>
                <w:szCs w:val="20"/>
                <w:color w:val="auto"/>
              </w:rPr>
            </w:pPr>
            <w:r>
              <w:rPr>
                <w:rFonts w:ascii="Arial" w:cs="Arial" w:eastAsia="Arial" w:hAnsi="Arial"/>
                <w:sz w:val="16"/>
                <w:szCs w:val="16"/>
                <w:color w:val="0000FF"/>
              </w:rPr>
              <w:t>98660</w:t>
            </w: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80" w:type="dxa"/>
            <w:vAlign w:val="bottom"/>
            <w:gridSpan w:val="4"/>
            <w:vMerge w:val="restart"/>
          </w:tcPr>
          <w:p>
            <w:pPr>
              <w:ind w:left="36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680" w:type="dxa"/>
            <w:vAlign w:val="bottom"/>
            <w:tcBorders>
              <w:bottom w:val="single" w:sz="8" w:color="9A9A9A"/>
            </w:tcBorders>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(City)</w:t>
            </w:r>
          </w:p>
        </w:tc>
        <w:tc>
          <w:tcPr>
            <w:tcW w:w="840" w:type="dxa"/>
            <w:vAlign w:val="bottom"/>
          </w:tcPr>
          <w:p>
            <w:pPr>
              <w:ind w:left="120"/>
              <w:spacing w:after="0"/>
              <w:rPr>
                <w:sz w:val="20"/>
                <w:szCs w:val="20"/>
                <w:color w:val="auto"/>
              </w:rPr>
            </w:pPr>
            <w:r>
              <w:rPr>
                <w:rFonts w:ascii="Arial" w:cs="Arial" w:eastAsia="Arial" w:hAnsi="Arial"/>
                <w:sz w:val="12"/>
                <w:szCs w:val="12"/>
                <w:color w:val="auto"/>
              </w:rPr>
              <w:t>(State)</w:t>
            </w:r>
          </w:p>
        </w:tc>
        <w:tc>
          <w:tcPr>
            <w:tcW w:w="1900" w:type="dxa"/>
            <w:vAlign w:val="bottom"/>
            <w:gridSpan w:val="2"/>
          </w:tcPr>
          <w:p>
            <w:pPr>
              <w:ind w:left="500"/>
              <w:spacing w:after="0"/>
              <w:rPr>
                <w:sz w:val="20"/>
                <w:szCs w:val="20"/>
                <w:color w:val="auto"/>
              </w:rPr>
            </w:pPr>
            <w:r>
              <w:rPr>
                <w:rFonts w:ascii="Arial" w:cs="Arial" w:eastAsia="Arial" w:hAnsi="Arial"/>
                <w:sz w:val="12"/>
                <w:szCs w:val="12"/>
                <w:color w:val="auto"/>
              </w:rPr>
              <w:t>(Zip)</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52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12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6920" w:type="dxa"/>
            <w:vAlign w:val="bottom"/>
            <w:tcBorders>
              <w:top w:val="single" w:sz="8" w:color="2C2C2C"/>
            </w:tcBorders>
            <w:gridSpan w:val="8"/>
          </w:tcPr>
          <w:p>
            <w:pPr>
              <w:jc w:val="cente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2"/>
          </w:tcPr>
          <w:p>
            <w:pPr>
              <w:ind w:left="9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gridSpan w:val="2"/>
          </w:tcPr>
          <w:p>
            <w:pPr>
              <w:ind w:left="92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1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 Direct</w:t>
            </w:r>
          </w:p>
        </w:tc>
        <w:tc>
          <w:tcPr>
            <w:tcW w:w="11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gridSpan w:val="2"/>
          </w:tcPr>
          <w:p>
            <w:pPr>
              <w:jc w:val="center"/>
              <w:ind w:left="782"/>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108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(A) or</w:t>
            </w: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0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2"/>
                <w:szCs w:val="12"/>
                <w:color w:val="0000FF"/>
                <w:w w:val="91"/>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405,347</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405,347</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(2)(3)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2"/>
                <w:szCs w:val="12"/>
                <w:color w:val="0000FF"/>
                <w:w w:val="91"/>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10,464</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10,464</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(3)(4)</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2"/>
                <w:szCs w:val="12"/>
                <w:color w:val="0000FF"/>
                <w:w w:val="91"/>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70,003</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70,003</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(3)(5)</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2"/>
                <w:szCs w:val="12"/>
                <w:color w:val="0000FF"/>
                <w:w w:val="91"/>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15,055</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15,055</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(3)(6)</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2"/>
                <w:szCs w:val="12"/>
                <w:color w:val="0000FF"/>
                <w:w w:val="91"/>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7"/>
              </w:rPr>
              <w:t>500</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7"/>
              </w:rPr>
              <w:t>500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(3)(7)</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2"/>
                <w:szCs w:val="12"/>
                <w:color w:val="0000FF"/>
                <w:w w:val="91"/>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26,508</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26,508</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(3)(8)</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2"/>
                <w:szCs w:val="12"/>
                <w:color w:val="0000FF"/>
                <w:w w:val="91"/>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23,782</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23,782</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(3)(9)</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2"/>
                <w:szCs w:val="12"/>
                <w:color w:val="0000FF"/>
                <w:w w:val="91"/>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4"/>
              </w:rPr>
              <w:t>2,000</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4"/>
              </w:rPr>
              <w:t>2,000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0"/>
                <w:szCs w:val="20"/>
                <w:color w:val="008000"/>
                <w:w w:val="88"/>
                <w:vertAlign w:val="superscript"/>
              </w:rPr>
              <w:t>(3)(11)</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2"/>
                <w:szCs w:val="12"/>
                <w:color w:val="0000FF"/>
                <w:w w:val="91"/>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106,031</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106,031</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0"/>
                <w:szCs w:val="20"/>
                <w:color w:val="008000"/>
                <w:w w:val="88"/>
                <w:vertAlign w:val="superscript"/>
              </w:rPr>
              <w:t>(3)(12)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2"/>
                <w:szCs w:val="12"/>
                <w:color w:val="0000FF"/>
                <w:w w:val="91"/>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95,128</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80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95,128</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0"/>
                <w:szCs w:val="20"/>
                <w:color w:val="008000"/>
                <w:w w:val="88"/>
                <w:vertAlign w:val="superscript"/>
              </w:rPr>
              <w:t>(3)(13)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4"/>
                <w:szCs w:val="24"/>
                <w:color w:val="0000FF"/>
                <w:w w:val="84"/>
                <w:vertAlign w:val="subscript"/>
              </w:rPr>
              <w:t>S</w:t>
            </w:r>
            <w:r>
              <w:rPr>
                <w:rFonts w:ascii="Arial" w:cs="Arial" w:eastAsia="Arial" w:hAnsi="Arial"/>
                <w:sz w:val="10"/>
                <w:szCs w:val="10"/>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405,347</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58.901</w:t>
            </w:r>
            <w:r>
              <w:rPr>
                <w:rFonts w:ascii="Arial" w:cs="Arial" w:eastAsia="Arial" w:hAnsi="Arial"/>
                <w:sz w:val="20"/>
                <w:szCs w:val="20"/>
                <w:color w:val="008000"/>
                <w:w w:val="88"/>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(2)(3)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4"/>
                <w:szCs w:val="24"/>
                <w:color w:val="0000FF"/>
                <w:w w:val="84"/>
                <w:vertAlign w:val="subscript"/>
              </w:rPr>
              <w:t>S</w:t>
            </w:r>
            <w:r>
              <w:rPr>
                <w:rFonts w:ascii="Arial" w:cs="Arial" w:eastAsia="Arial" w:hAnsi="Arial"/>
                <w:sz w:val="10"/>
                <w:szCs w:val="10"/>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10,464</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58.901</w:t>
            </w:r>
            <w:r>
              <w:rPr>
                <w:rFonts w:ascii="Arial" w:cs="Arial" w:eastAsia="Arial" w:hAnsi="Arial"/>
                <w:sz w:val="20"/>
                <w:szCs w:val="20"/>
                <w:color w:val="008000"/>
                <w:w w:val="88"/>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(3)(4)</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4"/>
                <w:szCs w:val="24"/>
                <w:color w:val="0000FF"/>
                <w:w w:val="84"/>
                <w:vertAlign w:val="subscript"/>
              </w:rPr>
              <w:t>S</w:t>
            </w:r>
            <w:r>
              <w:rPr>
                <w:rFonts w:ascii="Arial" w:cs="Arial" w:eastAsia="Arial" w:hAnsi="Arial"/>
                <w:sz w:val="10"/>
                <w:szCs w:val="10"/>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70,003</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58.901</w:t>
            </w:r>
            <w:r>
              <w:rPr>
                <w:rFonts w:ascii="Arial" w:cs="Arial" w:eastAsia="Arial" w:hAnsi="Arial"/>
                <w:sz w:val="20"/>
                <w:szCs w:val="20"/>
                <w:color w:val="008000"/>
                <w:w w:val="88"/>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(3)(5)</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4"/>
                <w:szCs w:val="24"/>
                <w:color w:val="0000FF"/>
                <w:w w:val="84"/>
                <w:vertAlign w:val="subscript"/>
              </w:rPr>
              <w:t>S</w:t>
            </w:r>
            <w:r>
              <w:rPr>
                <w:rFonts w:ascii="Arial" w:cs="Arial" w:eastAsia="Arial" w:hAnsi="Arial"/>
                <w:sz w:val="10"/>
                <w:szCs w:val="10"/>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15,055</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58.901</w:t>
            </w:r>
            <w:r>
              <w:rPr>
                <w:rFonts w:ascii="Arial" w:cs="Arial" w:eastAsia="Arial" w:hAnsi="Arial"/>
                <w:sz w:val="20"/>
                <w:szCs w:val="20"/>
                <w:color w:val="008000"/>
                <w:w w:val="88"/>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(3)(6)</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4"/>
                <w:szCs w:val="24"/>
                <w:color w:val="0000FF"/>
                <w:w w:val="84"/>
                <w:vertAlign w:val="subscript"/>
              </w:rPr>
              <w:t>S</w:t>
            </w:r>
            <w:r>
              <w:rPr>
                <w:rFonts w:ascii="Arial" w:cs="Arial" w:eastAsia="Arial" w:hAnsi="Arial"/>
                <w:sz w:val="10"/>
                <w:szCs w:val="10"/>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7"/>
              </w:rPr>
              <w:t>500</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58.901</w:t>
            </w:r>
            <w:r>
              <w:rPr>
                <w:rFonts w:ascii="Arial" w:cs="Arial" w:eastAsia="Arial" w:hAnsi="Arial"/>
                <w:sz w:val="20"/>
                <w:szCs w:val="20"/>
                <w:color w:val="008000"/>
                <w:w w:val="88"/>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(3)(7)</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4"/>
                <w:szCs w:val="24"/>
                <w:color w:val="0000FF"/>
                <w:w w:val="84"/>
                <w:vertAlign w:val="subscript"/>
              </w:rPr>
              <w:t>S</w:t>
            </w:r>
            <w:r>
              <w:rPr>
                <w:rFonts w:ascii="Arial" w:cs="Arial" w:eastAsia="Arial" w:hAnsi="Arial"/>
                <w:sz w:val="10"/>
                <w:szCs w:val="10"/>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26,508</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58.901</w:t>
            </w:r>
            <w:r>
              <w:rPr>
                <w:rFonts w:ascii="Arial" w:cs="Arial" w:eastAsia="Arial" w:hAnsi="Arial"/>
                <w:sz w:val="20"/>
                <w:szCs w:val="20"/>
                <w:color w:val="008000"/>
                <w:w w:val="88"/>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(3)(8)</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4"/>
                <w:szCs w:val="24"/>
                <w:color w:val="0000FF"/>
                <w:w w:val="84"/>
                <w:vertAlign w:val="subscript"/>
              </w:rPr>
              <w:t>S</w:t>
            </w:r>
            <w:r>
              <w:rPr>
                <w:rFonts w:ascii="Arial" w:cs="Arial" w:eastAsia="Arial" w:hAnsi="Arial"/>
                <w:sz w:val="10"/>
                <w:szCs w:val="10"/>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23,782</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58.901</w:t>
            </w:r>
            <w:r>
              <w:rPr>
                <w:rFonts w:ascii="Arial" w:cs="Arial" w:eastAsia="Arial" w:hAnsi="Arial"/>
                <w:sz w:val="20"/>
                <w:szCs w:val="20"/>
                <w:color w:val="008000"/>
                <w:w w:val="88"/>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(3)(9)</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4"/>
                <w:szCs w:val="24"/>
                <w:color w:val="0000FF"/>
                <w:w w:val="84"/>
                <w:vertAlign w:val="subscript"/>
              </w:rPr>
              <w:t>S</w:t>
            </w:r>
            <w:r>
              <w:rPr>
                <w:rFonts w:ascii="Arial" w:cs="Arial" w:eastAsia="Arial" w:hAnsi="Arial"/>
                <w:sz w:val="10"/>
                <w:szCs w:val="10"/>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4"/>
              </w:rPr>
              <w:t>2,000</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58.901</w:t>
            </w:r>
            <w:r>
              <w:rPr>
                <w:rFonts w:ascii="Arial" w:cs="Arial" w:eastAsia="Arial" w:hAnsi="Arial"/>
                <w:sz w:val="20"/>
                <w:szCs w:val="20"/>
                <w:color w:val="008000"/>
                <w:w w:val="88"/>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0"/>
                <w:szCs w:val="20"/>
                <w:color w:val="008000"/>
                <w:w w:val="88"/>
                <w:vertAlign w:val="superscript"/>
              </w:rPr>
              <w:t>(3)(11)</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4"/>
                <w:szCs w:val="24"/>
                <w:color w:val="0000FF"/>
                <w:w w:val="84"/>
                <w:vertAlign w:val="subscript"/>
              </w:rPr>
              <w:t>S</w:t>
            </w:r>
            <w:r>
              <w:rPr>
                <w:rFonts w:ascii="Arial" w:cs="Arial" w:eastAsia="Arial" w:hAnsi="Arial"/>
                <w:sz w:val="10"/>
                <w:szCs w:val="10"/>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106,031</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58.901</w:t>
            </w:r>
            <w:r>
              <w:rPr>
                <w:rFonts w:ascii="Arial" w:cs="Arial" w:eastAsia="Arial" w:hAnsi="Arial"/>
                <w:sz w:val="20"/>
                <w:szCs w:val="20"/>
                <w:color w:val="008000"/>
                <w:w w:val="88"/>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vMerge w:val="restart"/>
          </w:tcPr>
          <w:p>
            <w:pPr>
              <w:ind w:left="8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0"/>
                <w:szCs w:val="20"/>
                <w:color w:val="008000"/>
                <w:w w:val="88"/>
                <w:vertAlign w:val="superscript"/>
              </w:rPr>
              <w:t>(3)(12)</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900" w:type="dxa"/>
            <w:vAlign w:val="bottom"/>
            <w:gridSpan w:val="2"/>
            <w:vMerge w:val="restart"/>
          </w:tcPr>
          <w:p>
            <w:pPr>
              <w:jc w:val="center"/>
              <w:ind w:left="802"/>
              <w:spacing w:after="0"/>
              <w:rPr>
                <w:sz w:val="20"/>
                <w:szCs w:val="20"/>
                <w:color w:val="auto"/>
              </w:rPr>
            </w:pPr>
            <w:r>
              <w:rPr>
                <w:rFonts w:ascii="Arial" w:cs="Arial" w:eastAsia="Arial" w:hAnsi="Arial"/>
                <w:sz w:val="16"/>
                <w:szCs w:val="16"/>
                <w:color w:val="0000FF"/>
                <w:w w:val="92"/>
              </w:rPr>
              <w:t>02/23/2021</w:t>
            </w:r>
          </w:p>
        </w:tc>
        <w:tc>
          <w:tcPr>
            <w:tcW w:w="106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4"/>
                <w:szCs w:val="24"/>
                <w:color w:val="0000FF"/>
                <w:w w:val="84"/>
                <w:vertAlign w:val="subscript"/>
              </w:rPr>
              <w:t>S</w:t>
            </w:r>
            <w:r>
              <w:rPr>
                <w:rFonts w:ascii="Arial" w:cs="Arial" w:eastAsia="Arial" w:hAnsi="Arial"/>
                <w:sz w:val="10"/>
                <w:szCs w:val="10"/>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93"/>
              </w:rPr>
              <w:t>95,128</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58.901</w:t>
            </w:r>
            <w:r>
              <w:rPr>
                <w:rFonts w:ascii="Arial" w:cs="Arial" w:eastAsia="Arial" w:hAnsi="Arial"/>
                <w:sz w:val="20"/>
                <w:szCs w:val="20"/>
                <w:color w:val="008000"/>
                <w:w w:val="88"/>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100" w:type="dxa"/>
            <w:vAlign w:val="bottom"/>
            <w:gridSpan w:val="2"/>
          </w:tcPr>
          <w:p>
            <w:pPr>
              <w:ind w:left="8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Footnotes</w:t>
            </w:r>
            <w:r>
              <w:rPr>
                <w:rFonts w:ascii="Arial" w:cs="Arial" w:eastAsia="Arial" w:hAnsi="Arial"/>
                <w:sz w:val="20"/>
                <w:szCs w:val="20"/>
                <w:color w:val="008000"/>
                <w:w w:val="89"/>
                <w:vertAlign w:val="superscript"/>
              </w:rPr>
              <w:t>(3)(13)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840" w:type="dxa"/>
            <w:vAlign w:val="bottom"/>
            <w:shd w:val="clear" w:color="auto" w:fill="808080"/>
          </w:tcPr>
          <w:p>
            <w:pPr>
              <w:spacing w:after="0" w:line="20" w:lineRule="exact"/>
              <w:rPr>
                <w:sz w:val="1"/>
                <w:szCs w:val="1"/>
                <w:color w:val="auto"/>
              </w:rPr>
            </w:pPr>
          </w:p>
        </w:tc>
        <w:tc>
          <w:tcPr>
            <w:tcW w:w="1680" w:type="dxa"/>
            <w:vAlign w:val="bottom"/>
            <w:shd w:val="clear" w:color="auto" w:fill="808080"/>
          </w:tcPr>
          <w:p>
            <w:pPr>
              <w:spacing w:after="0" w:line="20" w:lineRule="exact"/>
              <w:rPr>
                <w:sz w:val="1"/>
                <w:szCs w:val="1"/>
                <w:color w:val="auto"/>
              </w:rPr>
            </w:pPr>
          </w:p>
        </w:tc>
        <w:tc>
          <w:tcPr>
            <w:tcW w:w="22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780" w:type="dxa"/>
            <w:vAlign w:val="bottom"/>
            <w:shd w:val="clear" w:color="auto" w:fill="808080"/>
          </w:tcPr>
          <w:p>
            <w:pPr>
              <w:spacing w:after="0" w:line="20" w:lineRule="exact"/>
              <w:rPr>
                <w:sz w:val="1"/>
                <w:szCs w:val="1"/>
                <w:color w:val="auto"/>
              </w:rPr>
            </w:pPr>
          </w:p>
        </w:tc>
        <w:tc>
          <w:tcPr>
            <w:tcW w:w="54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1080" w:type="dxa"/>
            <w:vAlign w:val="bottom"/>
            <w:shd w:val="clear" w:color="auto" w:fill="808080"/>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108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-7519035</wp:posOffset>
            </wp:positionV>
            <wp:extent cx="7035800" cy="7733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7733665"/>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7035800" cy="5377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5377815"/>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21" w:lineRule="exact"/>
              <w:rPr>
                <w:sz w:val="20"/>
                <w:szCs w:val="20"/>
                <w:color w:val="auto"/>
              </w:rPr>
            </w:pPr>
            <w:r>
              <w:rPr>
                <w:rFonts w:ascii="Arial" w:cs="Arial" w:eastAsia="Arial" w:hAnsi="Arial"/>
                <w:sz w:val="12"/>
                <w:szCs w:val="12"/>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405,347</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02/23/2021</w:t>
            </w:r>
          </w:p>
        </w:tc>
        <w:tc>
          <w:tcPr>
            <w:tcW w:w="106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ind w:left="261"/>
              <w:spacing w:after="0"/>
              <w:rPr>
                <w:sz w:val="20"/>
                <w:szCs w:val="20"/>
                <w:color w:val="auto"/>
              </w:rPr>
            </w:pPr>
            <w:r>
              <w:rPr>
                <w:rFonts w:ascii="Arial" w:cs="Arial" w:eastAsia="Arial" w:hAnsi="Arial"/>
                <w:sz w:val="12"/>
                <w:szCs w:val="12"/>
                <w:color w:val="0000FF"/>
                <w:w w:val="92"/>
              </w:rPr>
              <w:t>405,347</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3"/>
              </w:rPr>
              <w:t>55,376,065</w:t>
            </w:r>
          </w:p>
        </w:tc>
        <w:tc>
          <w:tcPr>
            <w:tcW w:w="72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60" w:type="dxa"/>
            <w:vAlign w:val="bottom"/>
          </w:tcPr>
          <w:p>
            <w:pPr>
              <w:ind w:left="60"/>
              <w:spacing w:after="0" w:line="63" w:lineRule="exact"/>
              <w:rPr>
                <w:sz w:val="20"/>
                <w:szCs w:val="20"/>
                <w:color w:val="auto"/>
              </w:rPr>
            </w:pPr>
            <w:r>
              <w:rPr>
                <w:rFonts w:ascii="Arial" w:cs="Arial" w:eastAsia="Arial" w:hAnsi="Arial"/>
                <w:sz w:val="7"/>
                <w:szCs w:val="7"/>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tcPr>
          <w:p>
            <w:pPr>
              <w:ind w:left="60"/>
              <w:spacing w:after="0" w:line="63" w:lineRule="exact"/>
              <w:rPr>
                <w:sz w:val="20"/>
                <w:szCs w:val="20"/>
                <w:color w:val="auto"/>
              </w:rPr>
            </w:pPr>
            <w:r>
              <w:rPr>
                <w:rFonts w:ascii="Arial" w:cs="Arial" w:eastAsia="Arial" w:hAnsi="Arial"/>
                <w:sz w:val="6"/>
                <w:szCs w:val="6"/>
                <w:color w:val="0000FF"/>
              </w:rPr>
              <w:t>Footnotes</w:t>
            </w:r>
            <w:r>
              <w:rPr>
                <w:rFonts w:ascii="Arial" w:cs="Arial" w:eastAsia="Arial" w:hAnsi="Arial"/>
                <w:sz w:val="7"/>
                <w:szCs w:val="7"/>
                <w:color w:val="008000"/>
                <w:vertAlign w:val="superscript"/>
              </w:rPr>
              <w:t>(2)(3)</w:t>
            </w:r>
          </w:p>
        </w:tc>
        <w:tc>
          <w:tcPr>
            <w:tcW w:w="0" w:type="dxa"/>
            <w:vAlign w:val="bottom"/>
          </w:tcPr>
          <w:p>
            <w:pPr>
              <w:spacing w:after="0"/>
              <w:rPr>
                <w:sz w:val="1"/>
                <w:szCs w:val="1"/>
                <w:color w:val="auto"/>
              </w:rPr>
            </w:pPr>
          </w:p>
        </w:tc>
      </w:tr>
      <w:tr>
        <w:trPr>
          <w:trHeight w:val="157"/>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LLC</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21" w:lineRule="exact"/>
              <w:rPr>
                <w:sz w:val="20"/>
                <w:szCs w:val="20"/>
                <w:color w:val="auto"/>
              </w:rPr>
            </w:pPr>
            <w:r>
              <w:rPr>
                <w:rFonts w:ascii="Arial" w:cs="Arial" w:eastAsia="Arial" w:hAnsi="Arial"/>
                <w:sz w:val="12"/>
                <w:szCs w:val="12"/>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680" w:type="dxa"/>
            <w:vAlign w:val="bottom"/>
            <w:vMerge w:val="continue"/>
          </w:tcPr>
          <w:p>
            <w:pPr>
              <w:spacing w:after="0"/>
              <w:rPr>
                <w:sz w:val="5"/>
                <w:szCs w:val="5"/>
                <w:color w:val="auto"/>
              </w:rPr>
            </w:pPr>
          </w:p>
        </w:tc>
        <w:tc>
          <w:tcPr>
            <w:tcW w:w="600" w:type="dxa"/>
            <w:vAlign w:val="bottom"/>
            <w:vMerge w:val="restart"/>
          </w:tcPr>
          <w:p>
            <w:pPr>
              <w:jc w:val="center"/>
              <w:ind w:right="6"/>
              <w:spacing w:after="0"/>
              <w:rPr>
                <w:sz w:val="20"/>
                <w:szCs w:val="20"/>
                <w:color w:val="auto"/>
              </w:rPr>
            </w:pPr>
            <w:r>
              <w:rPr>
                <w:rFonts w:ascii="Arial" w:cs="Arial" w:eastAsia="Arial" w:hAnsi="Arial"/>
                <w:sz w:val="16"/>
                <w:szCs w:val="16"/>
                <w:color w:val="0000FF"/>
                <w:w w:val="89"/>
              </w:rPr>
              <w:t>10,464</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02/23/2021</w:t>
            </w:r>
          </w:p>
        </w:tc>
        <w:tc>
          <w:tcPr>
            <w:tcW w:w="106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ind w:left="241"/>
              <w:spacing w:after="0"/>
              <w:rPr>
                <w:sz w:val="20"/>
                <w:szCs w:val="20"/>
                <w:color w:val="auto"/>
              </w:rPr>
            </w:pPr>
            <w:r>
              <w:rPr>
                <w:rFonts w:ascii="Arial" w:cs="Arial" w:eastAsia="Arial" w:hAnsi="Arial"/>
                <w:sz w:val="12"/>
                <w:szCs w:val="12"/>
                <w:color w:val="0000FF"/>
                <w:w w:val="92"/>
              </w:rPr>
              <w:t>10,464</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3"/>
              </w:rPr>
              <w:t>1,429,553</w:t>
            </w:r>
          </w:p>
        </w:tc>
        <w:tc>
          <w:tcPr>
            <w:tcW w:w="72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21" w:lineRule="exact"/>
              <w:rPr>
                <w:sz w:val="20"/>
                <w:szCs w:val="20"/>
                <w:color w:val="auto"/>
              </w:rPr>
            </w:pPr>
            <w:r>
              <w:rPr>
                <w:rFonts w:ascii="Arial" w:cs="Arial" w:eastAsia="Arial" w:hAnsi="Arial"/>
                <w:sz w:val="12"/>
                <w:szCs w:val="12"/>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680" w:type="dxa"/>
            <w:vAlign w:val="bottom"/>
            <w:vMerge w:val="continue"/>
          </w:tcPr>
          <w:p>
            <w:pPr>
              <w:spacing w:after="0"/>
              <w:rPr>
                <w:sz w:val="5"/>
                <w:szCs w:val="5"/>
                <w:color w:val="auto"/>
              </w:rPr>
            </w:pPr>
          </w:p>
        </w:tc>
        <w:tc>
          <w:tcPr>
            <w:tcW w:w="600" w:type="dxa"/>
            <w:vAlign w:val="bottom"/>
            <w:vMerge w:val="restart"/>
          </w:tcPr>
          <w:p>
            <w:pPr>
              <w:jc w:val="center"/>
              <w:ind w:right="6"/>
              <w:spacing w:after="0"/>
              <w:rPr>
                <w:sz w:val="20"/>
                <w:szCs w:val="20"/>
                <w:color w:val="auto"/>
              </w:rPr>
            </w:pPr>
            <w:r>
              <w:rPr>
                <w:rFonts w:ascii="Arial" w:cs="Arial" w:eastAsia="Arial" w:hAnsi="Arial"/>
                <w:sz w:val="16"/>
                <w:szCs w:val="16"/>
                <w:color w:val="0000FF"/>
                <w:w w:val="89"/>
              </w:rPr>
              <w:t>70,003</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02/23/2021</w:t>
            </w:r>
          </w:p>
        </w:tc>
        <w:tc>
          <w:tcPr>
            <w:tcW w:w="106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ind w:left="241"/>
              <w:spacing w:after="0"/>
              <w:rPr>
                <w:sz w:val="20"/>
                <w:szCs w:val="20"/>
                <w:color w:val="auto"/>
              </w:rPr>
            </w:pPr>
            <w:r>
              <w:rPr>
                <w:rFonts w:ascii="Arial" w:cs="Arial" w:eastAsia="Arial" w:hAnsi="Arial"/>
                <w:sz w:val="12"/>
                <w:szCs w:val="12"/>
                <w:color w:val="0000FF"/>
                <w:w w:val="92"/>
              </w:rPr>
              <w:t>70,003</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3"/>
              </w:rPr>
              <w:t>9,563,394</w:t>
            </w:r>
          </w:p>
        </w:tc>
        <w:tc>
          <w:tcPr>
            <w:tcW w:w="72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(3)(5)</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21" w:lineRule="exact"/>
              <w:rPr>
                <w:sz w:val="20"/>
                <w:szCs w:val="20"/>
                <w:color w:val="auto"/>
              </w:rPr>
            </w:pPr>
            <w:r>
              <w:rPr>
                <w:rFonts w:ascii="Arial" w:cs="Arial" w:eastAsia="Arial" w:hAnsi="Arial"/>
                <w:sz w:val="12"/>
                <w:szCs w:val="12"/>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680" w:type="dxa"/>
            <w:vAlign w:val="bottom"/>
            <w:vMerge w:val="continue"/>
          </w:tcPr>
          <w:p>
            <w:pPr>
              <w:spacing w:after="0"/>
              <w:rPr>
                <w:sz w:val="5"/>
                <w:szCs w:val="5"/>
                <w:color w:val="auto"/>
              </w:rPr>
            </w:pPr>
          </w:p>
        </w:tc>
        <w:tc>
          <w:tcPr>
            <w:tcW w:w="600" w:type="dxa"/>
            <w:vAlign w:val="bottom"/>
            <w:vMerge w:val="restart"/>
          </w:tcPr>
          <w:p>
            <w:pPr>
              <w:jc w:val="center"/>
              <w:ind w:right="6"/>
              <w:spacing w:after="0"/>
              <w:rPr>
                <w:sz w:val="20"/>
                <w:szCs w:val="20"/>
                <w:color w:val="auto"/>
              </w:rPr>
            </w:pPr>
            <w:r>
              <w:rPr>
                <w:rFonts w:ascii="Arial" w:cs="Arial" w:eastAsia="Arial" w:hAnsi="Arial"/>
                <w:sz w:val="16"/>
                <w:szCs w:val="16"/>
                <w:color w:val="0000FF"/>
                <w:w w:val="89"/>
              </w:rPr>
              <w:t>15,055</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02/23/2021</w:t>
            </w:r>
          </w:p>
        </w:tc>
        <w:tc>
          <w:tcPr>
            <w:tcW w:w="106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ind w:left="241"/>
              <w:spacing w:after="0"/>
              <w:rPr>
                <w:sz w:val="20"/>
                <w:szCs w:val="20"/>
                <w:color w:val="auto"/>
              </w:rPr>
            </w:pPr>
            <w:r>
              <w:rPr>
                <w:rFonts w:ascii="Arial" w:cs="Arial" w:eastAsia="Arial" w:hAnsi="Arial"/>
                <w:sz w:val="12"/>
                <w:szCs w:val="12"/>
                <w:color w:val="0000FF"/>
                <w:w w:val="92"/>
              </w:rPr>
              <w:t>15,055</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3"/>
              </w:rPr>
              <w:t>2,056,642</w:t>
            </w:r>
          </w:p>
        </w:tc>
        <w:tc>
          <w:tcPr>
            <w:tcW w:w="72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(3)(6)</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21" w:lineRule="exact"/>
              <w:rPr>
                <w:sz w:val="20"/>
                <w:szCs w:val="20"/>
                <w:color w:val="auto"/>
              </w:rPr>
            </w:pPr>
            <w:r>
              <w:rPr>
                <w:rFonts w:ascii="Arial" w:cs="Arial" w:eastAsia="Arial" w:hAnsi="Arial"/>
                <w:sz w:val="12"/>
                <w:szCs w:val="12"/>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680" w:type="dxa"/>
            <w:vAlign w:val="bottom"/>
            <w:vMerge w:val="continue"/>
          </w:tcPr>
          <w:p>
            <w:pPr>
              <w:spacing w:after="0"/>
              <w:rPr>
                <w:sz w:val="5"/>
                <w:szCs w:val="5"/>
                <w:color w:val="auto"/>
              </w:rPr>
            </w:pPr>
          </w:p>
        </w:tc>
        <w:tc>
          <w:tcPr>
            <w:tcW w:w="600" w:type="dxa"/>
            <w:vAlign w:val="bottom"/>
            <w:vMerge w:val="restart"/>
          </w:tcPr>
          <w:p>
            <w:pPr>
              <w:jc w:val="center"/>
              <w:ind w:right="6"/>
              <w:spacing w:after="0"/>
              <w:rPr>
                <w:sz w:val="20"/>
                <w:szCs w:val="20"/>
                <w:color w:val="auto"/>
              </w:rPr>
            </w:pPr>
            <w:r>
              <w:rPr>
                <w:rFonts w:ascii="Arial" w:cs="Arial" w:eastAsia="Arial" w:hAnsi="Arial"/>
                <w:sz w:val="16"/>
                <w:szCs w:val="16"/>
                <w:color w:val="0000FF"/>
                <w:w w:val="89"/>
              </w:rPr>
              <w:t>500</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02/23/2021</w:t>
            </w:r>
          </w:p>
        </w:tc>
        <w:tc>
          <w:tcPr>
            <w:tcW w:w="106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ind w:left="261"/>
              <w:spacing w:after="0"/>
              <w:rPr>
                <w:sz w:val="20"/>
                <w:szCs w:val="20"/>
                <w:color w:val="auto"/>
              </w:rPr>
            </w:pPr>
            <w:r>
              <w:rPr>
                <w:rFonts w:ascii="Arial" w:cs="Arial" w:eastAsia="Arial" w:hAnsi="Arial"/>
                <w:sz w:val="12"/>
                <w:szCs w:val="12"/>
                <w:color w:val="0000FF"/>
                <w:w w:val="99"/>
              </w:rPr>
              <w:t>500</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7"/>
              </w:rPr>
              <w:t>68,287</w:t>
            </w:r>
          </w:p>
        </w:tc>
        <w:tc>
          <w:tcPr>
            <w:tcW w:w="72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(3)(7)</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21" w:lineRule="exact"/>
              <w:rPr>
                <w:sz w:val="20"/>
                <w:szCs w:val="20"/>
                <w:color w:val="auto"/>
              </w:rPr>
            </w:pPr>
            <w:r>
              <w:rPr>
                <w:rFonts w:ascii="Arial" w:cs="Arial" w:eastAsia="Arial" w:hAnsi="Arial"/>
                <w:sz w:val="12"/>
                <w:szCs w:val="12"/>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680" w:type="dxa"/>
            <w:vAlign w:val="bottom"/>
            <w:vMerge w:val="continue"/>
          </w:tcPr>
          <w:p>
            <w:pPr>
              <w:spacing w:after="0"/>
              <w:rPr>
                <w:sz w:val="5"/>
                <w:szCs w:val="5"/>
                <w:color w:val="auto"/>
              </w:rPr>
            </w:pPr>
          </w:p>
        </w:tc>
        <w:tc>
          <w:tcPr>
            <w:tcW w:w="600" w:type="dxa"/>
            <w:vAlign w:val="bottom"/>
            <w:vMerge w:val="restart"/>
          </w:tcPr>
          <w:p>
            <w:pPr>
              <w:jc w:val="center"/>
              <w:ind w:right="6"/>
              <w:spacing w:after="0"/>
              <w:rPr>
                <w:sz w:val="20"/>
                <w:szCs w:val="20"/>
                <w:color w:val="auto"/>
              </w:rPr>
            </w:pPr>
            <w:r>
              <w:rPr>
                <w:rFonts w:ascii="Arial" w:cs="Arial" w:eastAsia="Arial" w:hAnsi="Arial"/>
                <w:sz w:val="16"/>
                <w:szCs w:val="16"/>
                <w:color w:val="0000FF"/>
                <w:w w:val="89"/>
              </w:rPr>
              <w:t>26,508</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02/23/2021</w:t>
            </w:r>
          </w:p>
        </w:tc>
        <w:tc>
          <w:tcPr>
            <w:tcW w:w="106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ind w:left="241"/>
              <w:spacing w:after="0"/>
              <w:rPr>
                <w:sz w:val="20"/>
                <w:szCs w:val="20"/>
                <w:color w:val="auto"/>
              </w:rPr>
            </w:pPr>
            <w:r>
              <w:rPr>
                <w:rFonts w:ascii="Arial" w:cs="Arial" w:eastAsia="Arial" w:hAnsi="Arial"/>
                <w:sz w:val="12"/>
                <w:szCs w:val="12"/>
                <w:color w:val="0000FF"/>
                <w:w w:val="92"/>
              </w:rPr>
              <w:t>26,508</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3"/>
              </w:rPr>
              <w:t>3,621,301</w:t>
            </w:r>
          </w:p>
        </w:tc>
        <w:tc>
          <w:tcPr>
            <w:tcW w:w="72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(3)(8)</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Units of</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21" w:lineRule="exact"/>
              <w:rPr>
                <w:sz w:val="20"/>
                <w:szCs w:val="20"/>
                <w:color w:val="auto"/>
              </w:rPr>
            </w:pPr>
            <w:r>
              <w:rPr>
                <w:rFonts w:ascii="Arial" w:cs="Arial" w:eastAsia="Arial" w:hAnsi="Arial"/>
                <w:sz w:val="12"/>
                <w:szCs w:val="12"/>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(16)</w:t>
            </w:r>
          </w:p>
        </w:tc>
        <w:tc>
          <w:tcPr>
            <w:tcW w:w="680" w:type="dxa"/>
            <w:vAlign w:val="bottom"/>
            <w:vMerge w:val="continue"/>
          </w:tcPr>
          <w:p>
            <w:pPr>
              <w:spacing w:after="0"/>
              <w:rPr>
                <w:sz w:val="5"/>
                <w:szCs w:val="5"/>
                <w:color w:val="auto"/>
              </w:rPr>
            </w:pPr>
          </w:p>
        </w:tc>
        <w:tc>
          <w:tcPr>
            <w:tcW w:w="600" w:type="dxa"/>
            <w:vAlign w:val="bottom"/>
            <w:vMerge w:val="restart"/>
          </w:tcPr>
          <w:p>
            <w:pPr>
              <w:jc w:val="center"/>
              <w:ind w:right="6"/>
              <w:spacing w:after="0"/>
              <w:rPr>
                <w:sz w:val="20"/>
                <w:szCs w:val="20"/>
                <w:color w:val="auto"/>
              </w:rPr>
            </w:pPr>
            <w:r>
              <w:rPr>
                <w:rFonts w:ascii="Arial" w:cs="Arial" w:eastAsia="Arial" w:hAnsi="Arial"/>
                <w:sz w:val="16"/>
                <w:szCs w:val="16"/>
                <w:color w:val="0000FF"/>
                <w:w w:val="89"/>
              </w:rPr>
              <w:t>23,782</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02/23/2021</w:t>
            </w:r>
          </w:p>
        </w:tc>
        <w:tc>
          <w:tcPr>
            <w:tcW w:w="1060" w:type="dxa"/>
            <w:vAlign w:val="bottom"/>
          </w:tcPr>
          <w:p>
            <w:pPr>
              <w:spacing w:after="0"/>
              <w:rPr>
                <w:sz w:val="5"/>
                <w:szCs w:val="5"/>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ind w:left="241"/>
              <w:spacing w:after="0"/>
              <w:rPr>
                <w:sz w:val="20"/>
                <w:szCs w:val="20"/>
                <w:color w:val="auto"/>
              </w:rPr>
            </w:pPr>
            <w:r>
              <w:rPr>
                <w:rFonts w:ascii="Arial" w:cs="Arial" w:eastAsia="Arial" w:hAnsi="Arial"/>
                <w:sz w:val="12"/>
                <w:szCs w:val="12"/>
                <w:color w:val="0000FF"/>
                <w:w w:val="92"/>
              </w:rPr>
              <w:t>23,782</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3"/>
              </w:rPr>
              <w:t>3,248,925</w:t>
            </w:r>
          </w:p>
        </w:tc>
        <w:tc>
          <w:tcPr>
            <w:tcW w:w="72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Holdings</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(3)(9)</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LLC</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C</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(17)</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(17)</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(17)</w:t>
            </w:r>
          </w:p>
        </w:tc>
        <w:tc>
          <w:tcPr>
            <w:tcW w:w="68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600" w:type="dxa"/>
            <w:vAlign w:val="bottom"/>
            <w:vMerge w:val="restart"/>
          </w:tcPr>
          <w:p>
            <w:pPr>
              <w:jc w:val="center"/>
              <w:ind w:right="6"/>
              <w:spacing w:after="0"/>
              <w:rPr>
                <w:sz w:val="20"/>
                <w:szCs w:val="20"/>
                <w:color w:val="auto"/>
              </w:rPr>
            </w:pPr>
            <w:r>
              <w:rPr>
                <w:rFonts w:ascii="Arial" w:cs="Arial" w:eastAsia="Arial" w:hAnsi="Arial"/>
                <w:sz w:val="16"/>
                <w:szCs w:val="16"/>
                <w:color w:val="0000FF"/>
                <w:w w:val="89"/>
              </w:rPr>
              <w:t>2,000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02/23/2021</w:t>
            </w:r>
          </w:p>
        </w:tc>
        <w:tc>
          <w:tcPr>
            <w:tcW w:w="1060" w:type="dxa"/>
            <w:vAlign w:val="bottom"/>
          </w:tcPr>
          <w:p>
            <w:pPr>
              <w:spacing w:after="0"/>
              <w:rPr>
                <w:sz w:val="3"/>
                <w:szCs w:val="3"/>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ind w:left="261"/>
              <w:spacing w:after="0"/>
              <w:rPr>
                <w:sz w:val="20"/>
                <w:szCs w:val="20"/>
                <w:color w:val="auto"/>
              </w:rPr>
            </w:pPr>
            <w:r>
              <w:rPr>
                <w:rFonts w:ascii="Arial" w:cs="Arial" w:eastAsia="Arial" w:hAnsi="Arial"/>
                <w:sz w:val="12"/>
                <w:szCs w:val="12"/>
                <w:color w:val="0000FF"/>
                <w:w w:val="93"/>
              </w:rPr>
              <w:t>2,000</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2"/>
              </w:rPr>
              <w:t>273,155</w:t>
            </w:r>
          </w:p>
        </w:tc>
        <w:tc>
          <w:tcPr>
            <w:tcW w:w="72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20" w:type="dxa"/>
            <w:vAlign w:val="bottom"/>
            <w:vMerge w:val="restart"/>
          </w:tcPr>
          <w:p>
            <w:pPr>
              <w:ind w:left="60"/>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(3)(11)</w:t>
            </w:r>
          </w:p>
        </w:tc>
        <w:tc>
          <w:tcPr>
            <w:tcW w:w="0" w:type="dxa"/>
            <w:vAlign w:val="bottom"/>
          </w:tcPr>
          <w:p>
            <w:pPr>
              <w:spacing w:after="0"/>
              <w:rPr>
                <w:sz w:val="1"/>
                <w:szCs w:val="1"/>
                <w:color w:val="auto"/>
              </w:rPr>
            </w:pPr>
          </w:p>
        </w:tc>
      </w:tr>
      <w:tr>
        <w:trPr>
          <w:trHeight w:val="70"/>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93"/>
              </w:rPr>
              <w:t>Stock</w:t>
            </w: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C</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(17)</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(17)</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(17)</w:t>
            </w:r>
          </w:p>
        </w:tc>
        <w:tc>
          <w:tcPr>
            <w:tcW w:w="68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106,031</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02/23/2021</w:t>
            </w:r>
          </w:p>
        </w:tc>
        <w:tc>
          <w:tcPr>
            <w:tcW w:w="1060" w:type="dxa"/>
            <w:vAlign w:val="bottom"/>
          </w:tcPr>
          <w:p>
            <w:pPr>
              <w:spacing w:after="0"/>
              <w:rPr>
                <w:sz w:val="3"/>
                <w:szCs w:val="3"/>
                <w:color w:val="auto"/>
              </w:rPr>
            </w:pPr>
          </w:p>
        </w:tc>
        <w:tc>
          <w:tcPr>
            <w:tcW w:w="760" w:type="dxa"/>
            <w:vAlign w:val="bottom"/>
            <w:vMerge w:val="restart"/>
          </w:tcPr>
          <w:p>
            <w:pPr>
              <w:ind w:left="160"/>
              <w:spacing w:after="0" w:line="96" w:lineRule="exact"/>
              <w:rPr>
                <w:sz w:val="20"/>
                <w:szCs w:val="20"/>
                <w:color w:val="auto"/>
              </w:rPr>
            </w:pPr>
            <w:r>
              <w:rPr>
                <w:rFonts w:ascii="Arial" w:cs="Arial" w:eastAsia="Arial" w:hAnsi="Arial"/>
                <w:sz w:val="11"/>
                <w:szCs w:val="11"/>
                <w:color w:val="0000FF"/>
              </w:rPr>
              <w:t>C</w:t>
            </w:r>
          </w:p>
        </w:tc>
        <w:tc>
          <w:tcPr>
            <w:tcW w:w="840" w:type="dxa"/>
            <w:vAlign w:val="bottom"/>
            <w:vMerge w:val="restart"/>
          </w:tcPr>
          <w:p>
            <w:pPr>
              <w:jc w:val="center"/>
              <w:ind w:left="261"/>
              <w:spacing w:after="0" w:line="96" w:lineRule="exact"/>
              <w:rPr>
                <w:sz w:val="20"/>
                <w:szCs w:val="20"/>
                <w:color w:val="auto"/>
              </w:rPr>
            </w:pPr>
            <w:r>
              <w:rPr>
                <w:rFonts w:ascii="Arial" w:cs="Arial" w:eastAsia="Arial" w:hAnsi="Arial"/>
                <w:sz w:val="11"/>
                <w:szCs w:val="11"/>
                <w:color w:val="0000FF"/>
              </w:rPr>
              <w:t>106,031</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8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600" w:type="dxa"/>
            <w:vAlign w:val="bottom"/>
            <w:vMerge w:val="continue"/>
          </w:tcPr>
          <w:p>
            <w:pPr>
              <w:spacing w:after="0"/>
              <w:rPr>
                <w:sz w:val="3"/>
                <w:szCs w:val="3"/>
                <w:color w:val="auto"/>
              </w:rPr>
            </w:pPr>
          </w:p>
        </w:tc>
        <w:tc>
          <w:tcPr>
            <w:tcW w:w="660" w:type="dxa"/>
            <w:vAlign w:val="bottom"/>
            <w:vMerge w:val="restart"/>
          </w:tcPr>
          <w:p>
            <w:pPr>
              <w:jc w:val="center"/>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9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14,485,209</w:t>
            </w:r>
          </w:p>
        </w:tc>
        <w:tc>
          <w:tcPr>
            <w:tcW w:w="7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20" w:type="dxa"/>
            <w:vAlign w:val="bottom"/>
          </w:tcPr>
          <w:p>
            <w:pPr>
              <w:ind w:left="60"/>
              <w:spacing w:after="0" w:line="51" w:lineRule="exact"/>
              <w:rPr>
                <w:sz w:val="20"/>
                <w:szCs w:val="20"/>
                <w:color w:val="auto"/>
              </w:rPr>
            </w:pPr>
            <w:r>
              <w:rPr>
                <w:rFonts w:ascii="Arial" w:cs="Arial" w:eastAsia="Arial" w:hAnsi="Arial"/>
                <w:sz w:val="5"/>
                <w:szCs w:val="5"/>
                <w:color w:val="0000FF"/>
              </w:rPr>
              <w:t>Footnotes</w:t>
            </w:r>
            <w:r>
              <w:rPr>
                <w:rFonts w:ascii="Arial" w:cs="Arial" w:eastAsia="Arial" w:hAnsi="Arial"/>
                <w:sz w:val="5"/>
                <w:szCs w:val="5"/>
                <w:color w:val="008000"/>
                <w:vertAlign w:val="superscript"/>
              </w:rPr>
              <w:t>(3)(12)</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C</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(17)</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(17)</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(17)</w:t>
            </w:r>
          </w:p>
        </w:tc>
        <w:tc>
          <w:tcPr>
            <w:tcW w:w="68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600" w:type="dxa"/>
            <w:vAlign w:val="bottom"/>
            <w:vMerge w:val="restart"/>
          </w:tcPr>
          <w:p>
            <w:pPr>
              <w:jc w:val="center"/>
              <w:ind w:right="6"/>
              <w:spacing w:after="0"/>
              <w:rPr>
                <w:sz w:val="20"/>
                <w:szCs w:val="20"/>
                <w:color w:val="auto"/>
              </w:rPr>
            </w:pPr>
            <w:r>
              <w:rPr>
                <w:rFonts w:ascii="Arial" w:cs="Arial" w:eastAsia="Arial" w:hAnsi="Arial"/>
                <w:sz w:val="16"/>
                <w:szCs w:val="16"/>
                <w:color w:val="0000FF"/>
                <w:w w:val="89"/>
              </w:rPr>
              <w:t>95,128</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02/23/2021</w:t>
            </w:r>
          </w:p>
        </w:tc>
        <w:tc>
          <w:tcPr>
            <w:tcW w:w="1060" w:type="dxa"/>
            <w:vAlign w:val="bottom"/>
          </w:tcPr>
          <w:p>
            <w:pPr>
              <w:spacing w:after="0"/>
              <w:rPr>
                <w:sz w:val="3"/>
                <w:szCs w:val="3"/>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ind w:left="241"/>
              <w:spacing w:after="0"/>
              <w:rPr>
                <w:sz w:val="20"/>
                <w:szCs w:val="20"/>
                <w:color w:val="auto"/>
              </w:rPr>
            </w:pPr>
            <w:r>
              <w:rPr>
                <w:rFonts w:ascii="Arial" w:cs="Arial" w:eastAsia="Arial" w:hAnsi="Arial"/>
                <w:sz w:val="12"/>
                <w:szCs w:val="12"/>
                <w:color w:val="0000FF"/>
                <w:w w:val="92"/>
              </w:rPr>
              <w:t>95,128</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0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2"/>
                <w:szCs w:val="12"/>
                <w:color w:val="0000FF"/>
                <w:w w:val="93"/>
              </w:rPr>
              <w:t>12,995,707</w:t>
            </w:r>
          </w:p>
        </w:tc>
        <w:tc>
          <w:tcPr>
            <w:tcW w:w="72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20" w:type="dxa"/>
            <w:vAlign w:val="bottom"/>
            <w:vMerge w:val="restart"/>
          </w:tcPr>
          <w:p>
            <w:pPr>
              <w:ind w:left="60"/>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(3)(13)</w:t>
            </w:r>
          </w:p>
        </w:tc>
        <w:tc>
          <w:tcPr>
            <w:tcW w:w="0" w:type="dxa"/>
            <w:vAlign w:val="bottom"/>
          </w:tcPr>
          <w:p>
            <w:pPr>
              <w:spacing w:after="0"/>
              <w:rPr>
                <w:sz w:val="1"/>
                <w:szCs w:val="1"/>
                <w:color w:val="auto"/>
              </w:rPr>
            </w:pPr>
          </w:p>
        </w:tc>
      </w:tr>
      <w:tr>
        <w:trPr>
          <w:trHeight w:val="70"/>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20" w:right="180" w:hanging="3"/>
        <w:spacing w:after="0" w:line="272" w:lineRule="auto"/>
        <w:tabs>
          <w:tab w:leader="none" w:pos="14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Units of ZoomInfo Holdings LLC ("Opco"), which represent limited liability company units of Opco and a corresponding number of shares of Class B Common Stock of the Issuer, were exchanged on a one-for-one basis for shares of Class A Common Stock of the Issuer pursuant to the amended and restated limited liability company agreement of Opco.</w:t>
      </w:r>
    </w:p>
    <w:p>
      <w:pPr>
        <w:spacing w:after="0" w:line="12" w:lineRule="exact"/>
        <w:rPr>
          <w:rFonts w:ascii="Arial" w:cs="Arial" w:eastAsia="Arial" w:hAnsi="Arial"/>
          <w:sz w:val="12"/>
          <w:szCs w:val="12"/>
          <w:color w:val="008000"/>
        </w:rPr>
      </w:pPr>
    </w:p>
    <w:p>
      <w:pPr>
        <w:ind w:left="140" w:hanging="12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are held by TA XI DO AIV, L.P. ("XI DO AIV").</w:t>
      </w:r>
    </w:p>
    <w:p>
      <w:pPr>
        <w:spacing w:after="0" w:line="49" w:lineRule="exact"/>
        <w:rPr>
          <w:rFonts w:ascii="Arial" w:cs="Arial" w:eastAsia="Arial" w:hAnsi="Arial"/>
          <w:sz w:val="12"/>
          <w:szCs w:val="12"/>
          <w:color w:val="008000"/>
        </w:rPr>
      </w:pPr>
    </w:p>
    <w:p>
      <w:pPr>
        <w:ind w:left="20" w:right="140" w:hanging="3"/>
        <w:spacing w:after="0" w:line="289" w:lineRule="auto"/>
        <w:tabs>
          <w:tab w:leader="none" w:pos="14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The Reporting Person disclaims beneficial ownership of these securities, except to the extent of his pecuniary interest in such securities, and this report shall not be deemed an admission that the Reporting Person is the beneficial owner of such securities for Section 16 or any other purpose.</w:t>
      </w:r>
    </w:p>
    <w:p>
      <w:pPr>
        <w:spacing w:after="0" w:line="5" w:lineRule="exact"/>
        <w:rPr>
          <w:rFonts w:ascii="Arial" w:cs="Arial" w:eastAsia="Arial" w:hAnsi="Arial"/>
          <w:sz w:val="11"/>
          <w:szCs w:val="11"/>
          <w:color w:val="008000"/>
        </w:rPr>
      </w:pPr>
    </w:p>
    <w:p>
      <w:pPr>
        <w:ind w:left="140" w:hanging="12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are held by TA SDF III DO AIV, L.P. ("SDF III DO").</w:t>
      </w:r>
    </w:p>
    <w:p>
      <w:pPr>
        <w:spacing w:after="0" w:line="49" w:lineRule="exact"/>
        <w:rPr>
          <w:rFonts w:ascii="Arial" w:cs="Arial" w:eastAsia="Arial" w:hAnsi="Arial"/>
          <w:sz w:val="12"/>
          <w:szCs w:val="12"/>
          <w:color w:val="008000"/>
        </w:rPr>
      </w:pPr>
    </w:p>
    <w:p>
      <w:pPr>
        <w:ind w:left="140" w:hanging="12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are held by TA Atlantic &amp; Pacific VII-A, L.P. ("Atlantic &amp; Pacific VII-A").</w:t>
      </w:r>
    </w:p>
    <w:p>
      <w:pPr>
        <w:spacing w:after="0" w:line="49" w:lineRule="exact"/>
        <w:rPr>
          <w:rFonts w:ascii="Arial" w:cs="Arial" w:eastAsia="Arial" w:hAnsi="Arial"/>
          <w:sz w:val="12"/>
          <w:szCs w:val="12"/>
          <w:color w:val="008000"/>
        </w:rPr>
      </w:pPr>
    </w:p>
    <w:p>
      <w:pPr>
        <w:ind w:left="140" w:hanging="12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are held by TA Investors IV, L.P. ("Investors IV").</w:t>
      </w:r>
    </w:p>
    <w:p>
      <w:pPr>
        <w:spacing w:after="0" w:line="49" w:lineRule="exact"/>
        <w:rPr>
          <w:rFonts w:ascii="Arial" w:cs="Arial" w:eastAsia="Arial" w:hAnsi="Arial"/>
          <w:sz w:val="12"/>
          <w:szCs w:val="12"/>
          <w:color w:val="008000"/>
        </w:rPr>
      </w:pPr>
    </w:p>
    <w:p>
      <w:pPr>
        <w:ind w:left="140" w:hanging="12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are held by TA SDF III DO AIV II, L.P. ("SDF III DO AIV II").</w:t>
      </w:r>
    </w:p>
    <w:p>
      <w:pPr>
        <w:spacing w:after="0" w:line="49" w:lineRule="exact"/>
        <w:rPr>
          <w:rFonts w:ascii="Arial" w:cs="Arial" w:eastAsia="Arial" w:hAnsi="Arial"/>
          <w:sz w:val="12"/>
          <w:szCs w:val="12"/>
          <w:color w:val="008000"/>
        </w:rPr>
      </w:pPr>
    </w:p>
    <w:p>
      <w:pPr>
        <w:ind w:left="140" w:hanging="12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are held by TA XI DO AIV II, L.P. ("XI DO AIV II").</w:t>
      </w:r>
    </w:p>
    <w:p>
      <w:pPr>
        <w:spacing w:after="0" w:line="49" w:lineRule="exact"/>
        <w:rPr>
          <w:rFonts w:ascii="Arial" w:cs="Arial" w:eastAsia="Arial" w:hAnsi="Arial"/>
          <w:sz w:val="12"/>
          <w:szCs w:val="12"/>
          <w:color w:val="008000"/>
        </w:rPr>
      </w:pPr>
    </w:p>
    <w:p>
      <w:pPr>
        <w:ind w:left="140" w:hanging="123"/>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are held by TA AP VII-B DO Subsidiary Partnership, L.P. ("AP VII-B").</w:t>
      </w:r>
    </w:p>
    <w:p>
      <w:pPr>
        <w:spacing w:after="0" w:line="49" w:lineRule="exact"/>
        <w:rPr>
          <w:rFonts w:ascii="Arial" w:cs="Arial" w:eastAsia="Arial" w:hAnsi="Arial"/>
          <w:sz w:val="12"/>
          <w:szCs w:val="12"/>
          <w:color w:val="008000"/>
        </w:rPr>
      </w:pPr>
    </w:p>
    <w:p>
      <w:pPr>
        <w:ind w:left="200" w:hanging="183"/>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the Issuer's Class C Common Stock were converted on a one-for-one basis for shares of Class A Common Stock of the Issuer.</w:t>
      </w:r>
    </w:p>
    <w:p>
      <w:pPr>
        <w:spacing w:after="0" w:line="49" w:lineRule="exact"/>
        <w:rPr>
          <w:rFonts w:ascii="Arial" w:cs="Arial" w:eastAsia="Arial" w:hAnsi="Arial"/>
          <w:sz w:val="12"/>
          <w:szCs w:val="12"/>
          <w:color w:val="008000"/>
        </w:rPr>
      </w:pPr>
    </w:p>
    <w:p>
      <w:pPr>
        <w:ind w:left="200" w:hanging="183"/>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are held by TA SDF III DO Feeder, L.P. ("SDF III Feeder").</w:t>
      </w:r>
    </w:p>
    <w:p>
      <w:pPr>
        <w:spacing w:after="0" w:line="49" w:lineRule="exact"/>
        <w:rPr>
          <w:rFonts w:ascii="Arial" w:cs="Arial" w:eastAsia="Arial" w:hAnsi="Arial"/>
          <w:sz w:val="12"/>
          <w:szCs w:val="12"/>
          <w:color w:val="008000"/>
        </w:rPr>
      </w:pPr>
    </w:p>
    <w:p>
      <w:pPr>
        <w:ind w:left="200" w:hanging="183"/>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are held by TA XI DO Feeder, L.P ("XI DO").</w:t>
      </w:r>
    </w:p>
    <w:p>
      <w:pPr>
        <w:spacing w:after="0" w:line="49" w:lineRule="exact"/>
        <w:rPr>
          <w:rFonts w:ascii="Arial" w:cs="Arial" w:eastAsia="Arial" w:hAnsi="Arial"/>
          <w:sz w:val="12"/>
          <w:szCs w:val="12"/>
          <w:color w:val="008000"/>
        </w:rPr>
      </w:pPr>
    </w:p>
    <w:p>
      <w:pPr>
        <w:ind w:left="200" w:hanging="183"/>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Securities are held by TA Atlantic &amp; Pacific VII-B, L.P. ("Atlantic &amp; Pacific VII-B").</w:t>
      </w:r>
    </w:p>
    <w:p>
      <w:pPr>
        <w:spacing w:after="0" w:line="49" w:lineRule="exact"/>
        <w:rPr>
          <w:rFonts w:ascii="Arial" w:cs="Arial" w:eastAsia="Arial" w:hAnsi="Arial"/>
          <w:sz w:val="12"/>
          <w:szCs w:val="12"/>
          <w:color w:val="008000"/>
        </w:rPr>
      </w:pPr>
    </w:p>
    <w:p>
      <w:pPr>
        <w:ind w:left="200" w:hanging="183"/>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Rule 10b5-1 trading plans adopted on December 6, 2020.</w:t>
      </w:r>
    </w:p>
    <w:p>
      <w:pPr>
        <w:spacing w:after="0" w:line="49" w:lineRule="exact"/>
        <w:rPr>
          <w:rFonts w:ascii="Arial" w:cs="Arial" w:eastAsia="Arial" w:hAnsi="Arial"/>
          <w:sz w:val="12"/>
          <w:szCs w:val="12"/>
          <w:color w:val="008000"/>
        </w:rPr>
      </w:pPr>
    </w:p>
    <w:p>
      <w:pPr>
        <w:ind w:left="20" w:right="480" w:hanging="3"/>
        <w:spacing w:after="0" w:line="272" w:lineRule="auto"/>
        <w:tabs>
          <w:tab w:leader="none" w:pos="20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a weighted-average sale price. The shares were sold in multiple transactions at prices ranging from $58.00 to $60.25. The Reporting Persons will provide upon request to the Securities and Exchange Commission, the Company or security holder of the Company, full information regarding the number of shares sold at each separate price.</w:t>
      </w:r>
    </w:p>
    <w:p>
      <w:pPr>
        <w:spacing w:after="0" w:line="12" w:lineRule="exact"/>
        <w:rPr>
          <w:rFonts w:ascii="Arial" w:cs="Arial" w:eastAsia="Arial" w:hAnsi="Arial"/>
          <w:sz w:val="12"/>
          <w:szCs w:val="12"/>
          <w:color w:val="008000"/>
        </w:rPr>
      </w:pPr>
    </w:p>
    <w:p>
      <w:pPr>
        <w:ind w:left="20" w:right="160" w:hanging="3"/>
        <w:spacing w:after="0" w:line="250" w:lineRule="auto"/>
        <w:tabs>
          <w:tab w:leader="none" w:pos="20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Units of Opco represent limited liability company units of Opco and a corresponding number of shares of Class B Common Stock of the Issuer, which together are exchangeable at the option of the holder on a one-for-one basis for shares of Class A Common Stock of the Issuer, subject to customary conversion rate adjustments for stock splits, stock dividends, and reclassifications, pursuant to the amended and restated limited liability company agreement of Opco and have no expiration date. The shares of Class B Common Stock (i) confer no incidents of economic ownership on the holders thereof and (ii) only confer ten-to-one voting rights on the holders thereof.</w:t>
      </w:r>
    </w:p>
    <w:p>
      <w:pPr>
        <w:spacing w:after="0" w:line="24" w:lineRule="exact"/>
        <w:rPr>
          <w:rFonts w:ascii="Arial" w:cs="Arial" w:eastAsia="Arial" w:hAnsi="Arial"/>
          <w:sz w:val="12"/>
          <w:szCs w:val="12"/>
          <w:color w:val="008000"/>
        </w:rPr>
      </w:pPr>
    </w:p>
    <w:p>
      <w:pPr>
        <w:ind w:left="20" w:right="220" w:hanging="3"/>
        <w:spacing w:after="0" w:line="247" w:lineRule="auto"/>
        <w:tabs>
          <w:tab w:leader="none" w:pos="20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Class C Common Stock is convertible at the option of the holder on a one-for-one basis for shares of Class A Common Stock of the Issuer and has no expiration date. Upon any transfer of shares of Class C Common Stock, whether or not for value, each such transferred share will automatically convert into one share of Class A Common Stock, except for certain transfers described in the Issuer's amended and restated certificate of incorporation. The shares of Class C Common Stock will convert automatically into Class A Common Stock, on a one-for-one basis, when the aggregate number of outstanding shares of the Company's Class B Common Stock and Class C Common Stock represents less than 5% of the aggregate number of the Company's outstanding shares of Common Stock. The shares of Class C Common Stock have ten votes per share.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160" w:type="dxa"/>
            <w:vAlign w:val="bottom"/>
          </w:tcPr>
          <w:p>
            <w:pPr>
              <w:spacing w:after="0"/>
              <w:rPr>
                <w:sz w:val="20"/>
                <w:szCs w:val="20"/>
                <w:color w:val="auto"/>
              </w:rPr>
            </w:pPr>
            <w:r>
              <w:rPr>
                <w:rFonts w:ascii="Arial" w:cs="Arial" w:eastAsia="Arial" w:hAnsi="Arial"/>
                <w:sz w:val="16"/>
                <w:szCs w:val="16"/>
                <w:color w:val="0000FF"/>
                <w:w w:val="90"/>
              </w:rPr>
              <w:t>/s/ Jason Mironov</w:t>
            </w:r>
          </w:p>
        </w:tc>
        <w:tc>
          <w:tcPr>
            <w:tcW w:w="84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02/25/2021</w:t>
            </w:r>
          </w:p>
        </w:tc>
      </w:tr>
      <w:tr>
        <w:trPr>
          <w:trHeight w:val="20"/>
        </w:trPr>
        <w:tc>
          <w:tcPr>
            <w:tcW w:w="11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2"/>
                <w:szCs w:val="12"/>
                <w:color w:val="auto"/>
              </w:rPr>
              <w:t>Date</w:t>
            </w: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20" w:hanging="3"/>
        <w:spacing w:after="0" w:line="324" w:lineRule="auto"/>
        <w:tabs>
          <w:tab w:leader="none" w:pos="15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112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10831" TargetMode="External"/><Relationship Id="rId14"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2021-02-25T17:18:03Z</dcterms:created>
  <dcterms:modified xsi:type="dcterms:W3CDTF">2021-02-25T17:18:03Z</dcterms:modified>
</cp:coreProperties>
</file>